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机票筛选 Agent</w:t>
      </w:r>
    </w:p>
    <w:p>
      <w:pPr>
        <w:pStyle w:val="Subtitle"/>
        <w:jc w:val="center"/>
      </w:pPr>
      <w:r>
        <w:t>Phase 16 技术栈选择与开发环境准备清单 · V0</w:t>
      </w:r>
    </w:p>
    <w:p>
      <w:pPr>
        <w:jc w:val="center"/>
      </w:pPr>
      <w:r>
        <w:t>用途：作为 Phase 17/第三阶段前开发环境安装与工程初始化讨论的直接输入</w:t>
      </w:r>
    </w:p>
    <w:p>
      <w:pPr>
        <w:jc w:val="center"/>
      </w:pPr>
      <w:r>
        <w:t>整理日期：2026-08-17</w:t>
      </w:r>
    </w:p>
    <w:p>
      <w:r>
        <w:br w:type="page"/>
      </w:r>
    </w:p>
    <w:p>
      <w:pPr>
        <w:pStyle w:val="Heading1"/>
      </w:pPr>
      <w:r>
        <w:t>0. 文档定位</w:t>
      </w:r>
    </w:p>
    <w:p>
      <w:r>
        <w:t>本文件只整理 Phase 16 已形成的具体技术栈决策，并按“未来安装开发环境时需要什么”重新组织。它不替代 Phase 1–16 的工程架构收口文档，也不提前决定 Phase 17 的云部署与环境拓扑。</w:t>
      </w:r>
    </w:p>
    <w:p>
      <w:pPr>
        <w:pStyle w:val="Heading1"/>
      </w:pPr>
      <w:r>
        <w:t>1. 开发环境安装讨论的建议时机</w:t>
      </w:r>
    </w:p>
    <w:p>
      <w:r>
        <w:t>建议不要现在立即逐项安装，也不必一直拖到第三阶段已经开始编码之后。更合适的时机是：先完成第二阶段 Phase 17–19 的部署架构、Repository/Code Architecture 与 MVP 开发顺序，然后在第二阶段正式收口之后、第三阶段 Codex 实际编码之前，单独进行一次“Development Environment Bootstrap / 工程初始化”讨论。</w:t>
      </w:r>
    </w:p>
    <w:p>
      <w:r>
        <w:t>原因是 Phase 17 会决定 Docker Compose、Local/Development/Production-like 环境与数据库/Secret 的运行方式；Phase 18 会决定 repository/package 结构；Phase 19 会决定第一批真正需要启动的模块。若现在就安装，容易在后续部署/仓库设计改变后返工。</w:t>
      </w:r>
    </w:p>
    <w:p>
      <w:r>
        <w:t>可提前做的仅是低风险基础准备：Git、Docker Desktop/Engine、Node.js/pnpm、Python/uv、IDE/Codex 等通用工具。PostgreSQL、Frontend/Backend 项目、环境变量、migration、测试容器和 observability 的具体初始化，建议等待第二阶段收口后统一搭建。</w:t>
      </w:r>
    </w:p>
    <w:p>
      <w:pPr>
        <w:pStyle w:val="Heading1"/>
      </w:pPr>
      <w:r>
        <w:t>2. V0 技术栈总表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rPr>
          <w:tblHeader w:val="true"/>
        </w:trPr>
        <w:tc>
          <w:tcPr>
            <w:tcW w:type="dxa" w:w="3551"/>
            <w:vAlign w:val="center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3551"/>
            <w:vAlign w:val="center"/>
          </w:tcPr>
          <w:p>
            <w:r>
              <w:rPr>
                <w:b/>
              </w:rPr>
              <w:t>V0 技术选择</w:t>
            </w:r>
          </w:p>
        </w:tc>
        <w:tc>
          <w:tcPr>
            <w:tcW w:type="dxa" w:w="3551"/>
            <w:vAlign w:val="center"/>
          </w:tcPr>
          <w:p>
            <w:r>
              <w:rPr>
                <w:b/>
              </w:rPr>
              <w:t>安装/准备意义</w:t>
            </w:r>
          </w:p>
        </w:tc>
      </w:tr>
      <w:tr>
        <w:tc>
          <w:tcPr>
            <w:tcW w:type="dxa" w:w="3551"/>
          </w:tcPr>
          <w:p>
            <w:r>
              <w:t>Backend Language</w:t>
            </w:r>
          </w:p>
        </w:tc>
        <w:tc>
          <w:tcPr>
            <w:tcW w:type="dxa" w:w="3551"/>
          </w:tcPr>
          <w:p>
            <w:r>
              <w:t>Python 3.12+</w:t>
            </w:r>
          </w:p>
        </w:tc>
        <w:tc>
          <w:tcPr>
            <w:tcW w:type="dxa" w:w="3551"/>
          </w:tcPr>
          <w:p>
            <w:r>
              <w:t>AI/数据/规则计算生态与类型化工程能力兼顾</w:t>
            </w:r>
          </w:p>
        </w:tc>
      </w:tr>
      <w:tr>
        <w:tc>
          <w:tcPr>
            <w:tcW w:type="dxa" w:w="3551"/>
          </w:tcPr>
          <w:p>
            <w:r>
              <w:t>Backend Framework</w:t>
            </w:r>
          </w:p>
        </w:tc>
        <w:tc>
          <w:tcPr>
            <w:tcW w:type="dxa" w:w="3551"/>
          </w:tcPr>
          <w:p>
            <w:r>
              <w:t>FastAPI</w:t>
            </w:r>
          </w:p>
        </w:tc>
        <w:tc>
          <w:tcPr>
            <w:tcW w:type="dxa" w:w="3551"/>
          </w:tcPr>
          <w:p>
            <w:r>
              <w:t>契合 async I/O、REST、SSE、OpenAPI 与 Pydantic</w:t>
            </w:r>
          </w:p>
        </w:tc>
      </w:tr>
      <w:tr>
        <w:tc>
          <w:tcPr>
            <w:tcW w:type="dxa" w:w="3551"/>
          </w:tcPr>
          <w:p>
            <w:r>
              <w:t>ASGI Runtime</w:t>
            </w:r>
          </w:p>
        </w:tc>
        <w:tc>
          <w:tcPr>
            <w:tcW w:type="dxa" w:w="3551"/>
          </w:tcPr>
          <w:p>
            <w:r>
              <w:t>Uvicorn</w:t>
            </w:r>
          </w:p>
        </w:tc>
        <w:tc>
          <w:tcPr>
            <w:tcW w:type="dxa" w:w="3551"/>
          </w:tcPr>
          <w:p>
            <w:r>
              <w:t>作为 V0 FastAPI 标准运行时；初始单 worker</w:t>
            </w:r>
          </w:p>
        </w:tc>
      </w:tr>
      <w:tr>
        <w:tc>
          <w:tcPr>
            <w:tcW w:type="dxa" w:w="3551"/>
          </w:tcPr>
          <w:p>
            <w:r>
              <w:t>Schema / Validation</w:t>
            </w:r>
          </w:p>
        </w:tc>
        <w:tc>
          <w:tcPr>
            <w:tcW w:type="dxa" w:w="3551"/>
          </w:tcPr>
          <w:p>
            <w:r>
              <w:t>Pydantic v2</w:t>
            </w:r>
          </w:p>
        </w:tc>
        <w:tc>
          <w:tcPr>
            <w:tcW w:type="dxa" w:w="3551"/>
          </w:tcPr>
          <w:p>
            <w:r>
              <w:t>统一 API、LLM Structured Output 与内部 DTO 的结构验证</w:t>
            </w:r>
          </w:p>
        </w:tc>
      </w:tr>
      <w:tr>
        <w:tc>
          <w:tcPr>
            <w:tcW w:type="dxa" w:w="3551"/>
          </w:tcPr>
          <w:p>
            <w:r>
              <w:t>Config</w:t>
            </w:r>
          </w:p>
        </w:tc>
        <w:tc>
          <w:tcPr>
            <w:tcW w:type="dxa" w:w="3551"/>
          </w:tcPr>
          <w:p>
            <w:r>
              <w:t>pydantic-settings</w:t>
            </w:r>
          </w:p>
        </w:tc>
        <w:tc>
          <w:tcPr>
            <w:tcW w:type="dxa" w:w="3551"/>
          </w:tcPr>
          <w:p>
            <w:r>
              <w:t>Typed Settings、启动期校验、环境/Secret 注入</w:t>
            </w:r>
          </w:p>
        </w:tc>
      </w:tr>
      <w:tr>
        <w:tc>
          <w:tcPr>
            <w:tcW w:type="dxa" w:w="3551"/>
          </w:tcPr>
          <w:p>
            <w:r>
              <w:t>Async Runtime</w:t>
            </w:r>
          </w:p>
        </w:tc>
        <w:tc>
          <w:tcPr>
            <w:tcW w:type="dxa" w:w="3551"/>
          </w:tcPr>
          <w:p>
            <w:r>
              <w:t>asyncio</w:t>
            </w:r>
          </w:p>
        </w:tc>
        <w:tc>
          <w:tcPr>
            <w:tcW w:type="dxa" w:w="3551"/>
          </w:tcPr>
          <w:p>
            <w:r>
              <w:t>Provider/LLM/Repository 外部 I/O；Domain Core 保持确定性本地计算</w:t>
            </w:r>
          </w:p>
        </w:tc>
      </w:tr>
      <w:tr>
        <w:tc>
          <w:tcPr>
            <w:tcW w:type="dxa" w:w="3551"/>
          </w:tcPr>
          <w:p>
            <w:r>
              <w:t>ORM / DB Access</w:t>
            </w:r>
          </w:p>
        </w:tc>
        <w:tc>
          <w:tcPr>
            <w:tcW w:type="dxa" w:w="3551"/>
          </w:tcPr>
          <w:p>
            <w:r>
              <w:t>SQLAlchemy 2.x</w:t>
            </w:r>
          </w:p>
        </w:tc>
        <w:tc>
          <w:tcPr>
            <w:tcW w:type="dxa" w:w="3551"/>
          </w:tcPr>
          <w:p>
            <w:r>
              <w:t>Repository 实现层，支持事务与 optimistic concurrency</w:t>
            </w:r>
          </w:p>
        </w:tc>
      </w:tr>
      <w:tr>
        <w:tc>
          <w:tcPr>
            <w:tcW w:type="dxa" w:w="3551"/>
          </w:tcPr>
          <w:p>
            <w:r>
              <w:t>Migration</w:t>
            </w:r>
          </w:p>
        </w:tc>
        <w:tc>
          <w:tcPr>
            <w:tcW w:type="dxa" w:w="3551"/>
          </w:tcPr>
          <w:p>
            <w:r>
              <w:t>Alembic</w:t>
            </w:r>
          </w:p>
        </w:tc>
        <w:tc>
          <w:tcPr>
            <w:tcW w:type="dxa" w:w="3551"/>
          </w:tcPr>
          <w:p>
            <w:r>
              <w:t>所有数据库 schema change 版本化</w:t>
            </w:r>
          </w:p>
        </w:tc>
      </w:tr>
      <w:tr>
        <w:tc>
          <w:tcPr>
            <w:tcW w:type="dxa" w:w="3551"/>
          </w:tcPr>
          <w:p>
            <w:r>
              <w:t>Primary Database</w:t>
            </w:r>
          </w:p>
        </w:tc>
        <w:tc>
          <w:tcPr>
            <w:tcW w:type="dxa" w:w="3551"/>
          </w:tcPr>
          <w:p>
            <w:r>
              <w:t>PostgreSQL</w:t>
            </w:r>
          </w:p>
        </w:tc>
        <w:tc>
          <w:tcPr>
            <w:tcW w:type="dxa" w:w="3551"/>
          </w:tcPr>
          <w:p>
            <w:r>
              <w:t>权威状态、版本、事务、JSONB、幂等与原子 publication</w:t>
            </w:r>
          </w:p>
        </w:tc>
      </w:tr>
      <w:tr>
        <w:tc>
          <w:tcPr>
            <w:tcW w:type="dxa" w:w="3551"/>
          </w:tcPr>
          <w:p>
            <w:r>
              <w:t>Snapshot Storage</w:t>
            </w:r>
          </w:p>
        </w:tc>
        <w:tc>
          <w:tcPr>
            <w:tcW w:type="dxa" w:w="3551"/>
          </w:tcPr>
          <w:p>
            <w:r>
              <w:t>PostgreSQL JSONB</w:t>
            </w:r>
          </w:p>
        </w:tc>
        <w:tc>
          <w:tcPr>
            <w:tcW w:type="dxa" w:w="3551"/>
          </w:tcPr>
          <w:p>
            <w:r>
              <w:t>V0 保存 durable CandidateSnapshot；后续可拆对象存储</w:t>
            </w:r>
          </w:p>
        </w:tc>
      </w:tr>
      <w:tr>
        <w:tc>
          <w:tcPr>
            <w:tcW w:type="dxa" w:w="3551"/>
          </w:tcPr>
          <w:p>
            <w:r>
              <w:t>Cache</w:t>
            </w:r>
          </w:p>
        </w:tc>
        <w:tc>
          <w:tcPr>
            <w:tcW w:type="dxa" w:w="3551"/>
          </w:tcPr>
          <w:p>
            <w:r>
              <w:t>In-process cache</w:t>
            </w:r>
          </w:p>
        </w:tc>
        <w:tc>
          <w:tcPr>
            <w:tcW w:type="dxa" w:w="3551"/>
          </w:tcPr>
          <w:p>
            <w:r>
              <w:t>首版热点 Snapshot / DerivedFeature 加速；不作为 correctness dependency</w:t>
            </w:r>
          </w:p>
        </w:tc>
      </w:tr>
      <w:tr>
        <w:tc>
          <w:tcPr>
            <w:tcW w:type="dxa" w:w="3551"/>
          </w:tcPr>
          <w:p>
            <w:r>
              <w:t>Redis</w:t>
            </w:r>
          </w:p>
        </w:tc>
        <w:tc>
          <w:tcPr>
            <w:tcW w:type="dxa" w:w="3551"/>
          </w:tcPr>
          <w:p>
            <w:r>
              <w:t>V0 不引入</w:t>
            </w:r>
          </w:p>
        </w:tc>
        <w:tc>
          <w:tcPr>
            <w:tcW w:type="dxa" w:w="3551"/>
          </w:tcPr>
          <w:p>
            <w:r>
              <w:t>多实例、热点 DB 压力或跨实例 coordination 出现后再引入</w:t>
            </w:r>
          </w:p>
        </w:tc>
      </w:tr>
      <w:tr>
        <w:tc>
          <w:tcPr>
            <w:tcW w:type="dxa" w:w="3551"/>
          </w:tcPr>
          <w:p>
            <w:r>
              <w:t>Object Storage</w:t>
            </w:r>
          </w:p>
        </w:tc>
        <w:tc>
          <w:tcPr>
            <w:tcW w:type="dxa" w:w="3551"/>
          </w:tcPr>
          <w:p>
            <w:r>
              <w:t>V0 不引入</w:t>
            </w:r>
          </w:p>
        </w:tc>
        <w:tc>
          <w:tcPr>
            <w:tcW w:type="dxa" w:w="3551"/>
          </w:tcPr>
          <w:p>
            <w:r>
              <w:t>Raw Evidence 规模扩大后迁移至 S3-compatible storage</w:t>
            </w:r>
          </w:p>
        </w:tc>
      </w:tr>
      <w:tr>
        <w:tc>
          <w:tcPr>
            <w:tcW w:type="dxa" w:w="3551"/>
          </w:tcPr>
          <w:p>
            <w:r>
              <w:t>Queue / Worker</w:t>
            </w:r>
          </w:p>
        </w:tc>
        <w:tc>
          <w:tcPr>
            <w:tcW w:type="dxa" w:w="3551"/>
          </w:tcPr>
          <w:p>
            <w:r>
              <w:t>V0 不引入</w:t>
            </w:r>
          </w:p>
        </w:tc>
        <w:tc>
          <w:tcPr>
            <w:tcW w:type="dxa" w:w="3551"/>
          </w:tcPr>
          <w:p>
            <w:r>
              <w:t>主交互链路采用 request-scoped async execution</w:t>
            </w:r>
          </w:p>
        </w:tc>
      </w:tr>
      <w:tr>
        <w:tc>
          <w:tcPr>
            <w:tcW w:type="dxa" w:w="3551"/>
          </w:tcPr>
          <w:p>
            <w:r>
              <w:t>LLM Deployment</w:t>
            </w:r>
          </w:p>
        </w:tc>
        <w:tc>
          <w:tcPr>
            <w:tcW w:type="dxa" w:w="3551"/>
          </w:tcPr>
          <w:p>
            <w:r>
              <w:t>Cloud LLM API</w:t>
            </w:r>
          </w:p>
        </w:tc>
        <w:tc>
          <w:tcPr>
            <w:tcW w:type="dxa" w:w="3551"/>
          </w:tcPr>
          <w:p>
            <w:r>
              <w:t>V0 优先可靠结构化输出和开发效率，不自托管 GPU 模型</w:t>
            </w:r>
          </w:p>
        </w:tc>
      </w:tr>
      <w:tr>
        <w:tc>
          <w:tcPr>
            <w:tcW w:type="dxa" w:w="3551"/>
          </w:tcPr>
          <w:p>
            <w:r>
              <w:t>LLM Abstraction</w:t>
            </w:r>
          </w:p>
        </w:tc>
        <w:tc>
          <w:tcPr>
            <w:tcW w:type="dxa" w:w="3551"/>
          </w:tcPr>
          <w:p>
            <w:r>
              <w:t>自定义薄 LLMProvider / LLMClient Interface</w:t>
            </w:r>
          </w:p>
        </w:tc>
        <w:tc>
          <w:tcPr>
            <w:tcW w:type="dxa" w:w="3551"/>
          </w:tcPr>
          <w:p>
            <w:r>
              <w:t>业务代码不绑定厂商</w:t>
            </w:r>
          </w:p>
        </w:tc>
      </w:tr>
      <w:tr>
        <w:tc>
          <w:tcPr>
            <w:tcW w:type="dxa" w:w="3551"/>
          </w:tcPr>
          <w:p>
            <w:r>
              <w:t>LLM SDK</w:t>
            </w:r>
          </w:p>
        </w:tc>
        <w:tc>
          <w:tcPr>
            <w:tcW w:type="dxa" w:w="3551"/>
          </w:tcPr>
          <w:p>
            <w:r>
              <w:t>首个厂商官方 Python SDK</w:t>
            </w:r>
          </w:p>
        </w:tc>
        <w:tc>
          <w:tcPr>
            <w:tcW w:type="dxa" w:w="3551"/>
          </w:tcPr>
          <w:p>
            <w:r>
              <w:t>Adapter 内调用；LiteLLM/Instructor 暂不作为核心依赖</w:t>
            </w:r>
          </w:p>
        </w:tc>
      </w:tr>
      <w:tr>
        <w:tc>
          <w:tcPr>
            <w:tcW w:type="dxa" w:w="3551"/>
          </w:tcPr>
          <w:p>
            <w:r>
              <w:t>Provider Abstraction</w:t>
            </w:r>
          </w:p>
        </w:tc>
        <w:tc>
          <w:tcPr>
            <w:tcW w:type="dxa" w:w="3551"/>
          </w:tcPr>
          <w:p>
            <w:r>
              <w:t>自定义 FlightProvider Interface</w:t>
            </w:r>
          </w:p>
        </w:tc>
        <w:tc>
          <w:tcPr>
            <w:tcW w:type="dxa" w:w="3551"/>
          </w:tcPr>
          <w:p>
            <w:r>
              <w:t>Mock 与 Real Provider 可替换</w:t>
            </w:r>
          </w:p>
        </w:tc>
      </w:tr>
      <w:tr>
        <w:tc>
          <w:tcPr>
            <w:tcW w:type="dxa" w:w="3551"/>
          </w:tcPr>
          <w:p>
            <w:r>
              <w:t>Provider HTTP Client</w:t>
            </w:r>
          </w:p>
        </w:tc>
        <w:tc>
          <w:tcPr>
            <w:tcW w:type="dxa" w:w="3551"/>
          </w:tcPr>
          <w:p>
            <w:r>
              <w:t>HTTPX AsyncClient</w:t>
            </w:r>
          </w:p>
        </w:tc>
        <w:tc>
          <w:tcPr>
            <w:tcW w:type="dxa" w:w="3551"/>
          </w:tcPr>
          <w:p>
            <w:r>
              <w:t>async、连接池、细粒度 timeout 与测试 transport</w:t>
            </w:r>
          </w:p>
        </w:tc>
      </w:tr>
      <w:tr>
        <w:tc>
          <w:tcPr>
            <w:tcW w:type="dxa" w:w="3551"/>
          </w:tcPr>
          <w:p>
            <w:r>
              <w:t>Retry</w:t>
            </w:r>
          </w:p>
        </w:tc>
        <w:tc>
          <w:tcPr>
            <w:tcW w:type="dxa" w:w="3551"/>
          </w:tcPr>
          <w:p>
            <w:r>
              <w:t>Tenacity + explicit policy</w:t>
            </w:r>
          </w:p>
        </w:tc>
        <w:tc>
          <w:tcPr>
            <w:tcW w:type="dxa" w:w="3551"/>
          </w:tcPr>
          <w:p>
            <w:r>
              <w:t>只提供机制；retryability/deadline/cancel 仍由项目 policy 控制</w:t>
            </w:r>
          </w:p>
        </w:tc>
      </w:tr>
      <w:tr>
        <w:tc>
          <w:tcPr>
            <w:tcW w:type="dxa" w:w="3551"/>
          </w:tcPr>
          <w:p>
            <w:r>
              <w:t>Frontend Language</w:t>
            </w:r>
          </w:p>
        </w:tc>
        <w:tc>
          <w:tcPr>
            <w:tcW w:type="dxa" w:w="3551"/>
          </w:tcPr>
          <w:p>
            <w:r>
              <w:t>TypeScript</w:t>
            </w:r>
          </w:p>
        </w:tc>
        <w:tc>
          <w:tcPr>
            <w:tcW w:type="dxa" w:w="3551"/>
          </w:tcPr>
          <w:p>
            <w:r>
              <w:t>强化 Public Contract 与版本状态的类型安全</w:t>
            </w:r>
          </w:p>
        </w:tc>
      </w:tr>
      <w:tr>
        <w:tc>
          <w:tcPr>
            <w:tcW w:type="dxa" w:w="3551"/>
          </w:tcPr>
          <w:p>
            <w:r>
              <w:t>Frontend</w:t>
            </w:r>
          </w:p>
        </w:tc>
        <w:tc>
          <w:tcPr>
            <w:tcW w:type="dxa" w:w="3551"/>
          </w:tcPr>
          <w:p>
            <w:r>
              <w:t>React + Vite</w:t>
            </w:r>
          </w:p>
        </w:tc>
        <w:tc>
          <w:tcPr>
            <w:tcW w:type="dxa" w:w="3551"/>
          </w:tcPr>
          <w:p>
            <w:r>
              <w:t>SPA/CSR，保持前端为 Backend Authority Projection</w:t>
            </w:r>
          </w:p>
        </w:tc>
      </w:tr>
      <w:tr>
        <w:tc>
          <w:tcPr>
            <w:tcW w:type="dxa" w:w="3551"/>
          </w:tcPr>
          <w:p>
            <w:r>
              <w:t>Router</w:t>
            </w:r>
          </w:p>
        </w:tc>
        <w:tc>
          <w:tcPr>
            <w:tcW w:type="dxa" w:w="3551"/>
          </w:tcPr>
          <w:p>
            <w:r>
              <w:t>React Router</w:t>
            </w:r>
          </w:p>
        </w:tc>
        <w:tc>
          <w:tcPr>
            <w:tcW w:type="dxa" w:w="3551"/>
          </w:tcPr>
          <w:p>
            <w:r>
              <w:t>薄路由层</w:t>
            </w:r>
          </w:p>
        </w:tc>
      </w:tr>
      <w:tr>
        <w:tc>
          <w:tcPr>
            <w:tcW w:type="dxa" w:w="3551"/>
          </w:tcPr>
          <w:p>
            <w:r>
              <w:t>Server State</w:t>
            </w:r>
          </w:p>
        </w:tc>
        <w:tc>
          <w:tcPr>
            <w:tcW w:type="dxa" w:w="3551"/>
          </w:tcPr>
          <w:p>
            <w:r>
              <w:t>TanStack Query</w:t>
            </w:r>
          </w:p>
        </w:tc>
        <w:tc>
          <w:tcPr>
            <w:tcW w:type="dxa" w:w="3551"/>
          </w:tcPr>
          <w:p>
            <w:r>
              <w:t>管理 REST authority state 与 SSE 触发的更新/失效</w:t>
            </w:r>
          </w:p>
        </w:tc>
      </w:tr>
      <w:tr>
        <w:tc>
          <w:tcPr>
            <w:tcW w:type="dxa" w:w="3551"/>
          </w:tcPr>
          <w:p>
            <w:r>
              <w:t>Form</w:t>
            </w:r>
          </w:p>
        </w:tc>
        <w:tc>
          <w:tcPr>
            <w:tcW w:type="dxa" w:w="3551"/>
          </w:tcPr>
          <w:p>
            <w:r>
              <w:t>React Hook Form</w:t>
            </w:r>
          </w:p>
        </w:tc>
        <w:tc>
          <w:tcPr>
            <w:tcW w:type="dxa" w:w="3551"/>
          </w:tcPr>
          <w:p>
            <w:r>
              <w:t>Requirement Workspace 表单状态</w:t>
            </w:r>
          </w:p>
        </w:tc>
      </w:tr>
      <w:tr>
        <w:tc>
          <w:tcPr>
            <w:tcW w:type="dxa" w:w="3551"/>
          </w:tcPr>
          <w:p>
            <w:r>
              <w:t>Client Runtime Schema</w:t>
            </w:r>
          </w:p>
        </w:tc>
        <w:tc>
          <w:tcPr>
            <w:tcW w:type="dxa" w:w="3551"/>
          </w:tcPr>
          <w:p>
            <w:r>
              <w:t>Zod（有限使用）</w:t>
            </w:r>
          </w:p>
        </w:tc>
        <w:tc>
          <w:tcPr>
            <w:tcW w:type="dxa" w:w="3551"/>
          </w:tcPr>
          <w:p>
            <w:r>
              <w:t>关键 runtime/form validation；避免重复维护三套契约</w:t>
            </w:r>
          </w:p>
        </w:tc>
      </w:tr>
      <w:tr>
        <w:tc>
          <w:tcPr>
            <w:tcW w:type="dxa" w:w="3551"/>
          </w:tcPr>
          <w:p>
            <w:r>
              <w:t>SSE</w:t>
            </w:r>
          </w:p>
        </w:tc>
        <w:tc>
          <w:tcPr>
            <w:tcW w:type="dxa" w:w="3551"/>
          </w:tcPr>
          <w:p>
            <w:r>
              <w:t>Browser EventSource + thin manager</w:t>
            </w:r>
          </w:p>
        </w:tc>
        <w:tc>
          <w:tcPr>
            <w:tcW w:type="dxa" w:w="3551"/>
          </w:tcPr>
          <w:p>
            <w:r>
              <w:t>SSE 为通知通道；REST 为恢复权威通道</w:t>
            </w:r>
          </w:p>
        </w:tc>
      </w:tr>
      <w:tr>
        <w:tc>
          <w:tcPr>
            <w:tcW w:type="dxa" w:w="3551"/>
          </w:tcPr>
          <w:p>
            <w:r>
              <w:t>Backend Testing</w:t>
            </w:r>
          </w:p>
        </w:tc>
        <w:tc>
          <w:tcPr>
            <w:tcW w:type="dxa" w:w="3551"/>
          </w:tcPr>
          <w:p>
            <w:r>
              <w:t>pytest + pytest-asyncio</w:t>
            </w:r>
          </w:p>
        </w:tc>
        <w:tc>
          <w:tcPr>
            <w:tcW w:type="dxa" w:w="3551"/>
          </w:tcPr>
          <w:p>
            <w:r>
              <w:t>Domain/Contract/Integration/Workflow 统一测试入口</w:t>
            </w:r>
          </w:p>
        </w:tc>
      </w:tr>
      <w:tr>
        <w:tc>
          <w:tcPr>
            <w:tcW w:type="dxa" w:w="3551"/>
          </w:tcPr>
          <w:p>
            <w:r>
              <w:t>Property Testing</w:t>
            </w:r>
          </w:p>
        </w:tc>
        <w:tc>
          <w:tcPr>
            <w:tcW w:type="dxa" w:w="3551"/>
          </w:tcPr>
          <w:p>
            <w:r>
              <w:t>Hypothesis</w:t>
            </w:r>
          </w:p>
        </w:tc>
        <w:tc>
          <w:tcPr>
            <w:tcW w:type="dxa" w:w="3551"/>
          </w:tcPr>
          <w:p>
            <w:r>
              <w:t>用于关键 invariant 的组合边界测试</w:t>
            </w:r>
          </w:p>
        </w:tc>
      </w:tr>
      <w:tr>
        <w:tc>
          <w:tcPr>
            <w:tcW w:type="dxa" w:w="3551"/>
          </w:tcPr>
          <w:p>
            <w:r>
              <w:t>Frontend Testing</w:t>
            </w:r>
          </w:p>
        </w:tc>
        <w:tc>
          <w:tcPr>
            <w:tcW w:type="dxa" w:w="3551"/>
          </w:tcPr>
          <w:p>
            <w:r>
              <w:t>Vitest + React Testing Library</w:t>
            </w:r>
          </w:p>
        </w:tc>
        <w:tc>
          <w:tcPr>
            <w:tcW w:type="dxa" w:w="3551"/>
          </w:tcPr>
          <w:p>
            <w:r>
              <w:t>组件和前端状态行为测试</w:t>
            </w:r>
          </w:p>
        </w:tc>
      </w:tr>
      <w:tr>
        <w:tc>
          <w:tcPr>
            <w:tcW w:type="dxa" w:w="3551"/>
          </w:tcPr>
          <w:p>
            <w:r>
              <w:t>Frontend API Mock</w:t>
            </w:r>
          </w:p>
        </w:tc>
        <w:tc>
          <w:tcPr>
            <w:tcW w:type="dxa" w:w="3551"/>
          </w:tcPr>
          <w:p>
            <w:r>
              <w:t>MSW</w:t>
            </w:r>
          </w:p>
        </w:tc>
        <w:tc>
          <w:tcPr>
            <w:tcW w:type="dxa" w:w="3551"/>
          </w:tcPr>
          <w:p>
            <w:r>
              <w:t>稳定模拟 WorkflowState、错误与恢复场景</w:t>
            </w:r>
          </w:p>
        </w:tc>
      </w:tr>
      <w:tr>
        <w:tc>
          <w:tcPr>
            <w:tcW w:type="dxa" w:w="3551"/>
          </w:tcPr>
          <w:p>
            <w:r>
              <w:t>Browser E2E</w:t>
            </w:r>
          </w:p>
        </w:tc>
        <w:tc>
          <w:tcPr>
            <w:tcW w:type="dxa" w:w="3551"/>
          </w:tcPr>
          <w:p>
            <w:r>
              <w:t>Playwright</w:t>
            </w:r>
          </w:p>
        </w:tc>
        <w:tc>
          <w:tcPr>
            <w:tcW w:type="dxa" w:w="3551"/>
          </w:tcPr>
          <w:p>
            <w:r>
              <w:t>生产式浏览器流程、刷新、断线重连与 REST resync</w:t>
            </w:r>
          </w:p>
        </w:tc>
      </w:tr>
      <w:tr>
        <w:tc>
          <w:tcPr>
            <w:tcW w:type="dxa" w:w="3551"/>
          </w:tcPr>
          <w:p>
            <w:r>
              <w:t>Evaluation</w:t>
            </w:r>
          </w:p>
        </w:tc>
        <w:tc>
          <w:tcPr>
            <w:tcW w:type="dxa" w:w="3551"/>
          </w:tcPr>
          <w:p>
            <w:r>
              <w:t>Custom Python runner + versioned JSONL/YAML datasets</w:t>
            </w:r>
          </w:p>
        </w:tc>
        <w:tc>
          <w:tcPr>
            <w:tcW w:type="dxa" w:w="3551"/>
          </w:tcPr>
          <w:p>
            <w:r>
              <w:t>Parser/Ranking/Recommendation/Explanation 独立评估</w:t>
            </w:r>
          </w:p>
        </w:tc>
      </w:tr>
      <w:tr>
        <w:tc>
          <w:tcPr>
            <w:tcW w:type="dxa" w:w="3551"/>
          </w:tcPr>
          <w:p>
            <w:r>
              <w:t>Logging</w:t>
            </w:r>
          </w:p>
        </w:tc>
        <w:tc>
          <w:tcPr>
            <w:tcW w:type="dxa" w:w="3551"/>
          </w:tcPr>
          <w:p>
            <w:r>
              <w:t>logging + structlog</w:t>
            </w:r>
          </w:p>
        </w:tc>
        <w:tc>
          <w:tcPr>
            <w:tcW w:type="dxa" w:w="3551"/>
          </w:tcPr>
          <w:p>
            <w:r>
              <w:t>JSON structured logs；默认不记录敏感原文</w:t>
            </w:r>
          </w:p>
        </w:tc>
      </w:tr>
      <w:tr>
        <w:tc>
          <w:tcPr>
            <w:tcW w:type="dxa" w:w="3551"/>
          </w:tcPr>
          <w:p>
            <w:r>
              <w:t>Tracing</w:t>
            </w:r>
          </w:p>
        </w:tc>
        <w:tc>
          <w:tcPr>
            <w:tcW w:type="dxa" w:w="3551"/>
          </w:tcPr>
          <w:p>
            <w:r>
              <w:t>OpenTelemetry</w:t>
            </w:r>
          </w:p>
        </w:tc>
        <w:tc>
          <w:tcPr>
            <w:tcW w:type="dxa" w:w="3551"/>
          </w:tcPr>
          <w:p>
            <w:r>
              <w:t>厂商中立的端到端 tracing 标准</w:t>
            </w:r>
          </w:p>
        </w:tc>
      </w:tr>
      <w:tr>
        <w:tc>
          <w:tcPr>
            <w:tcW w:type="dxa" w:w="3551"/>
          </w:tcPr>
          <w:p>
            <w:r>
              <w:t>Metrics</w:t>
            </w:r>
          </w:p>
        </w:tc>
        <w:tc>
          <w:tcPr>
            <w:tcW w:type="dxa" w:w="3551"/>
          </w:tcPr>
          <w:p>
            <w:r>
              <w:t>OpenTelemetry / Prometheus-compatible</w:t>
            </w:r>
          </w:p>
        </w:tc>
        <w:tc>
          <w:tcPr>
            <w:tcW w:type="dxa" w:w="3551"/>
          </w:tcPr>
          <w:p>
            <w:r>
              <w:t>API、Agent、Provider、LLM、Snapshot reuse 等指标</w:t>
            </w:r>
          </w:p>
        </w:tc>
      </w:tr>
      <w:tr>
        <w:tc>
          <w:tcPr>
            <w:tcW w:type="dxa" w:w="3551"/>
          </w:tcPr>
          <w:p>
            <w:r>
              <w:t>Error Tracking</w:t>
            </w:r>
          </w:p>
        </w:tc>
        <w:tc>
          <w:tcPr>
            <w:tcW w:type="dxa" w:w="3551"/>
          </w:tcPr>
          <w:p>
            <w:r>
              <w:t>Sentry 可选</w:t>
            </w:r>
          </w:p>
        </w:tc>
        <w:tc>
          <w:tcPr>
            <w:tcW w:type="dxa" w:w="3551"/>
          </w:tcPr>
          <w:p>
            <w:r>
              <w:t>production-like 阶段可加入，不作为 correctness dependency</w:t>
            </w:r>
          </w:p>
        </w:tc>
      </w:tr>
      <w:tr>
        <w:tc>
          <w:tcPr>
            <w:tcW w:type="dxa" w:w="3551"/>
          </w:tcPr>
          <w:p>
            <w:r>
              <w:t>Python Package</w:t>
            </w:r>
          </w:p>
        </w:tc>
        <w:tc>
          <w:tcPr>
            <w:tcW w:type="dxa" w:w="3551"/>
          </w:tcPr>
          <w:p>
            <w:r>
              <w:t>uv + pyproject.toml</w:t>
            </w:r>
          </w:p>
        </w:tc>
        <w:tc>
          <w:tcPr>
            <w:tcW w:type="dxa" w:w="3551"/>
          </w:tcPr>
          <w:p>
            <w:r>
              <w:t>快速、锁定、可复现环境</w:t>
            </w:r>
          </w:p>
        </w:tc>
      </w:tr>
      <w:tr>
        <w:tc>
          <w:tcPr>
            <w:tcW w:type="dxa" w:w="3551"/>
          </w:tcPr>
          <w:p>
            <w:r>
              <w:t>Frontend Package</w:t>
            </w:r>
          </w:p>
        </w:tc>
        <w:tc>
          <w:tcPr>
            <w:tcW w:type="dxa" w:w="3551"/>
          </w:tcPr>
          <w:p>
            <w:r>
              <w:t>pnpm</w:t>
            </w:r>
          </w:p>
        </w:tc>
        <w:tc>
          <w:tcPr>
            <w:tcW w:type="dxa" w:w="3551"/>
          </w:tcPr>
          <w:p>
            <w:r>
              <w:t>锁文件明确、依赖管理严格</w:t>
            </w:r>
          </w:p>
        </w:tc>
      </w:tr>
      <w:tr>
        <w:tc>
          <w:tcPr>
            <w:tcW w:type="dxa" w:w="3551"/>
          </w:tcPr>
          <w:p>
            <w:r>
              <w:t>Python Lint / Format</w:t>
            </w:r>
          </w:p>
        </w:tc>
        <w:tc>
          <w:tcPr>
            <w:tcW w:type="dxa" w:w="3551"/>
          </w:tcPr>
          <w:p>
            <w:r>
              <w:t>Ruff</w:t>
            </w:r>
          </w:p>
        </w:tc>
        <w:tc>
          <w:tcPr>
            <w:tcW w:type="dxa" w:w="3551"/>
          </w:tcPr>
          <w:p>
            <w:r>
              <w:t>减少 Black/isort/flake8 多工具叠加</w:t>
            </w:r>
          </w:p>
        </w:tc>
      </w:tr>
      <w:tr>
        <w:tc>
          <w:tcPr>
            <w:tcW w:type="dxa" w:w="3551"/>
          </w:tcPr>
          <w:p>
            <w:r>
              <w:t>Python Type Check</w:t>
            </w:r>
          </w:p>
        </w:tc>
        <w:tc>
          <w:tcPr>
            <w:tcW w:type="dxa" w:w="3551"/>
          </w:tcPr>
          <w:p>
            <w:r>
              <w:t>Pyright</w:t>
            </w:r>
          </w:p>
        </w:tc>
        <w:tc>
          <w:tcPr>
            <w:tcW w:type="dxa" w:w="3551"/>
          </w:tcPr>
          <w:p>
            <w:r>
              <w:t>加强 Protocol/Repository/Provider/DTO 静态检查</w:t>
            </w:r>
          </w:p>
        </w:tc>
      </w:tr>
      <w:tr>
        <w:tc>
          <w:tcPr>
            <w:tcW w:type="dxa" w:w="3551"/>
          </w:tcPr>
          <w:p>
            <w:r>
              <w:t>Frontend Lint / Type</w:t>
            </w:r>
          </w:p>
        </w:tc>
        <w:tc>
          <w:tcPr>
            <w:tcW w:type="dxa" w:w="3551"/>
          </w:tcPr>
          <w:p>
            <w:r>
              <w:t>ESLint + TypeScript compiler</w:t>
            </w:r>
          </w:p>
        </w:tc>
        <w:tc>
          <w:tcPr>
            <w:tcW w:type="dxa" w:w="3551"/>
          </w:tcPr>
          <w:p>
            <w:r>
              <w:t>前端静态质量门槛</w:t>
            </w:r>
          </w:p>
        </w:tc>
      </w:tr>
      <w:tr>
        <w:tc>
          <w:tcPr>
            <w:tcW w:type="dxa" w:w="3551"/>
          </w:tcPr>
          <w:p>
            <w:r>
              <w:t>Container</w:t>
            </w:r>
          </w:p>
        </w:tc>
        <w:tc>
          <w:tcPr>
            <w:tcW w:type="dxa" w:w="3551"/>
          </w:tcPr>
          <w:p>
            <w:r>
              <w:t>Docker</w:t>
            </w:r>
          </w:p>
        </w:tc>
        <w:tc>
          <w:tcPr>
            <w:tcW w:type="dxa" w:w="3551"/>
          </w:tcPr>
          <w:p>
            <w:r>
              <w:t>统一 local/CI/production-like 运行单元</w:t>
            </w:r>
          </w:p>
        </w:tc>
      </w:tr>
      <w:tr>
        <w:tc>
          <w:tcPr>
            <w:tcW w:type="dxa" w:w="3551"/>
          </w:tcPr>
          <w:p>
            <w:r>
              <w:t>CI/CD Orchestration</w:t>
            </w:r>
          </w:p>
        </w:tc>
        <w:tc>
          <w:tcPr>
            <w:tcW w:type="dxa" w:w="3551"/>
          </w:tcPr>
          <w:p>
            <w:r>
              <w:t>GitHub Actions</w:t>
            </w:r>
          </w:p>
        </w:tc>
        <w:tc>
          <w:tcPr>
            <w:tcW w:type="dxa" w:w="3551"/>
          </w:tcPr>
          <w:p>
            <w:r>
              <w:t>PR lint/type/test/integration；真实外部依赖独立 smoke/eval pipeline</w:t>
            </w:r>
          </w:p>
        </w:tc>
      </w:tr>
    </w:tbl>
    <w:p>
      <w:pPr>
        <w:pStyle w:val="Heading1"/>
      </w:pPr>
      <w:r>
        <w:t>3. 建议未来安装的本机基础工具</w:t>
      </w:r>
    </w:p>
    <w:p>
      <w:pPr>
        <w:pStyle w:val="ListBullet"/>
      </w:pPr>
      <w:r>
        <w:t>Git：版本控制与 GitHub Actions 工作流基础。</w:t>
      </w:r>
    </w:p>
    <w:p>
      <w:pPr>
        <w:pStyle w:val="ListBullet"/>
      </w:pPr>
      <w:r>
        <w:t>Docker Desktop / Docker Engine + Docker Compose：本地 PostgreSQL 与 production-like 运行基线。</w:t>
      </w:r>
    </w:p>
    <w:p>
      <w:pPr>
        <w:pStyle w:val="ListBullet"/>
      </w:pPr>
      <w:r>
        <w:t>Python 3.12+ 与 uv：Backend runtime、依赖锁定和虚拟环境。</w:t>
      </w:r>
    </w:p>
    <w:p>
      <w:pPr>
        <w:pStyle w:val="ListBullet"/>
      </w:pPr>
      <w:r>
        <w:t>Node.js LTS + pnpm：React/Vite/TypeScript 前端工具链。</w:t>
      </w:r>
    </w:p>
    <w:p>
      <w:pPr>
        <w:pStyle w:val="ListBullet"/>
      </w:pPr>
      <w:r>
        <w:t>IDE/编辑器与 Codex 开发工具：具体插件与工作流可在第三阶段前确定。</w:t>
      </w:r>
    </w:p>
    <w:p>
      <w:pPr>
        <w:pStyle w:val="ListBullet"/>
      </w:pPr>
      <w:r>
        <w:t>可选：PostgreSQL GUI/CLI、HTTP API 调试工具；不作为项目 correctness dependency。</w:t>
      </w:r>
    </w:p>
    <w:p>
      <w:pPr>
        <w:pStyle w:val="Heading1"/>
      </w:pPr>
      <w:r>
        <w:t>4. Backend 项目依赖清单</w:t>
      </w:r>
    </w:p>
    <w:p>
      <w:pPr>
        <w:pStyle w:val="ListBullet"/>
      </w:pPr>
      <w:r>
        <w:t>fastapi、uvicorn：API 与 ASGI runtime。</w:t>
      </w:r>
    </w:p>
    <w:p>
      <w:pPr>
        <w:pStyle w:val="ListBullet"/>
      </w:pPr>
      <w:r>
        <w:t>pydantic、pydantic-settings：Data Contract/Settings。</w:t>
      </w:r>
    </w:p>
    <w:p>
      <w:pPr>
        <w:pStyle w:val="ListBullet"/>
      </w:pPr>
      <w:r>
        <w:t>sqlalchemy、alembic、PostgreSQL driver：Persistence/Migration。</w:t>
      </w:r>
    </w:p>
    <w:p>
      <w:pPr>
        <w:pStyle w:val="ListBullet"/>
      </w:pPr>
      <w:r>
        <w:t>httpx：Provider HTTP / API integration test。</w:t>
      </w:r>
    </w:p>
    <w:p>
      <w:pPr>
        <w:pStyle w:val="ListBullet"/>
      </w:pPr>
      <w:r>
        <w:t>tenacity：受控 retry mechanism。</w:t>
      </w:r>
    </w:p>
    <w:p>
      <w:pPr>
        <w:pStyle w:val="ListBullet"/>
      </w:pPr>
      <w:r>
        <w:t>structlog、OpenTelemetry 相关包：Observability instrumentation。</w:t>
      </w:r>
    </w:p>
    <w:p>
      <w:pPr>
        <w:pStyle w:val="ListBullet"/>
      </w:pPr>
      <w:r>
        <w:t>pytest、pytest-asyncio、pytest-cov、hypothesis：Backend test/evaluation 基础。</w:t>
      </w:r>
    </w:p>
    <w:p>
      <w:pPr>
        <w:pStyle w:val="ListBullet"/>
      </w:pPr>
      <w:r>
        <w:t>ruff、pyright：代码质量与静态类型。</w:t>
      </w:r>
    </w:p>
    <w:p>
      <w:pPr>
        <w:pStyle w:val="ListBullet"/>
      </w:pPr>
      <w:r>
        <w:t>首个 LLM Provider 的官方 Python SDK：具体厂商待后续模型决策。</w:t>
      </w:r>
    </w:p>
    <w:p>
      <w:pPr>
        <w:pStyle w:val="Heading1"/>
      </w:pPr>
      <w:r>
        <w:t>5. Frontend 项目依赖清单</w:t>
      </w:r>
    </w:p>
    <w:p>
      <w:pPr>
        <w:pStyle w:val="ListBullet"/>
      </w:pPr>
      <w:r>
        <w:t>React、TypeScript、Vite。</w:t>
      </w:r>
    </w:p>
    <w:p>
      <w:pPr>
        <w:pStyle w:val="ListBullet"/>
      </w:pPr>
      <w:r>
        <w:t>React Router。</w:t>
      </w:r>
    </w:p>
    <w:p>
      <w:pPr>
        <w:pStyle w:val="ListBullet"/>
      </w:pPr>
      <w:r>
        <w:t>TanStack Query。</w:t>
      </w:r>
    </w:p>
    <w:p>
      <w:pPr>
        <w:pStyle w:val="ListBullet"/>
      </w:pPr>
      <w:r>
        <w:t>React Hook Form。</w:t>
      </w:r>
    </w:p>
    <w:p>
      <w:pPr>
        <w:pStyle w:val="ListBullet"/>
      </w:pPr>
      <w:r>
        <w:t>Zod（有限 runtime/form validation）。</w:t>
      </w:r>
    </w:p>
    <w:p>
      <w:pPr>
        <w:pStyle w:val="ListBullet"/>
      </w:pPr>
      <w:r>
        <w:t>Vitest、React Testing Library、MSW。</w:t>
      </w:r>
    </w:p>
    <w:p>
      <w:pPr>
        <w:pStyle w:val="ListBullet"/>
      </w:pPr>
      <w:r>
        <w:t>Playwright。</w:t>
      </w:r>
    </w:p>
    <w:p>
      <w:pPr>
        <w:pStyle w:val="ListBullet"/>
      </w:pPr>
      <w:r>
        <w:t>ESLint；格式化工具可在 Repository 初始化时统一配置。</w:t>
      </w:r>
    </w:p>
    <w:p>
      <w:pPr>
        <w:pStyle w:val="Heading1"/>
      </w:pPr>
      <w:r>
        <w:t>6. V0 明确不需要先安装的基础设施</w:t>
      </w:r>
    </w:p>
    <w:p>
      <w:pPr>
        <w:pStyle w:val="ListBullet"/>
      </w:pPr>
      <w:r>
        <w:t>Redis：首版使用 in-process cache；多实例或热点压力出现后再引入。</w:t>
      </w:r>
    </w:p>
    <w:p>
      <w:pPr>
        <w:pStyle w:val="ListBullet"/>
      </w:pPr>
      <w:r>
        <w:t>RabbitMQ/Kafka/Celery/Temporal：V0 主链路不使用 Queue/Worker/Durable Workflow。</w:t>
      </w:r>
    </w:p>
    <w:p>
      <w:pPr>
        <w:pStyle w:val="ListBullet"/>
      </w:pPr>
      <w:r>
        <w:t>MinIO/S3 本地模拟：Raw Evidence 首版可 PostgreSQL JSONB/local blob。</w:t>
      </w:r>
    </w:p>
    <w:p>
      <w:pPr>
        <w:pStyle w:val="ListBullet"/>
      </w:pPr>
      <w:r>
        <w:t>Kubernetes/Service Mesh：不属于 V0。</w:t>
      </w:r>
    </w:p>
    <w:p>
      <w:pPr>
        <w:pStyle w:val="ListBullet"/>
      </w:pPr>
      <w:r>
        <w:t>自托管 GPU LLM runtime：V0 使用 Cloud LLM API。</w:t>
      </w:r>
    </w:p>
    <w:p>
      <w:pPr>
        <w:pStyle w:val="ListBullet"/>
      </w:pPr>
      <w:r>
        <w:t>MongoDB/Elasticsearch：无当前必要性。</w:t>
      </w:r>
    </w:p>
    <w:p>
      <w:pPr>
        <w:pStyle w:val="ListBullet"/>
      </w:pPr>
      <w:r>
        <w:t>完整 Prometheus/Grafana/Tempo/Loki 本地套件：开发首版可 console structured logs + metrics endpoint + optional OTel exporter。</w:t>
      </w:r>
    </w:p>
    <w:p>
      <w:pPr>
        <w:pStyle w:val="Heading1"/>
      </w:pPr>
      <w:r>
        <w:t>7. 第二阶段结束后建议的开发环境 Bootstrap 顺序</w:t>
      </w:r>
    </w:p>
    <w:p>
      <w:r>
        <w:t>1. 确认 Phase 17 的 local/dev/production-like 拓扑与 Docker Compose 方案。</w:t>
      </w:r>
    </w:p>
    <w:p>
      <w:r>
        <w:t>2. 确认 Phase 18 repository/package/module 结构。</w:t>
      </w:r>
    </w:p>
    <w:p>
      <w:r>
        <w:t>3. 确认 Phase 19 MVP 第一批实现顺序。</w:t>
      </w:r>
    </w:p>
    <w:p>
      <w:r>
        <w:t>4. 安装/核验 Git、Docker、Python 3.12+、uv、Node.js、pnpm。</w:t>
      </w:r>
    </w:p>
    <w:p>
      <w:r>
        <w:t>5. 创建 repository skeleton 与 pyproject.toml / package.json。</w:t>
      </w:r>
    </w:p>
    <w:p>
      <w:r>
        <w:t>6. 建立 Docker Compose PostgreSQL 与本地持久卷。</w:t>
      </w:r>
    </w:p>
    <w:p>
      <w:r>
        <w:t>7. 初始化 FastAPI + Pydantic Settings + SQLAlchemy/Alembic。</w:t>
      </w:r>
    </w:p>
    <w:p>
      <w:r>
        <w:t>8. 初始化 React + Vite + TypeScript + Router/Query/Form。</w:t>
      </w:r>
    </w:p>
    <w:p>
      <w:r>
        <w:t>9. 建立 .env.example、local secret 注入与 config validation。</w:t>
      </w:r>
    </w:p>
    <w:p>
      <w:r>
        <w:t>10. 建立 pytest/Vitest/Playwright 基础测试骨架。</w:t>
      </w:r>
    </w:p>
    <w:p>
      <w:r>
        <w:t>11. 建立 Ruff/Pyright/ESLint/pre-commit。</w:t>
      </w:r>
    </w:p>
    <w:p>
      <w:r>
        <w:t>12. 建立 GitHub Actions 基础 CI。</w:t>
      </w:r>
    </w:p>
    <w:p>
      <w:r>
        <w:t>13. 最后再接 FakeLLM/MockFlightProvider，跑通第一条端到端 skeleton。</w:t>
      </w:r>
    </w:p>
    <w:p>
      <w:pPr>
        <w:pStyle w:val="Heading1"/>
      </w:pPr>
      <w:r>
        <w:t>8. 仍需等待 Phase 17–19 决定后再安装/配置的项目</w:t>
      </w:r>
    </w:p>
    <w:p>
      <w:pPr>
        <w:pStyle w:val="ListBullet"/>
      </w:pPr>
      <w:r>
        <w:t>Docker Compose 的服务清单、端口、volume、network、healthcheck。</w:t>
      </w:r>
    </w:p>
    <w:p>
      <w:pPr>
        <w:pStyle w:val="ListBullet"/>
      </w:pPr>
      <w:r>
        <w:t>PostgreSQL 具体版本、数据库名、migration 自动/手动策略。</w:t>
      </w:r>
    </w:p>
    <w:p>
      <w:pPr>
        <w:pStyle w:val="ListBullet"/>
      </w:pPr>
      <w:r>
        <w:t>Frontend dev server 与 Backend 的 proxy/CORS 方式。</w:t>
      </w:r>
    </w:p>
    <w:p>
      <w:pPr>
        <w:pStyle w:val="ListBullet"/>
      </w:pPr>
      <w:r>
        <w:t>Local/Development/Production-like 的 .env/Secret 管理方式。</w:t>
      </w:r>
    </w:p>
    <w:p>
      <w:pPr>
        <w:pStyle w:val="ListBullet"/>
      </w:pPr>
      <w:r>
        <w:t>Cloud target、Container Registry、Managed PostgreSQL 与 Secret Manager。</w:t>
      </w:r>
    </w:p>
    <w:p>
      <w:pPr>
        <w:pStyle w:val="ListBullet"/>
      </w:pPr>
      <w:r>
        <w:t>Repository monorepo/多目录最终布局以及命令入口。</w:t>
      </w:r>
    </w:p>
    <w:p>
      <w:pPr>
        <w:pStyle w:val="ListBullet"/>
      </w:pPr>
      <w:r>
        <w:t>首个真实 LLM 模型与 Flight Provider credentials。</w:t>
      </w:r>
    </w:p>
    <w:sectPr w:rsidR="00FC693F" w:rsidRPr="0006063C" w:rsidSect="00034616">
      <w:pgSz w:w="12240" w:h="15840"/>
      <w:pgMar w:top="720" w:right="794" w:bottom="72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