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M9-FLIGGY-HUMAN-ACCEPTANCE-U1</w:t>
      </w:r>
    </w:p>
    <w:p>
      <w:pPr>
        <w:jc w:val="center"/>
      </w:pPr>
      <w:r>
        <w:rPr>
          <w:sz w:val="20"/>
        </w:rPr>
        <w:t>Manual Browser Observation / Sanitized Evidence Replay / Semantic Acceptance Validation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M9-FLIGGY-HUMAN-ACCEPTANCE-U1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Human Acceptance / Manual Real-Provider Semantic Validation</w:t>
            </w:r>
          </w:p>
        </w:tc>
      </w:tr>
      <w:tr>
        <w:tc>
          <w:tcPr>
            <w:tcW w:type="dxa" w:w="5184"/>
          </w:tcPr>
          <w:p>
            <w:r>
              <w:t>Provider</w:t>
            </w:r>
          </w:p>
        </w:tc>
        <w:tc>
          <w:tcPr>
            <w:tcW w:type="dxa" w:w="5184"/>
          </w:tcPr>
          <w:p>
            <w:r>
              <w:t>FLIGGY</w:t>
            </w:r>
          </w:p>
        </w:tc>
      </w:tr>
      <w:tr>
        <w:tc>
          <w:tcPr>
            <w:tcW w:type="dxa" w:w="5184"/>
          </w:tcPr>
          <w:p>
            <w:r>
              <w:t>Primary mode</w:t>
            </w:r>
          </w:p>
        </w:tc>
        <w:tc>
          <w:tcPr>
            <w:tcW w:type="dxa" w:w="5184"/>
          </w:tcPr>
          <w:p>
            <w:r>
              <w:t>Manual browser observation + sanitized evidence replay</w:t>
            </w:r>
          </w:p>
        </w:tc>
      </w:tr>
      <w:tr>
        <w:tc>
          <w:tcPr>
            <w:tcW w:type="dxa" w:w="5184"/>
          </w:tcPr>
          <w:p>
            <w:r>
              <w:t>Production implementation authority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CLI/Harness implementation authority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Live automation claim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Expected Contract Amendment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Provider-local closure state</w:t>
            </w:r>
          </w:p>
        </w:tc>
        <w:tc>
          <w:tcPr>
            <w:tcW w:type="dxa" w:w="5184"/>
          </w:tcPr>
          <w:p>
            <w:r>
              <w:t>MUST REMAIN CLOSED unless a validated P0/P1 semantic regression is found</w:t>
            </w:r>
          </w:p>
        </w:tc>
      </w:tr>
    </w:tbl>
    <w:p>
      <w:pPr>
        <w:pStyle w:val="Heading1"/>
      </w:pPr>
      <w:r>
        <w:t>2. Goal</w:t>
      </w:r>
    </w:p>
    <w:p>
      <w:r>
        <w:t>使用真实飞猪公开网页进行人工浏览、搜索与展开观察，把观察结果整理为最小化、脱敏的 Sanitized Human Evidence，再通过现有 FLIGGY Mapper / Canonical / Conservative Merger 语义做人工验收。</w:t>
      </w:r>
    </w:p>
    <w:p>
      <w:r>
        <w:t>本 Unit 用于验证“真实网页语义是否仍与已收口实现一致”，而不是证明自动化 live Level-2 acquisition 已稳定，也不是重新开放 FLIGGY provider-local feature development。</w:t>
      </w:r>
    </w:p>
    <w:p>
      <w:pPr>
        <w:pStyle w:val="Heading1"/>
      </w:pPr>
      <w:r>
        <w:t>3. Validation Boundary</w:t>
      </w:r>
    </w:p>
    <w:p>
      <w:r>
        <w:t>验证链路：真实飞猪网页 → Human Raw Observation → Sanitized Human Evidence → Existing FLIGGY Mapper → Existing Canonical Entry/CommonNormalizer → Existing Candidate Merger → Human Acceptance Result。</w:t>
      </w:r>
    </w:p>
    <w:p>
      <w:pPr>
        <w:pStyle w:val="ListBullet"/>
      </w:pPr>
      <w:r>
        <w:t>人工浏览器负责真实页面导航、搜索、选择目标航班与点击订票/展开。</w:t>
      </w:r>
    </w:p>
    <w:p>
      <w:pPr>
        <w:pStyle w:val="ListBullet"/>
      </w:pPr>
      <w:r>
        <w:t>项目代码只接收 Sanitized Human Evidence，不接收 Cookie、Auth、session、HAR、完整 DOM 或浏览器秘密。</w:t>
      </w:r>
    </w:p>
    <w:p>
      <w:pPr>
        <w:pStyle w:val="ListBullet"/>
      </w:pPr>
      <w:r>
        <w:t>现有自动化 live acquisition gap 被绕过，但必须继续标记为 LIVE GAP PRESERVED；人工 PASS 不得升级成 automated live validation。</w:t>
      </w:r>
    </w:p>
    <w:p>
      <w:pPr>
        <w:pStyle w:val="Heading1"/>
      </w:pPr>
      <w:r>
        <w:t>4. Evidence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Layer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  <w:tc>
          <w:tcPr>
            <w:tcW w:type="dxa" w:w="3456"/>
          </w:tcPr>
          <w:p>
            <w:r>
              <w:t>Repository policy</w:t>
            </w:r>
          </w:p>
        </w:tc>
      </w:tr>
      <w:tr>
        <w:tc>
          <w:tcPr>
            <w:tcW w:type="dxa" w:w="3456"/>
          </w:tcPr>
          <w:p>
            <w:r>
              <w:t>A. Human Raw Observation</w:t>
            </w:r>
          </w:p>
        </w:tc>
        <w:tc>
          <w:tcPr>
            <w:tcW w:type="dxa" w:w="3456"/>
          </w:tcPr>
          <w:p>
            <w:r>
              <w:t>人工记录网页上实际看到的文字/事实，必要时可有本地截图佐证。</w:t>
            </w:r>
          </w:p>
        </w:tc>
        <w:tc>
          <w:tcPr>
            <w:tcW w:type="dxa" w:w="3456"/>
          </w:tcPr>
          <w:p>
            <w:r>
              <w:t>LOCAL-ONLY；不得提交未脱敏截图、DOM、HAR、账号/会话信息。</w:t>
            </w:r>
          </w:p>
        </w:tc>
      </w:tr>
      <w:tr>
        <w:tc>
          <w:tcPr>
            <w:tcW w:type="dxa" w:w="3456"/>
          </w:tcPr>
          <w:p>
            <w:r>
              <w:t>B. Sanitized Human Evidence</w:t>
            </w:r>
          </w:p>
        </w:tc>
        <w:tc>
          <w:tcPr>
            <w:tcW w:type="dxa" w:w="3456"/>
          </w:tcPr>
          <w:p>
            <w:r>
              <w:t>把 Layer A 转成最小化结构化输入，供现有 Mapper/Canonical/Merger replay。</w:t>
            </w:r>
          </w:p>
        </w:tc>
        <w:tc>
          <w:tcPr>
            <w:tcW w:type="dxa" w:w="3456"/>
          </w:tcPr>
          <w:p>
            <w:r>
              <w:t>可用于验收输入；必须通过 sanitization gate。</w:t>
            </w:r>
          </w:p>
        </w:tc>
      </w:tr>
      <w:tr>
        <w:tc>
          <w:tcPr>
            <w:tcW w:type="dxa" w:w="3456"/>
          </w:tcPr>
          <w:p>
            <w:r>
              <w:t>C. Expected Semantic Result</w:t>
            </w:r>
          </w:p>
        </w:tc>
        <w:tc>
          <w:tcPr>
            <w:tcW w:type="dxa" w:w="3456"/>
          </w:tcPr>
          <w:p>
            <w:r>
              <w:t>测试前写明预期 price semantics、carrier identity、row atomicity、equivalence/merger outcome。</w:t>
            </w:r>
          </w:p>
        </w:tc>
        <w:tc>
          <w:tcPr>
            <w:tcW w:type="dxa" w:w="3456"/>
          </w:tcPr>
          <w:p>
            <w:r>
              <w:t>作为 PASS/FAIL oracle；不得运行后再倒推期望。</w:t>
            </w:r>
          </w:p>
        </w:tc>
      </w:tr>
    </w:tbl>
    <w:p>
      <w:pPr>
        <w:pStyle w:val="Heading1"/>
      </w:pPr>
      <w:r>
        <w:t>5. Human Observation Rules</w:t>
      </w:r>
    </w:p>
    <w:p>
      <w:pPr>
        <w:pStyle w:val="ListBullet"/>
      </w:pPr>
      <w:r>
        <w:t>只允许转录页面明确可观察的事实；人工不得推断或补全页面未明确表达的 business truth。</w:t>
      </w:r>
    </w:p>
    <w:p>
      <w:pPr>
        <w:pStyle w:val="ListBullet"/>
      </w:pPr>
      <w:r>
        <w:t>共享航班必须区分 marketing 与 operating evidence；仅在页面明确提供 operating 信息时填写。</w:t>
      </w:r>
    </w:p>
    <w:p>
      <w:pPr>
        <w:pStyle w:val="ListBullet"/>
      </w:pPr>
      <w:r>
        <w:t>`¥xxx起` 必须保留“起”语义，不得人工改写为 exact price。</w:t>
      </w:r>
    </w:p>
    <w:p>
      <w:pPr>
        <w:pStyle w:val="ListBullet"/>
      </w:pPr>
      <w:r>
        <w:t>`仅剩X张`、会员价、平台补贴、极速退等商业措辞可记录为 evidence text，但不得人工升级为 inventory/refund/shared canonical truth。</w:t>
      </w:r>
    </w:p>
    <w:p>
      <w:pPr>
        <w:pStyle w:val="ListBullet"/>
      </w:pPr>
      <w:r>
        <w:t>若某字段不确定，记录 UNKNOWN / NOT OBSERVED，而不是猜测。</w:t>
      </w:r>
    </w:p>
    <w:p>
      <w:pPr>
        <w:pStyle w:val="Heading1"/>
      </w:pPr>
      <w:r>
        <w:t>6. Privacy / Evidence Minimization</w:t>
      </w:r>
    </w:p>
    <w:p>
      <w:pPr>
        <w:pStyle w:val="ListBullet"/>
      </w:pPr>
      <w:r>
        <w:t>禁止记录或提交 Cookie、Authorization、session/token、账号、手机号、邮箱、支付信息、浏览器 local/session storage、私有请求签名、完整 HAR。</w:t>
      </w:r>
    </w:p>
    <w:p>
      <w:pPr>
        <w:pStyle w:val="ListBullet"/>
      </w:pPr>
      <w:r>
        <w:t>禁止提交完整 DOM/HTML；只允许人工转录与当前测试语义直接相关的最小文本。</w:t>
      </w:r>
    </w:p>
    <w:p>
      <w:pPr>
        <w:pStyle w:val="ListBullet"/>
      </w:pPr>
      <w:r>
        <w:t>截图默认 LOCAL-ONLY；如截图含账号、个性化推荐、位置或其他敏感信息，不得进入仓库。</w:t>
      </w:r>
    </w:p>
    <w:p>
      <w:pPr>
        <w:pStyle w:val="ListBullet"/>
      </w:pPr>
      <w:r>
        <w:t>第一版人工验收不要求登录。若目标步骤必须登录，Case 应标记 `LOGIN_REQUIRED` 并停止，不得为测试保存登录态。</w:t>
      </w:r>
    </w:p>
    <w:p>
      <w:pPr>
        <w:pStyle w:val="Heading1"/>
      </w:pPr>
      <w:r>
        <w:t>7. Mandatory Human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Scenario</w:t>
            </w:r>
          </w:p>
        </w:tc>
        <w:tc>
          <w:tcPr>
            <w:tcW w:type="dxa" w:w="3456"/>
          </w:tcPr>
          <w:p>
            <w:r>
              <w:t>Primary semantic check</w:t>
            </w:r>
          </w:p>
        </w:tc>
      </w:tr>
      <w:tr>
        <w:tc>
          <w:tcPr>
            <w:tcW w:type="dxa" w:w="3456"/>
          </w:tcPr>
          <w:p>
            <w:r>
              <w:t>HA-01</w:t>
            </w:r>
          </w:p>
        </w:tc>
        <w:tc>
          <w:tcPr>
            <w:tcW w:type="dxa" w:w="3456"/>
          </w:tcPr>
          <w:p>
            <w:r>
              <w:t>普通直飞航班</w:t>
            </w:r>
          </w:p>
        </w:tc>
        <w:tc>
          <w:tcPr>
            <w:tcW w:type="dxa" w:w="3456"/>
          </w:tcPr>
          <w:p>
            <w:r>
              <w:t>carrier/flight/time/airport basic mapping fidelity</w:t>
            </w:r>
          </w:p>
        </w:tc>
      </w:tr>
      <w:tr>
        <w:tc>
          <w:tcPr>
            <w:tcW w:type="dxa" w:w="3456"/>
          </w:tcPr>
          <w:p>
            <w:r>
              <w:t>HA-02</w:t>
            </w:r>
          </w:p>
        </w:tc>
        <w:tc>
          <w:tcPr>
            <w:tcW w:type="dxa" w:w="3456"/>
          </w:tcPr>
          <w:p>
            <w:r>
              <w:t>共享航班</w:t>
            </w:r>
          </w:p>
        </w:tc>
        <w:tc>
          <w:tcPr>
            <w:tcW w:type="dxa" w:w="3456"/>
          </w:tcPr>
          <w:p>
            <w:r>
              <w:t>marketing vs operating carrier fidelity</w:t>
            </w:r>
          </w:p>
        </w:tc>
      </w:tr>
      <w:tr>
        <w:tc>
          <w:tcPr>
            <w:tcW w:type="dxa" w:w="3456"/>
          </w:tcPr>
          <w:p>
            <w:r>
              <w:t>HA-03</w:t>
            </w:r>
          </w:p>
        </w:tc>
        <w:tc>
          <w:tcPr>
            <w:tcW w:type="dxa" w:w="3456"/>
          </w:tcPr>
          <w:p>
            <w:r>
              <w:t>Level-1 `¥xxx起`</w:t>
            </w:r>
          </w:p>
        </w:tc>
        <w:tc>
          <w:tcPr>
            <w:tcW w:type="dxa" w:w="3456"/>
          </w:tcPr>
          <w:p>
            <w:r>
              <w:t>LOWER_BOUND fidelity</w:t>
            </w:r>
          </w:p>
        </w:tc>
      </w:tr>
      <w:tr>
        <w:tc>
          <w:tcPr>
            <w:tcW w:type="dxa" w:w="3456"/>
          </w:tcPr>
          <w:p>
            <w:r>
              <w:t>HA-04</w:t>
            </w:r>
          </w:p>
        </w:tc>
        <w:tc>
          <w:tcPr>
            <w:tcW w:type="dxa" w:w="3456"/>
          </w:tcPr>
          <w:p>
            <w:r>
              <w:t>展开具体 Level-2 报价</w:t>
            </w:r>
          </w:p>
        </w:tc>
        <w:tc>
          <w:tcPr>
            <w:tcW w:type="dxa" w:w="3456"/>
          </w:tcPr>
          <w:p>
            <w:r>
              <w:t>row price maps conservatively to EXACT when explicit</w:t>
            </w:r>
          </w:p>
        </w:tc>
      </w:tr>
      <w:tr>
        <w:tc>
          <w:tcPr>
            <w:tcW w:type="dxa" w:w="3456"/>
          </w:tcPr>
          <w:p>
            <w:r>
              <w:t>HA-05</w:t>
            </w:r>
          </w:p>
        </w:tc>
        <w:tc>
          <w:tcPr>
            <w:tcW w:type="dxa" w:w="3456"/>
          </w:tcPr>
          <w:p>
            <w:r>
              <w:t>L1 与 L2 数字相同</w:t>
            </w:r>
          </w:p>
        </w:tc>
        <w:tc>
          <w:tcPr>
            <w:tcW w:type="dxa" w:w="3456"/>
          </w:tcPr>
          <w:p>
            <w:r>
              <w:t>LOWER_BOUND observation ≠ automatic EXACT equivalence</w:t>
            </w:r>
          </w:p>
        </w:tc>
      </w:tr>
      <w:tr>
        <w:tc>
          <w:tcPr>
            <w:tcW w:type="dxa" w:w="3456"/>
          </w:tcPr>
          <w:p>
            <w:r>
              <w:t>HA-06</w:t>
            </w:r>
          </w:p>
        </w:tc>
        <w:tc>
          <w:tcPr>
            <w:tcW w:type="dxa" w:w="3456"/>
          </w:tcPr>
          <w:p>
            <w:r>
              <w:t>两个 L2 不同价格</w:t>
            </w:r>
          </w:p>
        </w:tc>
        <w:tc>
          <w:tcPr>
            <w:tcW w:type="dxa" w:w="3456"/>
          </w:tcPr>
          <w:p>
            <w:r>
              <w:t>DISTINCT</w:t>
            </w:r>
          </w:p>
        </w:tc>
      </w:tr>
      <w:tr>
        <w:tc>
          <w:tcPr>
            <w:tcW w:type="dxa" w:w="3456"/>
          </w:tcPr>
          <w:p>
            <w:r>
              <w:t>HA-07</w:t>
            </w:r>
          </w:p>
        </w:tc>
        <w:tc>
          <w:tcPr>
            <w:tcW w:type="dxa" w:w="3456"/>
          </w:tcPr>
          <w:p>
            <w:r>
              <w:t>两个 L2 同价格但 seller/product evidence 不同</w:t>
            </w:r>
          </w:p>
        </w:tc>
        <w:tc>
          <w:tcPr>
            <w:tcW w:type="dxa" w:w="3456"/>
          </w:tcPr>
          <w:p>
            <w:r>
              <w:t>不得仅凭 canonical equality/price 合并；保守保留</w:t>
            </w:r>
          </w:p>
        </w:tc>
      </w:tr>
      <w:tr>
        <w:tc>
          <w:tcPr>
            <w:tcW w:type="dxa" w:w="3456"/>
          </w:tcPr>
          <w:p>
            <w:r>
              <w:t>HA-08</w:t>
            </w:r>
          </w:p>
        </w:tc>
        <w:tc>
          <w:tcPr>
            <w:tcW w:type="dxa" w:w="3456"/>
          </w:tcPr>
          <w:p>
            <w:r>
              <w:t>availability / complex refund / baggage text</w:t>
            </w:r>
          </w:p>
        </w:tc>
        <w:tc>
          <w:tcPr>
            <w:tcW w:type="dxa" w:w="3456"/>
          </w:tcPr>
          <w:p>
            <w:r>
              <w:t>不得升级成未授权 shared truth</w:t>
            </w:r>
          </w:p>
        </w:tc>
      </w:tr>
      <w:tr>
        <w:tc>
          <w:tcPr>
            <w:tcW w:type="dxa" w:w="3456"/>
          </w:tcPr>
          <w:p>
            <w:r>
              <w:t>HA-09</w:t>
            </w:r>
          </w:p>
        </w:tc>
        <w:tc>
          <w:tcPr>
            <w:tcW w:type="dxa" w:w="3456"/>
          </w:tcPr>
          <w:p>
            <w:r>
              <w:t>页面文案/selector/结构漂移</w:t>
            </w:r>
          </w:p>
        </w:tc>
        <w:tc>
          <w:tcPr>
            <w:tcW w:type="dxa" w:w="3456"/>
          </w:tcPr>
          <w:p>
            <w:r>
              <w:t>分类 PAGE_DRIFT，不自动改 contract</w:t>
            </w:r>
          </w:p>
        </w:tc>
      </w:tr>
      <w:tr>
        <w:tc>
          <w:tcPr>
            <w:tcW w:type="dxa" w:w="3456"/>
          </w:tcPr>
          <w:p>
            <w:r>
              <w:t>HA-10</w:t>
            </w:r>
          </w:p>
        </w:tc>
        <w:tc>
          <w:tcPr>
            <w:tcW w:type="dxa" w:w="3456"/>
          </w:tcPr>
          <w:p>
            <w:r>
              <w:t>新的商业字段/产品标签</w:t>
            </w:r>
          </w:p>
        </w:tc>
        <w:tc>
          <w:tcPr>
            <w:tcW w:type="dxa" w:w="3456"/>
          </w:tcPr>
          <w:p>
            <w:r>
              <w:t>分类 NEW_EVIDENCE_FIELD_OBSERVED / OUT_OF_SCOPE_COMMERCIAL_GAP，除非证明 current truth 无法表达</w:t>
            </w:r>
          </w:p>
        </w:tc>
      </w:tr>
    </w:tbl>
    <w:p>
      <w:pPr>
        <w:pStyle w:val="Heading1"/>
      </w:pPr>
      <w:r>
        <w:t>8. Acceptance Gates</w:t>
      </w:r>
    </w:p>
    <w:p>
      <w:pPr>
        <w:pStyle w:val="Heading2"/>
      </w:pPr>
      <w:r>
        <w:t>HUM-FLI-01 — Public-page-only observation</w:t>
      </w:r>
    </w:p>
    <w:p>
      <w:r>
        <w:t>测试基于无需登录即可观察的页面；LOGIN_REQUIRED case 停止。</w:t>
      </w:r>
    </w:p>
    <w:p>
      <w:pPr>
        <w:pStyle w:val="Heading2"/>
      </w:pPr>
      <w:r>
        <w:t>HUM-FLI-02 — No secret/session capture</w:t>
      </w:r>
    </w:p>
    <w:p>
      <w:r>
        <w:t>没有 secret/session/private browser state 进入 evidence。</w:t>
      </w:r>
    </w:p>
    <w:p>
      <w:pPr>
        <w:pStyle w:val="Heading2"/>
      </w:pPr>
      <w:r>
        <w:t>HUM-FLI-03 — Evidence sanitization</w:t>
      </w:r>
    </w:p>
    <w:p>
      <w:r>
        <w:t>Sanitized Human Evidence 足够最小化、可追踪且不含敏感内容。</w:t>
      </w:r>
    </w:p>
    <w:p>
      <w:pPr>
        <w:pStyle w:val="Heading2"/>
      </w:pPr>
      <w:r>
        <w:t>HUM-FLI-04 — L1 semantic fidelity</w:t>
      </w:r>
    </w:p>
    <w:p>
      <w:r>
        <w:t>Level-1 flight/route/time/basic事实按已接受语义处理。</w:t>
      </w:r>
    </w:p>
    <w:p>
      <w:pPr>
        <w:pStyle w:val="Heading2"/>
      </w:pPr>
      <w:r>
        <w:t>HUM-FLI-05 — Codeshare fidelity</w:t>
      </w:r>
    </w:p>
    <w:p>
      <w:r>
        <w:t>marketing/operating carrier 不混淆，不无证据补全。</w:t>
      </w:r>
    </w:p>
    <w:p>
      <w:pPr>
        <w:pStyle w:val="Heading2"/>
      </w:pPr>
      <w:r>
        <w:t>HUM-FLI-06 — LOWER_BOUND fidelity</w:t>
      </w:r>
    </w:p>
    <w:p>
      <w:r>
        <w:t>`¥xxx起` 保持 LOWER_BOUND，不升级为 EXACT。</w:t>
      </w:r>
    </w:p>
    <w:p>
      <w:pPr>
        <w:pStyle w:val="Heading2"/>
      </w:pPr>
      <w:r>
        <w:t>HUM-FLI-07 — L2 row atomicity</w:t>
      </w:r>
    </w:p>
    <w:p>
      <w:r>
        <w:t>one visible expanded row = one mapping atom，不 cross-row splice。</w:t>
      </w:r>
    </w:p>
    <w:p>
      <w:pPr>
        <w:pStyle w:val="Heading2"/>
      </w:pPr>
      <w:r>
        <w:t>HUM-FLI-08 — EXACT price fidelity</w:t>
      </w:r>
    </w:p>
    <w:p>
      <w:r>
        <w:t>仅明确 row-specific 价格可映射 EXACT；无价格不回填。</w:t>
      </w:r>
    </w:p>
    <w:p>
      <w:pPr>
        <w:pStyle w:val="Heading2"/>
      </w:pPr>
      <w:r>
        <w:t>HUM-FLI-09 — Provenance preservation</w:t>
      </w:r>
    </w:p>
    <w:p>
      <w:r>
        <w:t>parent/row/source identity 可追踪。</w:t>
      </w:r>
    </w:p>
    <w:p>
      <w:pPr>
        <w:pStyle w:val="Heading2"/>
      </w:pPr>
      <w:r>
        <w:t>HUM-FLI-10 — Evidence-only commercial boundary</w:t>
      </w:r>
    </w:p>
    <w:p>
      <w:r>
        <w:t>seller/product/refund/baggage/availability 不被越权升级。</w:t>
      </w:r>
    </w:p>
    <w:p>
      <w:pPr>
        <w:pStyle w:val="Heading2"/>
      </w:pPr>
      <w:r>
        <w:t>HUM-FLI-11 — Conservative merger safety</w:t>
      </w:r>
    </w:p>
    <w:p>
      <w:r>
        <w:t>DISTINCT/INSUFFICIENT_EVIDENCE 保守行为避免 false-positive collapse。</w:t>
      </w:r>
    </w:p>
    <w:p>
      <w:pPr>
        <w:pStyle w:val="Heading2"/>
      </w:pPr>
      <w:r>
        <w:t>HUM-FLI-12 — No capability-claim inflation</w:t>
      </w:r>
    </w:p>
    <w:p>
      <w:r>
        <w:t>人工验收 PASS 不得升级成 automated live validation / complete market coverage。</w:t>
      </w:r>
    </w:p>
    <w:p>
      <w:pPr>
        <w:pStyle w:val="Heading1"/>
      </w:pPr>
      <w:r>
        <w:t>9. Case Outcome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Outcome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PASS</w:t>
            </w:r>
          </w:p>
        </w:tc>
        <w:tc>
          <w:tcPr>
            <w:tcW w:type="dxa" w:w="5184"/>
          </w:tcPr>
          <w:p>
            <w:r>
              <w:t>该 Case 的 observation、sanitization、mapping 与 downstream safety 全部符合预期。</w:t>
            </w:r>
          </w:p>
        </w:tc>
      </w:tr>
      <w:tr>
        <w:tc>
          <w:tcPr>
            <w:tcW w:type="dxa" w:w="5184"/>
          </w:tcPr>
          <w:p>
            <w:r>
              <w:t>PAGE_DRIFT</w:t>
            </w:r>
          </w:p>
        </w:tc>
        <w:tc>
          <w:tcPr>
            <w:tcW w:type="dxa" w:w="5184"/>
          </w:tcPr>
          <w:p>
            <w:r>
              <w:t>真实页面措辞/结构发生变化，但尚未证明 shared semantic contract 错误。</w:t>
            </w:r>
          </w:p>
        </w:tc>
      </w:tr>
      <w:tr>
        <w:tc>
          <w:tcPr>
            <w:tcW w:type="dxa" w:w="5184"/>
          </w:tcPr>
          <w:p>
            <w:r>
              <w:t>EVIDENCE_GAP</w:t>
            </w:r>
          </w:p>
        </w:tc>
        <w:tc>
          <w:tcPr>
            <w:tcW w:type="dxa" w:w="5184"/>
          </w:tcPr>
          <w:p>
            <w:r>
              <w:t>页面有重要事实，但现有 sanitized evidence representation 无法诚实承载。</w:t>
            </w:r>
          </w:p>
        </w:tc>
      </w:tr>
      <w:tr>
        <w:tc>
          <w:tcPr>
            <w:tcW w:type="dxa" w:w="5184"/>
          </w:tcPr>
          <w:p>
            <w:r>
              <w:t>MAPPING_GAP</w:t>
            </w:r>
          </w:p>
        </w:tc>
        <w:tc>
          <w:tcPr>
            <w:tcW w:type="dxa" w:w="5184"/>
          </w:tcPr>
          <w:p>
            <w:r>
              <w:t>Evidence 可表达，但现有 FLIGGY Mapper 对真实事实解释错误。</w:t>
            </w:r>
          </w:p>
        </w:tc>
      </w:tr>
      <w:tr>
        <w:tc>
          <w:tcPr>
            <w:tcW w:type="dxa" w:w="5184"/>
          </w:tcPr>
          <w:p>
            <w:r>
              <w:t>DOWNSTREAM_SAFETY_FAIL</w:t>
            </w:r>
          </w:p>
        </w:tc>
        <w:tc>
          <w:tcPr>
            <w:tcW w:type="dxa" w:w="5184"/>
          </w:tcPr>
          <w:p>
            <w:r>
              <w:t>出现 price semantics corruption、cross-row splice、provenance loss、false-positive merge 等安全失败。</w:t>
            </w:r>
          </w:p>
        </w:tc>
      </w:tr>
      <w:tr>
        <w:tc>
          <w:tcPr>
            <w:tcW w:type="dxa" w:w="5184"/>
          </w:tcPr>
          <w:p>
            <w:r>
              <w:t>OUT_OF_SCOPE_COMMERCIAL_GAP</w:t>
            </w:r>
          </w:p>
        </w:tc>
        <w:tc>
          <w:tcPr>
            <w:tcW w:type="dxa" w:w="5184"/>
          </w:tcPr>
          <w:p>
            <w:r>
              <w:t>新 seller/product/rule/availability 商业信息存在，但当前可安全作为 Evidence-only / downstream concern。</w:t>
            </w:r>
          </w:p>
        </w:tc>
      </w:tr>
      <w:tr>
        <w:tc>
          <w:tcPr>
            <w:tcW w:type="dxa" w:w="5184"/>
          </w:tcPr>
          <w:p>
            <w:r>
              <w:t>LOGIN_REQUIRED</w:t>
            </w:r>
          </w:p>
        </w:tc>
        <w:tc>
          <w:tcPr>
            <w:tcW w:type="dxa" w:w="5184"/>
          </w:tcPr>
          <w:p>
            <w:r>
              <w:t>当前测试步骤需要登录；第一版人工验收到此停止。</w:t>
            </w:r>
          </w:p>
        </w:tc>
      </w:tr>
    </w:tbl>
    <w:p>
      <w:pPr>
        <w:pStyle w:val="Heading1"/>
      </w:pPr>
      <w:r>
        <w:t>10. Reopen / Escalation Rules</w:t>
      </w:r>
    </w:p>
    <w:p>
      <w:pPr>
        <w:pStyle w:val="ListBullet"/>
      </w:pPr>
      <w:r>
        <w:t>`PAGE_DRIFT` 不自动 reopen provider-local implementation；先判断是否只是 observation wording/selector drift。</w:t>
      </w:r>
    </w:p>
    <w:p>
      <w:pPr>
        <w:pStyle w:val="ListBullet"/>
      </w:pPr>
      <w:r>
        <w:t>`OUT_OF_SCOPE_COMMERCIAL_GAP` 不自动触发 Shared Contract Amendment。</w:t>
      </w:r>
    </w:p>
    <w:p>
      <w:pPr>
        <w:pStyle w:val="ListBullet"/>
      </w:pPr>
      <w:r>
        <w:t>`MAPPING_GAP` 若可由 provider-local mapper 最小修复，应先形成单独人工授权 repair Unit。</w:t>
      </w:r>
    </w:p>
    <w:p>
      <w:pPr>
        <w:pStyle w:val="ListBullet"/>
      </w:pPr>
      <w:r>
        <w:t>`DOWNSTREAM_SAFETY_FAIL` 或真实 P0/P1 semantic regression 必须 STOP 并形成 evidence/impact 分析。</w:t>
      </w:r>
    </w:p>
    <w:p>
      <w:pPr>
        <w:pStyle w:val="ListBullet"/>
      </w:pPr>
      <w:r>
        <w:t>只有当前 shared contract 无法诚实表示必要 business truth 时，才走：STOP → Evidence → Impact → Options → Recommended Contract Amendment → Human Decision。</w:t>
      </w:r>
    </w:p>
    <w:p>
      <w:pPr>
        <w:pStyle w:val="Heading1"/>
      </w:pPr>
      <w:r>
        <w:t>11. Execution Mode</w:t>
      </w:r>
    </w:p>
    <w:p>
      <w:r>
        <w:t>第一版采用 Protocol-only / Observation + Replay 模式，不实现 CLI/Harness。人工填写标准 Observation Template，Codex/现有测试入口只读地检查和 replay 现有代码。</w:t>
      </w:r>
    </w:p>
    <w:p>
      <w:pPr>
        <w:pStyle w:val="ListBullet"/>
      </w:pPr>
      <w:r>
        <w:t>不得新增 `fliggy_manual_test_cli.py` 或其他 production/provider-specific harness。</w:t>
      </w:r>
    </w:p>
    <w:p>
      <w:pPr>
        <w:pStyle w:val="ListBullet"/>
      </w:pPr>
      <w:r>
        <w:t>若多轮人工验收证明流程过于繁琐，再单独讨论 `M9-FLIGGY-HUMAN-ACCEPTANCE-HARNESS-U1`，且优先 generic/test-only design。</w:t>
      </w:r>
    </w:p>
    <w:p>
      <w:pPr>
        <w:pStyle w:val="Heading1"/>
      </w:pPr>
      <w:r>
        <w:t>12. Required Verdict</w:t>
      </w:r>
    </w:p>
    <w:p>
      <w:pPr>
        <w:pStyle w:val="ListBullet"/>
      </w:pPr>
      <w:r>
        <w:t>`PASS — MANUAL REAL-PROVIDER SEMANTIC ACCEPTANCE CONFIRMED`</w:t>
      </w:r>
    </w:p>
    <w:p>
      <w:pPr>
        <w:pStyle w:val="ListBullet"/>
      </w:pPr>
      <w:r>
        <w:t>`PASS WITH PAGE / COMMERCIAL EVIDENCE DRIFT`</w:t>
      </w:r>
    </w:p>
    <w:p>
      <w:pPr>
        <w:pStyle w:val="ListBullet"/>
      </w:pPr>
      <w:r>
        <w:t>`BLOCKED — PROVIDER-LOCAL SEMANTIC REGRESSION FOUND`</w:t>
      </w:r>
    </w:p>
    <w:p>
      <w:pPr>
        <w:pStyle w:val="ListBullet"/>
      </w:pPr>
      <w:r>
        <w:t>`CONTRACT REVIEW REQUIRED`</w:t>
      </w:r>
    </w:p>
    <w:p>
      <w:r>
        <w:t>无论何种 PASS，都必须继续声明：Full automated Level-2 live validation = NOT CLAIMED；FLIGGY provider-local closure state remains CLOSED。</w:t>
      </w:r>
    </w:p>
    <w:p>
      <w:pPr>
        <w:pStyle w:val="Heading1"/>
      </w:pPr>
      <w:r>
        <w:t>13. Exit Boundary</w:t>
      </w:r>
    </w:p>
    <w:p>
      <w:r>
        <w:t>本 Unit 完成后 STOP。若 PASS，只得到人工真实网页语义验收结论，不授权新 feature、main merge、M9 overall closure 或 live automation claim。若发现 validated semantic regression，再由人工决定是否开启 repair/audit Unit。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