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机票筛选 Agent</w:t>
      </w:r>
    </w:p>
    <w:p>
      <w:pPr>
        <w:jc w:val="center"/>
      </w:pPr>
      <w:r>
        <w:rPr>
          <w:rFonts w:ascii="Microsoft YaHei" w:hAnsi="Microsoft YaHei" w:eastAsia="Microsoft YaHei"/>
          <w:b/>
          <w:sz w:val="42"/>
        </w:rPr>
        <w:t>M9 CTRIP Evidence → Mapped Mapper Unit Specification</w:t>
      </w:r>
    </w:p>
    <w:p>
      <w:pPr>
        <w:jc w:val="center"/>
      </w:pPr>
      <w:r>
        <w:rPr>
          <w:rFonts w:ascii="Microsoft YaHei" w:hAnsi="Microsoft YaHei" w:eastAsia="Microsoft YaHei"/>
          <w:b/>
          <w:sz w:val="26"/>
        </w:rPr>
        <w:t>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t>Milestone / Unit</w:t>
            </w:r>
          </w:p>
        </w:tc>
        <w:tc>
          <w:tcPr>
            <w:tcW w:type="dxa" w:w="4986"/>
          </w:tcPr>
          <w:p>
            <w:r>
              <w:t>M9-CTRIP-MAPPER-U1</w:t>
            </w:r>
          </w:p>
        </w:tc>
      </w:tr>
      <w:tr>
        <w:tc>
          <w:tcPr>
            <w:tcW w:type="dxa" w:w="4986"/>
          </w:tcPr>
          <w:p>
            <w:r>
              <w:t>Provider</w:t>
            </w:r>
          </w:p>
        </w:tc>
        <w:tc>
          <w:tcPr>
            <w:tcW w:type="dxa" w:w="4986"/>
          </w:tcPr>
          <w:p>
            <w:r>
              <w:t>CTRIP</w:t>
            </w:r>
          </w:p>
        </w:tc>
      </w:tr>
      <w:tr>
        <w:tc>
          <w:tcPr>
            <w:tcW w:type="dxa" w:w="4986"/>
          </w:tcPr>
          <w:p>
            <w:r>
              <w:t>目标</w:t>
            </w:r>
          </w:p>
        </w:tc>
        <w:tc>
          <w:tcPr>
            <w:tcW w:type="dxa" w:w="4986"/>
          </w:tcPr>
          <w:p>
            <w:r>
              <w:t>将已验证的 Provider-local Evidence 解释为既有 M4 provider-neutral MappedSegment / MappedItinerary / MappedOffer；不越过 Common Normalizer boundary。</w:t>
            </w:r>
          </w:p>
        </w:tc>
      </w:tr>
      <w:tr>
        <w:tc>
          <w:tcPr>
            <w:tcW w:type="dxa" w:w="4986"/>
          </w:tcPr>
          <w:p>
            <w:r>
              <w:t>Shared Authority</w:t>
            </w:r>
          </w:p>
        </w:tc>
        <w:tc>
          <w:tcPr>
            <w:tcW w:type="dxa" w:w="4986"/>
          </w:tcPr>
          <w:p>
            <w:r>
              <w:t>M9 Shared Canonical Mapping Specification V1.0（已登记为 Shared Authority）</w:t>
            </w:r>
          </w:p>
        </w:tc>
      </w:tr>
      <w:tr>
        <w:tc>
          <w:tcPr>
            <w:tcW w:type="dxa" w:w="4986"/>
          </w:tcPr>
          <w:p>
            <w:r>
              <w:t>Provider Branch</w:t>
            </w:r>
          </w:p>
        </w:tc>
        <w:tc>
          <w:tcPr>
            <w:tcW w:type="dxa" w:w="4986"/>
          </w:tcPr>
          <w:p>
            <w:r>
              <w:t>m9-trackb-ctrip-browser</w:t>
            </w:r>
          </w:p>
        </w:tc>
      </w:tr>
      <w:tr>
        <w:tc>
          <w:tcPr>
            <w:tcW w:type="dxa" w:w="4986"/>
          </w:tcPr>
          <w:p>
            <w:r>
              <w:t>共同 main baseline</w:t>
            </w:r>
          </w:p>
        </w:tc>
        <w:tc>
          <w:tcPr>
            <w:tcW w:type="dxa" w:w="4986"/>
          </w:tcPr>
          <w:p>
            <w:r>
              <w:t>668e02f25d6fca0c104a73a505443a3697bf2b52</w:t>
            </w:r>
          </w:p>
        </w:tc>
      </w:tr>
      <w:tr>
        <w:tc>
          <w:tcPr>
            <w:tcW w:type="dxa" w:w="4986"/>
          </w:tcPr>
          <w:p>
            <w:r>
              <w:t>Contract Amendment</w:t>
            </w:r>
          </w:p>
        </w:tc>
        <w:tc>
          <w:tcPr>
            <w:tcW w:type="dxa" w:w="4986"/>
          </w:tcPr>
          <w:p>
            <w:r>
              <w:t>NONE at design time；真实冲突触发 STOP</w:t>
            </w:r>
          </w:p>
        </w:tc>
      </w:tr>
      <w:tr>
        <w:tc>
          <w:tcPr>
            <w:tcW w:type="dxa" w:w="4986"/>
          </w:tcPr>
          <w:p>
            <w:r>
              <w:t>实现授权</w:t>
            </w:r>
          </w:p>
        </w:tc>
        <w:tc>
          <w:tcPr>
            <w:tcW w:type="dxa" w:w="4986"/>
          </w:tcPr>
          <w:p>
            <w:r>
              <w:t>本 Unit Specification 经 Repository Intake / DOCUMENT_AUTHORITY 登记后，才授权本 Unit 实现。</w:t>
            </w:r>
          </w:p>
        </w:tc>
      </w:tr>
    </w:tbl>
    <w:p/>
    <w:p>
      <w:pPr>
        <w:pStyle w:val="Heading1"/>
      </w:pPr>
      <w:r>
        <w:t>0. 定位与 Authority</w:t>
      </w:r>
    </w:p>
    <w:p>
      <w:r>
        <w:t>本文件是 Provider-specific Evidence→Mapped Mapper Implementation Unit Specification。它只把已批准 Shared Contract 具体化为该 Provider 的解释规则，不重新定义 M2/M4/M6/M7/M8/M9 shared semantics。</w:t>
      </w:r>
    </w:p>
    <w:p>
      <w:pPr>
        <w:pStyle w:val="ListBullet"/>
      </w:pPr>
      <w:r>
        <w:t>Repository 当前 docs/DOCUMENT_AUTHORITY.md 为 canonical authority；冲突时以其为准并 STOP。</w:t>
      </w:r>
    </w:p>
    <w:p>
      <w:pPr>
        <w:pStyle w:val="ListBullet"/>
      </w:pPr>
      <w:r>
        <w:t>Provider Mapper 是 Provider-specific schema/evidence interpretation 的唯一边界；输出 immutable、non-authoritative mapped artifacts。</w:t>
      </w:r>
    </w:p>
    <w:p>
      <w:pPr>
        <w:pStyle w:val="ListBullet"/>
      </w:pPr>
      <w:r>
        <w:t>Common Normalizer、Candidate Merger、Snapshot Assembly、Ranking、Recommendation、Purchase Guidance runtime 均不属于本 Unit。</w:t>
      </w:r>
    </w:p>
    <w:p>
      <w:pPr>
        <w:pStyle w:val="ListBullet"/>
      </w:pPr>
      <w:r>
        <w:t>Prompt/Execution Report 是 local-only，不进入 Repository；本 Specification 属于正式治理资产，应进入 Provider branch 对应 M9 milestone 文档路径并登记 Authority。</w:t>
      </w:r>
    </w:p>
    <w:p>
      <w:pPr>
        <w:pStyle w:val="Heading1"/>
      </w:pPr>
      <w:r>
        <w:t>1. 输入 / 输出边界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Contract</w:t>
            </w:r>
          </w:p>
        </w:tc>
      </w:tr>
      <w:tr>
        <w:tc>
          <w:tcPr>
            <w:tcW w:type="dxa" w:w="4986"/>
          </w:tcPr>
          <w:p>
            <w:r>
              <w:t>Input</w:t>
            </w:r>
          </w:p>
        </w:tc>
        <w:tc>
          <w:tcPr>
            <w:tcW w:type="dxa" w:w="4986"/>
          </w:tcPr>
          <w:p>
            <w:r>
              <w:t>现有 Provider acquisition/evidence typed artifacts、sanitized fixtures、acquisition metadata 与 source/raw references；不得绕过既有 acquisition boundary 重新爬取。</w:t>
            </w:r>
          </w:p>
        </w:tc>
      </w:tr>
      <w:tr>
        <w:tc>
          <w:tcPr>
            <w:tcW w:type="dxa" w:w="4986"/>
          </w:tcPr>
          <w:p>
            <w:r>
              <w:t>Output</w:t>
            </w:r>
          </w:p>
        </w:tc>
        <w:tc>
          <w:tcPr>
            <w:tcW w:type="dxa" w:w="4986"/>
          </w:tcPr>
          <w:p>
            <w:r>
              <w:t>既有 M4 MappedSegment / MappedItinerary / MappedOffer 或 Repository 中等价的既有 mapped types；附 mapping issues/statistics、provenance 与 mapper_version。</w:t>
            </w:r>
          </w:p>
        </w:tc>
      </w:tr>
      <w:tr>
        <w:tc>
          <w:tcPr>
            <w:tcW w:type="dxa" w:w="4986"/>
          </w:tcPr>
          <w:p>
            <w:r>
              <w:t>No Output</w:t>
            </w:r>
          </w:p>
        </w:tc>
        <w:tc>
          <w:tcPr>
            <w:tcW w:type="dxa" w:w="4986"/>
          </w:tcPr>
          <w:p>
            <w:r>
              <w:t>不得直接输出 Canonical FlightSegment / Itinerary / Offer、CandidateSnapshot、RecommendationResult 或 PurchaseGuidance。</w:t>
            </w:r>
          </w:p>
        </w:tc>
      </w:tr>
    </w:tbl>
    <w:p/>
    <w:p>
      <w:pPr>
        <w:pStyle w:val="Heading1"/>
      </w:pPr>
      <w:r>
        <w:t>2. Shared Mapper Invariants</w:t>
      </w:r>
    </w:p>
    <w:p>
      <w:pPr>
        <w:pStyle w:val="ListBullet"/>
      </w:pPr>
      <w:r>
        <w:t>Interpret, don't enrich：只映射 Evidence 能可靠支持的事实。</w:t>
      </w:r>
    </w:p>
    <w:p>
      <w:pPr>
        <w:pStyle w:val="ListBullet"/>
      </w:pPr>
      <w:r>
        <w:t>MissingValue 沿用既有 known / unknown / not_provided / not_applicable；不得发明 mapping-error missing state。</w:t>
      </w:r>
    </w:p>
    <w:p>
      <w:pPr>
        <w:pStyle w:val="ListBullet"/>
      </w:pPr>
      <w:r>
        <w:t>optional-field failure 可 mapped-with-issues；结构关键事实不足则 drop 对应 subgraph。</w:t>
      </w:r>
    </w:p>
    <w:p>
      <w:pPr>
        <w:pStyle w:val="ListBullet"/>
      </w:pPr>
      <w:r>
        <w:t>失败 Segment 不得被删除后重组 Itinerary。</w:t>
      </w:r>
    </w:p>
    <w:p>
      <w:pPr>
        <w:pStyle w:val="ListBullet"/>
      </w:pPr>
      <w:r>
        <w:t>Provider source ID / raw ref / mapped-local identity / canonical identity 分离。</w:t>
      </w:r>
    </w:p>
    <w:p>
      <w:pPr>
        <w:pStyle w:val="ListBullet"/>
      </w:pPr>
      <w:r>
        <w:t>每个 mapped artifact 至少可追溯 Provider acquisition + raw/evidence record；mapper_version 独立记录。</w:t>
      </w:r>
    </w:p>
    <w:p>
      <w:pPr>
        <w:pStyle w:val="ListBullet"/>
      </w:pPr>
      <w:r>
        <w:t>Provider-specific interpretation 截止于 Mapper；Common Normalizer 不得看到 Provider raw schema 才能理解结果。</w:t>
      </w:r>
    </w:p>
    <w:p>
      <w:pPr>
        <w:pStyle w:val="ListBullet"/>
      </w:pPr>
      <w:r>
        <w:t>EMPTY / ERROR / PARTIAL 不得混淆；mapping partial failure 不伪装 provider EMPTY。</w:t>
      </w:r>
    </w:p>
    <w:p>
      <w:pPr>
        <w:pStyle w:val="Heading1"/>
      </w:pPr>
      <w:r>
        <w:t>3. CTRIP Evidence Profile</w:t>
      </w:r>
    </w:p>
    <w:p>
      <w:pPr>
        <w:pStyle w:val="ListBullet"/>
      </w:pPr>
      <w:r>
        <w:t>当前 Provider branch 包含 normal-browser Evidence / sanitized assisted import 路径；自动 Playwright 曾遇 ACCESS_CHALLENGE，Mapper 不负责绕过该限制。</w:t>
      </w:r>
    </w:p>
    <w:p>
      <w:pPr>
        <w:pStyle w:val="ListBullet"/>
      </w:pPr>
      <w:r>
        <w:t>已观察结构包括 itineraryId、flightSegments / flightList 与 priceList；具体 raw field interpretation 仅限 CTRIP Mapper。</w:t>
      </w:r>
    </w:p>
    <w:p>
      <w:pPr>
        <w:pStyle w:val="ListBullet"/>
      </w:pPr>
      <w:r>
        <w:t>Segment evidence 已观察 airlineCode/name、flightNo、aircraft、departure/arrival airport/time/terminal、duration、stopCount/stopList、transferDuration 等。</w:t>
      </w:r>
    </w:p>
    <w:p>
      <w:pPr>
        <w:pStyle w:val="ListBullet"/>
      </w:pPr>
      <w:r>
        <w:t>Offer-like priceList 已观察 adultPrice、childPrice、infantPrice、cabin、baggage、penalty、priceTags、priceUnitList、productType、restrictionList、lowestPrice 等。</w:t>
      </w:r>
    </w:p>
    <w:p>
      <w:pPr>
        <w:pStyle w:val="ListBullet"/>
      </w:pPr>
      <w:r>
        <w:t>seller、stable booking identity、final PurchaseAccess、codeshare/operating carrier 当前未正式闭合；不得猜测。</w:t>
      </w:r>
    </w:p>
    <w:p>
      <w:pPr>
        <w:pStyle w:val="Heading1"/>
      </w:pPr>
      <w:r>
        <w:t>4. CTRIP Segment / Itinerary Mapping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Mapped interpretation</w:t>
            </w:r>
          </w:p>
        </w:tc>
      </w:tr>
      <w:tr>
        <w:tc>
          <w:tcPr>
            <w:tcW w:type="dxa" w:w="4986"/>
          </w:tcPr>
          <w:p>
            <w:r>
              <w:t>flightNo / airline</w:t>
            </w:r>
          </w:p>
        </w:tc>
        <w:tc>
          <w:tcPr>
            <w:tcW w:type="dxa" w:w="4986"/>
          </w:tcPr>
          <w:p>
            <w:r>
              <w:t>映射为当前 Evidence 支持的 displayed/marketing identity；若 operating role 未被 Evidence 明确，operating 保持 missing。</w:t>
            </w:r>
          </w:p>
        </w:tc>
      </w:tr>
      <w:tr>
        <w:tc>
          <w:tcPr>
            <w:tcW w:type="dxa" w:w="4986"/>
          </w:tcPr>
          <w:p>
            <w:r>
              <w:t>departure / arrival</w:t>
            </w:r>
          </w:p>
        </w:tc>
        <w:tc>
          <w:tcPr>
            <w:tcW w:type="dxa" w:w="4986"/>
          </w:tcPr>
          <w:p>
            <w:r>
              <w:t>按既有 mapped types 表达 airport/time/terminal；不在 Mapper 做 provider-neutral entity canonicalization。</w:t>
            </w:r>
          </w:p>
        </w:tc>
      </w:tr>
      <w:tr>
        <w:tc>
          <w:tcPr>
            <w:tcW w:type="dxa" w:w="4986"/>
          </w:tcPr>
          <w:p>
            <w:r>
              <w:t>aircraft / duration / stops</w:t>
            </w:r>
          </w:p>
        </w:tc>
        <w:tc>
          <w:tcPr>
            <w:tcW w:type="dxa" w:w="4986"/>
          </w:tcPr>
          <w:p>
            <w:r>
              <w:t>仅在字段语义与 Evidence 明确时映射；optional missing/issue 合法。</w:t>
            </w:r>
          </w:p>
        </w:tc>
      </w:tr>
      <w:tr>
        <w:tc>
          <w:tcPr>
            <w:tcW w:type="dxa" w:w="4986"/>
          </w:tcPr>
          <w:p>
            <w:r>
              <w:t>itineraryId</w:t>
            </w:r>
          </w:p>
        </w:tc>
        <w:tc>
          <w:tcPr>
            <w:tcW w:type="dxa" w:w="4986"/>
          </w:tcPr>
          <w:p>
            <w:r>
              <w:t>source identity / provenance；不得定义 Canonical Itinerary identity。</w:t>
            </w:r>
          </w:p>
        </w:tc>
      </w:tr>
      <w:tr>
        <w:tc>
          <w:tcPr>
            <w:tcW w:type="dxa" w:w="4986"/>
          </w:tcPr>
          <w:p>
            <w:r>
              <w:t>flightSegments order</w:t>
            </w:r>
          </w:p>
        </w:tc>
        <w:tc>
          <w:tcPr>
            <w:tcW w:type="dxa" w:w="4986"/>
          </w:tcPr>
          <w:p>
            <w:r>
              <w:t>保持 Provider 表达的有序关系；不得自行重排/拼接。</w:t>
            </w:r>
          </w:p>
        </w:tc>
      </w:tr>
    </w:tbl>
    <w:p/>
    <w:p>
      <w:pPr>
        <w:pStyle w:val="Heading1"/>
      </w:pPr>
      <w:r>
        <w:t>5. CTRIP Shopping Unit / Offer Mapping Rules</w:t>
      </w:r>
    </w:p>
    <w:p>
      <w:pPr>
        <w:pStyle w:val="ListBullet"/>
      </w:pPr>
      <w:r>
        <w:t>priceList 是 Provider raw structure，不等于“每个元素必然一个 Canonical Offer”；本 Unit 必须先根据现有 CTRIP Evidence 与 repository types 定义 provider-local independent shopping unit recognition。</w:t>
      </w:r>
    </w:p>
    <w:p>
      <w:pPr>
        <w:pStyle w:val="ListBullet"/>
      </w:pPr>
      <w:r>
        <w:t>一个 priceList record 若能被 Evidence 支持为独立 shopping/product unit，可形成一个 MappedOffer；否则必须保守保留 issue 或不形成 priced MappedOffer，不能靠数组元素数量猜 Offer 数量。</w:t>
      </w:r>
    </w:p>
    <w:p>
      <w:pPr>
        <w:pStyle w:val="ListBullet"/>
      </w:pPr>
      <w:r>
        <w:t>adult/child/infant price 默认视为同一 product record 内不同 passenger price facts；不得自动拆成三个 Offers，除非更高 Authority 明确相反。</w:t>
      </w:r>
    </w:p>
    <w:p>
      <w:pPr>
        <w:pStyle w:val="ListBullet"/>
      </w:pPr>
      <w:r>
        <w:t>lowestPrice / priceTags / restrictionList 等不得自动生成额外 Offer；先按 provider-local annotation/product evidence 处理。</w:t>
      </w:r>
    </w:p>
    <w:p>
      <w:pPr>
        <w:pStyle w:val="ListBullet"/>
      </w:pPr>
      <w:r>
        <w:t>seller / inventory / booking identity / PurchaseAccess 缺失不阻塞 Level-1 Segment/Itinerary；是否形成 MappedOffer 取决于最小 price invariant 是否满足。</w:t>
      </w:r>
    </w:p>
    <w:p>
      <w:pPr>
        <w:pStyle w:val="Heading1"/>
      </w:pPr>
      <w:r>
        <w:t>6. CTRIP Price Semantics Gate</w:t>
      </w:r>
    </w:p>
    <w:p>
      <w:r>
        <w:t>CTRIP 的最大 Provider-specific 未决解释是：adultPrice / lowestPrice 等 raw monetary fields 在什么 Evidence 条件下可以被安全分类为 EXACT 或 LOWER_BOUND。Shared Contract 禁止仅因为字段为数值就默认 EXACT。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情况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Mapper 行为</w:t>
            </w:r>
          </w:p>
        </w:tc>
      </w:tr>
      <w:tr>
        <w:tc>
          <w:tcPr>
            <w:tcW w:type="dxa" w:w="4986"/>
          </w:tcPr>
          <w:p>
            <w:r>
              <w:t>Evidence/fixture + repository authority 能证明该 record price 是具体 shopping unit 的明确报价</w:t>
            </w:r>
          </w:p>
        </w:tc>
        <w:tc>
          <w:tcPr>
            <w:tcW w:type="dxa" w:w="4986"/>
          </w:tcPr>
          <w:p>
            <w:r>
              <w:t>可按证据映射 EXACT，并用 focused test 固定解释规则。</w:t>
            </w:r>
          </w:p>
        </w:tc>
      </w:tr>
      <w:tr>
        <w:tc>
          <w:tcPr>
            <w:tcW w:type="dxa" w:w="4986"/>
          </w:tcPr>
          <w:p>
            <w:r>
              <w:t>Evidence 明确表达“起/最低/从”等 lower-bound semantics</w:t>
            </w:r>
          </w:p>
        </w:tc>
        <w:tc>
          <w:tcPr>
            <w:tcW w:type="dxa" w:w="4986"/>
          </w:tcPr>
          <w:p>
            <w:r>
              <w:t>映射 LOWER_BOUND。</w:t>
            </w:r>
          </w:p>
        </w:tc>
      </w:tr>
      <w:tr>
        <w:tc>
          <w:tcPr>
            <w:tcW w:type="dxa" w:w="4986"/>
          </w:tcPr>
          <w:p>
            <w:r>
              <w:t>只有数值字段名，无法证明 exact/lower-bound 语义</w:t>
            </w:r>
          </w:p>
        </w:tc>
        <w:tc>
          <w:tcPr>
            <w:tcW w:type="dxa" w:w="4986"/>
          </w:tcPr>
          <w:p>
            <w:r>
              <w:t>不得默认 EXACT；该 priced Offer mapping 必须 mapped-with-issue / dropped（按现有 M4 outcome types），同时保留 Segment/Itinerary。</w:t>
            </w:r>
          </w:p>
        </w:tc>
      </w:tr>
      <w:tr>
        <w:tc>
          <w:tcPr>
            <w:tcW w:type="dxa" w:w="4986"/>
          </w:tcPr>
          <w:p>
            <w:r>
              <w:t>lowestPrice 等辅助字段</w:t>
            </w:r>
          </w:p>
        </w:tc>
        <w:tc>
          <w:tcPr>
            <w:tcW w:type="dxa" w:w="4986"/>
          </w:tcPr>
          <w:p>
            <w:r>
              <w:t>不得仅凭字段名生成独立 Offer 或覆盖主 product price；必须有 Provider-specific Evidence 规则。</w:t>
            </w:r>
          </w:p>
        </w:tc>
      </w:tr>
    </w:tbl>
    <w:p/>
    <w:p>
      <w:r>
        <w:t>如果现有 CTRIP Evidence Package / fixtures 不足以把 adultPrice 的语义安全闭合，本 Unit 实现应 STOP 在该解释点并返回 Evidence Gap；这属于 Provider Mapping Rule 未闭合，不自动等于 Shared Contract Gap。</w:t>
      </w:r>
    </w:p>
    <w:p>
      <w:pPr>
        <w:pStyle w:val="Heading1"/>
      </w:pPr>
      <w:r>
        <w:t>7. Provenance / Assisted Acquisition / Failure</w:t>
      </w:r>
    </w:p>
    <w:p>
      <w:pPr>
        <w:pStyle w:val="ListBullet"/>
      </w:pPr>
      <w:r>
        <w:t>区分 browser observation/acquisition time、manual export/import time 与 processing/snapshot time；不得用 import time 冒充网页 observation freshness。</w:t>
      </w:r>
    </w:p>
    <w:p>
      <w:pPr>
        <w:pStyle w:val="ListBullet"/>
      </w:pPr>
      <w:r>
        <w:t>保留 assisted acquisition/source reference/sanitized evidence lineage，但不得持久化 cookies、tokens、HAR、账号/乘机人/支付信息。</w:t>
      </w:r>
    </w:p>
    <w:p>
      <w:pPr>
        <w:pStyle w:val="ListBullet"/>
      </w:pPr>
      <w:r>
        <w:t>finished=true 仅是本次 observed execution fact，不解释为 market completeness。</w:t>
      </w:r>
    </w:p>
    <w:p>
      <w:pPr>
        <w:pStyle w:val="ListBullet"/>
      </w:pPr>
      <w:r>
        <w:t>ACCESS_CHALLENGE 不产生 fake EMPTY，也不刷新旧 Evidence。</w:t>
      </w:r>
    </w:p>
    <w:p>
      <w:pPr>
        <w:pStyle w:val="ListBullet"/>
      </w:pPr>
      <w:r>
        <w:t>本 Unit 不 replay internal endpoint、不绕过 anti-bot、不新增 stealth/CAPTCHA bypass。</w:t>
      </w:r>
    </w:p>
    <w:p>
      <w:pPr>
        <w:pStyle w:val="Heading1"/>
      </w:pPr>
      <w:r>
        <w:t>8. Required Tests / Exit Gate</w:t>
      </w:r>
    </w:p>
    <w:p>
      <w:pPr>
        <w:pStyle w:val="ListBullet"/>
      </w:pPr>
      <w:r>
        <w:t>Focused mapper tests：正常单航段、optional missing、结构关键 missing、partial record、provenance、mapper_version。</w:t>
      </w:r>
    </w:p>
    <w:p>
      <w:pPr>
        <w:pStyle w:val="ListBullet"/>
      </w:pPr>
      <w:r>
        <w:t>Shared contract tests：Raw/Mapped boundary、MissingValue、graph integrity、identity separation、price semantics、no Provider-specific interpretation downstream。</w:t>
      </w:r>
    </w:p>
    <w:p>
      <w:pPr>
        <w:pStyle w:val="ListBullet"/>
      </w:pPr>
      <w:r>
        <w:t>Architecture negative tests：Mapper 不依赖 CandidateMerger / SnapshotAssembler / Ranking / Recommendation / Workflow；Application/Decision 不绕过 Normalizer 消费 Raw/Mapped。</w:t>
      </w:r>
    </w:p>
    <w:p>
      <w:pPr>
        <w:pStyle w:val="ListBullet"/>
      </w:pPr>
      <w:r>
        <w:t>Regression：保持当前 shared architecture/contract baseline 与 backend gates；优先调用 Repository 已存在统一命令。</w:t>
      </w:r>
    </w:p>
    <w:p>
      <w:pPr>
        <w:pStyle w:val="ListBullet"/>
      </w:pPr>
      <w:r>
        <w:t>Live external provider probe 不作为普通 CI 前置；本 Unit 应使用已批准 sanitized/offline Evidence fixtures 验证 mapping determinism。</w:t>
      </w:r>
    </w:p>
    <w:p>
      <w:pPr>
        <w:pStyle w:val="Heading1"/>
      </w:pPr>
      <w:r>
        <w:t>9. STOP / Contract Amendment</w:t>
      </w:r>
    </w:p>
    <w:p>
      <w:r>
        <w:t>若真实 Evidence 无法在现有 Shared Contract 下诚实表达，固定执行：</w:t>
      </w:r>
    </w:p>
    <w:p>
      <w:pPr>
        <w:jc w:val="center"/>
      </w:pPr>
      <w:r>
        <w:rPr>
          <w:b/>
        </w:rPr>
        <w:t>STOP → Evidence → Impact → Options → Recommended Contract Amendment → Human Decision → Tests / Docs Update → Resume</w:t>
      </w:r>
    </w:p>
    <w:p>
      <w:pPr>
        <w:pStyle w:val="ListBullet"/>
      </w:pPr>
      <w:r>
        <w:t>不得为了通过测试修改稳定 Domain semantic、Shared Mapping Contract、M4 mapped types、M6 price/filter semantics、M7 freshness、M8 authority 或 Public API。</w:t>
      </w:r>
    </w:p>
    <w:p>
      <w:pPr>
        <w:pStyle w:val="ListBullet"/>
      </w:pPr>
      <w:r>
        <w:t>不得弱化 Golden Expected Output、architecture gate 或删除失败测试。</w:t>
      </w:r>
    </w:p>
    <w:p>
      <w:pPr>
        <w:pStyle w:val="Heading1"/>
      </w:pPr>
      <w:r>
        <w:t>10. Exit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PASS 条件</w:t>
            </w:r>
          </w:p>
        </w:tc>
      </w:tr>
      <w:tr>
        <w:tc>
          <w:tcPr>
            <w:tcW w:type="dxa" w:w="4986"/>
          </w:tcPr>
          <w:p>
            <w:r>
              <w:t>Authority</w:t>
            </w:r>
          </w:p>
        </w:tc>
        <w:tc>
          <w:tcPr>
            <w:tcW w:type="dxa" w:w="4986"/>
          </w:tcPr>
          <w:p>
            <w:r>
              <w:t>本 Provider Unit Specification 已被 DOCUMENT_AUTHORITY 接纳。</w:t>
            </w:r>
          </w:p>
        </w:tc>
      </w:tr>
      <w:tr>
        <w:tc>
          <w:tcPr>
            <w:tcW w:type="dxa" w:w="4986"/>
          </w:tcPr>
          <w:p>
            <w:r>
              <w:t>Mapper</w:t>
            </w:r>
          </w:p>
        </w:tc>
        <w:tc>
          <w:tcPr>
            <w:tcW w:type="dxa" w:w="4986"/>
          </w:tcPr>
          <w:p>
            <w:r>
              <w:t>Provider Evidence 可确定性转换为合法 mapped graph；不越过 Normalizer。</w:t>
            </w:r>
          </w:p>
        </w:tc>
      </w:tr>
      <w:tr>
        <w:tc>
          <w:tcPr>
            <w:tcW w:type="dxa" w:w="4986"/>
          </w:tcPr>
          <w:p>
            <w:r>
              <w:t>Safety</w:t>
            </w:r>
          </w:p>
        </w:tc>
        <w:tc>
          <w:tcPr>
            <w:tcW w:type="dxa" w:w="4986"/>
          </w:tcPr>
          <w:p>
            <w:r>
              <w:t>无猜测补值；无 raw bypass；无 shared semantic change。</w:t>
            </w:r>
          </w:p>
        </w:tc>
      </w:tr>
      <w:tr>
        <w:tc>
          <w:tcPr>
            <w:tcW w:type="dxa" w:w="4986"/>
          </w:tcPr>
          <w:p>
            <w:r>
              <w:t>Tests</w:t>
            </w:r>
          </w:p>
        </w:tc>
        <w:tc>
          <w:tcPr>
            <w:tcW w:type="dxa" w:w="4986"/>
          </w:tcPr>
          <w:p>
            <w:r>
              <w:t>focused + shared contract + architecture + regression 全部 PASS。</w:t>
            </w:r>
          </w:p>
        </w:tc>
      </w:tr>
      <w:tr>
        <w:tc>
          <w:tcPr>
            <w:tcW w:type="dxa" w:w="4986"/>
          </w:tcPr>
          <w:p>
            <w:r>
              <w:t>Git</w:t>
            </w:r>
          </w:p>
        </w:tc>
        <w:tc>
          <w:tcPr>
            <w:tcW w:type="dxa" w:w="4986"/>
          </w:tcPr>
          <w:p>
            <w:r>
              <w:t>Unit commit/push/remote verification/clean tree 完成。</w:t>
            </w:r>
          </w:p>
        </w:tc>
      </w:tr>
      <w:tr>
        <w:tc>
          <w:tcPr>
            <w:tcW w:type="dxa" w:w="4986"/>
          </w:tcPr>
          <w:p>
            <w:r>
              <w:t>Next</w:t>
            </w:r>
          </w:p>
        </w:tc>
        <w:tc>
          <w:tcPr>
            <w:tcW w:type="dxa" w:w="4986"/>
          </w:tcPr>
          <w:p>
            <w:r>
              <w:t>仅达到 Provider Mapper implemented/verified；后续 Canonical Entry / integration 仍按 M9 Authority 单独推进。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机票筛选 Agent · CTRIP Evidence→Mapped Mapper Unit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