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 w:eastAsia="Microsoft YaHei"/>
          <w:b/>
          <w:sz w:val="40"/>
        </w:rPr>
        <w:t>机票筛选 Agent</w:t>
        <w:br/>
        <w:t>M9-CTRIP-CANDIDATE-AUDIT-U1</w:t>
      </w:r>
    </w:p>
    <w:p>
      <w:pPr>
        <w:jc w:val="center"/>
      </w:pPr>
      <w:r>
        <w:rPr>
          <w:b/>
          <w:sz w:val="28"/>
        </w:rPr>
        <w:t>CTRIP Candidate Pipeline Compatibility Audit</w:t>
        <w:br/>
        <w:t>Implementation Unit Specification · V1.0</w:t>
      </w:r>
    </w:p>
    <w:p>
      <w:pPr>
        <w:jc w:val="center"/>
      </w:pPr>
      <w:r>
        <w:t>状态：拟定正式 Unit Specification｜任务性质：READ-ONLY COMPATIBILITY AUDIT</w:t>
        <w:br/>
        <w:t>日期：2026-09-04</w:t>
      </w:r>
    </w:p>
    <w:p/>
    <w:p>
      <w:pPr>
        <w:pStyle w:val="Heading1"/>
      </w:pPr>
      <w:r>
        <w:t>0. 文档定位与 Scope 判定结论</w:t>
      </w:r>
    </w:p>
    <w:p>
      <w:r>
        <w:t>本文件定义 M9-CTRIP-CANDIDATE-AUDIT-U1。该 Unit 不直接实现 CTRIP Candidate Merger / CandidateSnapshot 接入，而是在 CTRIP Evidence → Mapped → Canonical 已经闭合之后，对现有 M4 Candidate Merger / CandidateSnapshot 路径进行只读兼容性审计。</w:t>
      </w:r>
    </w:p>
    <w:p>
      <w:r>
        <w:t>Scope 判定结论：直接进入 Candidate integration implementation 会触达 M9 Shared Contract Convergence Gate 中明确要求先停止讨论的 CandidateSnapshot / aggregation 共享区域。当前虽然 CTRIP Canonical Entry 已证明现有 CommonNormalizer 足够，但尚不能仅凭这一点推断 existing Candidate Merger / Snapshot 对 CTRIP canonical outputs 也无需额外语义或 integration seam。</w:t>
      </w:r>
    </w:p>
    <w:p>
      <w:r>
        <w:t>因此下一合法步骤应是 READ-ONLY AUDIT，而不是直接编码。审计只回答：现有 Candidate pipeline 是否已经足以接收 CTRIP Canonical candidates；若足够，再由人类确认后设计独立的 M9-CTRIP-CANDIDATE-INTEGRATION-U1。</w:t>
      </w:r>
    </w:p>
    <w:p>
      <w:pPr>
        <w:pStyle w:val="Heading1"/>
      </w:pPr>
      <w:r>
        <w:t>1. Authority 与 Preconditions</w:t>
      </w:r>
    </w:p>
    <w:p>
      <w:pPr>
        <w:pStyle w:val="ListBullet"/>
      </w:pPr>
      <w:r>
        <w:t>Repository 当前 docs/DOCUMENT_AUTHORITY.md 及其正式 companion index（若仍为有效治理资产）。</w:t>
      </w:r>
    </w:p>
    <w:p>
      <w:pPr>
        <w:pStyle w:val="ListBullet"/>
      </w:pPr>
      <w:r>
        <w:t>M9 Shared Canonical Mapping Specification V1.0。</w:t>
      </w:r>
    </w:p>
    <w:p>
      <w:pPr>
        <w:pStyle w:val="ListBullet"/>
      </w:pPr>
      <w:r>
        <w:t>M9-CTRIP-MAPPER-U1 正式 Specification 与已验证实现。</w:t>
      </w:r>
    </w:p>
    <w:p>
      <w:pPr>
        <w:pStyle w:val="ListBullet"/>
      </w:pPr>
      <w:r>
        <w:t>M9-CTRIP-CANONICAL-U1 正式 Specification、Authority 登记与 PASS 执行证据。</w:t>
      </w:r>
    </w:p>
    <w:p>
      <w:pPr>
        <w:pStyle w:val="ListBullet"/>
      </w:pPr>
      <w:r>
        <w:t>M4 既有 Provider Mapping / Common Normalizer / Candidate Merger / CandidateSnapshot Contract 与实现。</w:t>
      </w:r>
    </w:p>
    <w:p>
      <w:pPr>
        <w:pStyle w:val="ListBullet"/>
      </w:pPr>
      <w:r>
        <w:t>M9 Fliggy / Ctrip 双分支并行开发 Git 操作规范中的 Shared Contract Convergence Gate。</w:t>
      </w:r>
    </w:p>
    <w:p>
      <w:r>
        <w:t>本 Unit 不重新定义上述 Authority。若 Repository 事实与本 Specification 的假设冲突，以 Repository Authority 为准并返回 BLOCKED / STOP。</w:t>
      </w:r>
    </w:p>
    <w:p>
      <w:pPr>
        <w:pStyle w:val="Heading1"/>
      </w:pPr>
      <w:r>
        <w:t>2. Goal / Non-Goal</w:t>
      </w:r>
    </w:p>
    <w:p>
      <w:pPr>
        <w:pStyle w:val="Heading2"/>
      </w:pPr>
      <w:r>
        <w:t>2.1 Goal</w:t>
      </w:r>
    </w:p>
    <w:p>
      <w:pPr>
        <w:pStyle w:val="ListBullet"/>
      </w:pPr>
      <w:r>
        <w:t>确认现有 Candidate Merger 是否 provider-neutral，能否接收 CTRIP Canonical Segment / Itinerary / Offer，而无需 CTRIP-specific merger semantics。</w:t>
      </w:r>
    </w:p>
    <w:p>
      <w:pPr>
        <w:pStyle w:val="ListBullet"/>
      </w:pPr>
      <w:r>
        <w:t>确认现有 CandidateSnapshot 构造是否可以表达单一 CTRIP provider 的 candidate universe、coverage、freshness、lineage 与 provider status。</w:t>
      </w:r>
    </w:p>
    <w:p>
      <w:pPr>
        <w:pStyle w:val="ListBullet"/>
      </w:pPr>
      <w:r>
        <w:t>确认 Segment / Itinerary identity 与 equivalence 规则对 CTRIP 输出是否已经足够，不需要为了 CTRIP 改写 shared identity。</w:t>
      </w:r>
    </w:p>
    <w:p>
      <w:pPr>
        <w:pStyle w:val="ListBullet"/>
      </w:pPr>
      <w:r>
        <w:t>确认 Offer 保持 provider/source scoped，不因 itinerary 等价而发生不受授权的跨 provider Offer merge。</w:t>
      </w:r>
    </w:p>
    <w:p>
      <w:pPr>
        <w:pStyle w:val="ListBullet"/>
      </w:pPr>
      <w:r>
        <w:t>识别实现层 integration gap 与真正 Shared Contract Gap 的边界。</w:t>
      </w:r>
    </w:p>
    <w:p>
      <w:pPr>
        <w:pStyle w:val="ListBullet"/>
      </w:pPr>
      <w:r>
        <w:t>为后续是否允许设计 M9-CTRIP-CANDIDATE-INTEGRATION-U1 提供可核验证据。</w:t>
      </w:r>
    </w:p>
    <w:p>
      <w:pPr>
        <w:pStyle w:val="Heading2"/>
      </w:pPr>
      <w:r>
        <w:t>2.2 Non-Goal / Forbidden Outcome</w:t>
      </w:r>
    </w:p>
    <w:p>
      <w:pPr>
        <w:pStyle w:val="ListBullet"/>
      </w:pPr>
      <w:r>
        <w:t>不修改任何源码、测试、fixture、schema、Authority 或配置。</w:t>
      </w:r>
    </w:p>
    <w:p>
      <w:pPr>
        <w:pStyle w:val="ListBullet"/>
      </w:pPr>
      <w:r>
        <w:t>不实现 Candidate Merger、CandidateSnapshot、provider registry、Composition Root 或 multi-provider aggregation。</w:t>
      </w:r>
    </w:p>
    <w:p>
      <w:pPr>
        <w:pStyle w:val="ListBullet"/>
      </w:pPr>
      <w:r>
        <w:t>不修改 M2/M4/M6/M7/M8 shared semantics。</w:t>
      </w:r>
    </w:p>
    <w:p>
      <w:pPr>
        <w:pStyle w:val="ListBullet"/>
      </w:pPr>
      <w:r>
        <w:t>不新增 CTRIP-specific candidate identity、merge policy、snapshot schema 或 provider aggregation rule。</w:t>
      </w:r>
    </w:p>
    <w:p>
      <w:pPr>
        <w:pStyle w:val="ListBullet"/>
      </w:pPr>
      <w:r>
        <w:t>不把 CTRIP 与 FLIGGY 在本 Unit 中合并成一个 multi-provider CandidateSnapshot。</w:t>
      </w:r>
    </w:p>
    <w:p>
      <w:pPr>
        <w:pStyle w:val="ListBullet"/>
      </w:pPr>
      <w:r>
        <w:t>不实现 Ranking / Recommendation / Purchase Guidance / Public API。</w:t>
      </w:r>
    </w:p>
    <w:p>
      <w:pPr>
        <w:pStyle w:val="ListBullet"/>
      </w:pPr>
      <w:r>
        <w:t>不调用 live CTRIP，也不扩展 Browser Acquisition。</w:t>
      </w:r>
    </w:p>
    <w:p>
      <w:pPr>
        <w:pStyle w:val="Heading1"/>
      </w:pPr>
      <w:r>
        <w:t>3. Audit Boundary</w:t>
      </w:r>
    </w:p>
    <w:p>
      <w:r>
        <w:t>本 Unit 只审查以下既有路径，不改变路径中的任何实现：</w:t>
      </w:r>
    </w:p>
    <w:p>
      <w:pPr>
        <w:jc w:val="center"/>
      </w:pPr>
      <w:r>
        <w:rPr>
          <w:b/>
        </w:rPr>
        <w:t>CTRIP Canonical Segment / Itinerary / Offer</w:t>
        <w:br/>
        <w:t>↓</w:t>
        <w:br/>
        <w:t>Existing Candidate Merger / Candidate Assembly</w:t>
        <w:br/>
        <w:t>↓</w:t>
        <w:br/>
        <w:t>Existing CandidateSnapshot</w:t>
        <w:br/>
        <w:t>↓</w:t>
        <w:br/>
        <w:t>Existing downstream Decision pipeline boundary</w:t>
      </w:r>
    </w:p>
    <w:p>
      <w:r>
        <w:t>审计对象是“existing path 是否足够”，不是“如何让 CTRIP 强行适配 existing path”。任何需要新增 shared semantic、修改 canonical identity、改变 Offer merge scope 或 CandidateSnapshot contract 才能继续的发现，都必须停止并升级为共享 Contract 讨论。</w:t>
      </w:r>
    </w:p>
    <w:p>
      <w:pPr>
        <w:pStyle w:val="Heading1"/>
      </w:pPr>
      <w:r>
        <w:t>4. Mandatory Audit Questions</w:t>
      </w:r>
    </w:p>
    <w:p>
      <w:pPr>
        <w:pStyle w:val="Heading2"/>
      </w:pPr>
      <w:r>
        <w:t>A1. Candidate Merger Input Contract</w:t>
      </w:r>
    </w:p>
    <w:p>
      <w:r>
        <w:t>现有 merger/assembly 接收什么对象？是否直接消费 Canonical candidates 或 provider-neutral candidate representation？是否存在 provider-specific assumptions？</w:t>
      </w:r>
    </w:p>
    <w:p>
      <w:pPr>
        <w:pStyle w:val="Heading2"/>
      </w:pPr>
      <w:r>
        <w:t>A2. Single-provider Sufficiency</w:t>
      </w:r>
    </w:p>
    <w:p>
      <w:r>
        <w:t>现有 merger/snapshot 是否支持只有一个真实 Provider 的输入？是否需要至少两个 Provider 才能正常构造结果？若单 Provider 可工作，应证明这一点。</w:t>
      </w:r>
    </w:p>
    <w:p>
      <w:pPr>
        <w:pStyle w:val="Heading2"/>
      </w:pPr>
      <w:r>
        <w:t>A3. Segment Identity</w:t>
      </w:r>
    </w:p>
    <w:p>
      <w:r>
        <w:t>Segment equivalence 是否仅依据既有 canonical flight facts；CTRIP source id / raw ref 是否只作为 provenance，而不是 shared segment identity？</w:t>
      </w:r>
    </w:p>
    <w:p>
      <w:pPr>
        <w:pStyle w:val="Heading2"/>
      </w:pPr>
      <w:r>
        <w:t>A4. Itinerary Identity</w:t>
      </w:r>
    </w:p>
    <w:p>
      <w:r>
        <w:t>Itinerary 是否按有序 Segment 序列识别等价；CTRIP 是否需要新增 itinerary-specific identity rule？</w:t>
      </w:r>
    </w:p>
    <w:p>
      <w:pPr>
        <w:pStyle w:val="Heading2"/>
      </w:pPr>
      <w:r>
        <w:t>A5. Offer Scope</w:t>
      </w:r>
    </w:p>
    <w:p>
      <w:r>
        <w:t>Offer 是否保持 provider/source scoped；相同行程的不同 Provider Offer 是否不会被错误合并；同 Provider 内是否已有稳定规则处理 duplicate/ambiguous Offer。</w:t>
      </w:r>
    </w:p>
    <w:p>
      <w:pPr>
        <w:pStyle w:val="Heading2"/>
      </w:pPr>
      <w:r>
        <w:t>A6. Coverage / Freshness</w:t>
      </w:r>
    </w:p>
    <w:p>
      <w:r>
        <w:t>CandidateSnapshot 是否能承接 CTRIP acquisition/normalization 产生的 requested_scope、actual_coverage、structural freshness、offer freshness、limitations 等既有信息。</w:t>
      </w:r>
    </w:p>
    <w:p>
      <w:pPr>
        <w:pStyle w:val="Heading2"/>
      </w:pPr>
      <w:r>
        <w:t>A7. Provider Status / Empty / Partial</w:t>
      </w:r>
    </w:p>
    <w:p>
      <w:r>
        <w:t>现有 snapshot/provider-result assembly 是否能够区分 SUCCESS/EMPTY/PARTIAL/ERROR 等既有 outcome，而不是把 technical failure 解释成 no flights。</w:t>
      </w:r>
    </w:p>
    <w:p>
      <w:pPr>
        <w:pStyle w:val="Heading2"/>
      </w:pPr>
      <w:r>
        <w:t>A8. Provenance / Lineage</w:t>
      </w:r>
    </w:p>
    <w:p>
      <w:r>
        <w:t>Canonical → merger → snapshot 后，provider identity、mapper/normalizer lineage、raw refs 或等价 provenance 是否仍可追踪。</w:t>
      </w:r>
    </w:p>
    <w:p>
      <w:pPr>
        <w:pStyle w:val="Heading2"/>
      </w:pPr>
      <w:r>
        <w:t>A9. Missing / Unknown</w:t>
      </w:r>
    </w:p>
    <w:p>
      <w:r>
        <w:t>进入 CandidateSnapshot 后是否仍保持 unknown/not_provided 等语义，不会因为 assembly/merge 被默认值覆盖。</w:t>
      </w:r>
    </w:p>
    <w:p>
      <w:pPr>
        <w:pStyle w:val="Heading2"/>
      </w:pPr>
      <w:r>
        <w:t>A10. Integration Seam</w:t>
      </w:r>
    </w:p>
    <w:p>
      <w:r>
        <w:t>如果现有 path 已足够，后续真正 implementation 最小需要修改哪些 provider-local / application wiring 文件？是否可以做到不改 shared Domain Contract。</w:t>
      </w:r>
    </w:p>
    <w:p>
      <w:pPr>
        <w:pStyle w:val="Heading1"/>
      </w:pPr>
      <w:r>
        <w:t>5. Evidence Classification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  <w:vAlign w:val="center"/>
          </w:tcPr>
          <w:p>
            <w:r>
              <w:t>Finding Type</w:t>
            </w:r>
          </w:p>
        </w:tc>
        <w:tc>
          <w:tcPr>
            <w:tcW w:type="dxa" w:w="3249"/>
            <w:shd w:fill="D9EAF7"/>
            <w:vAlign w:val="center"/>
          </w:tcPr>
          <w:p>
            <w:r>
              <w:t>Meaning</w:t>
            </w:r>
          </w:p>
        </w:tc>
        <w:tc>
          <w:tcPr>
            <w:tcW w:type="dxa" w:w="3249"/>
            <w:shd w:fill="D9EAF7"/>
            <w:vAlign w:val="center"/>
          </w:tcPr>
          <w:p>
            <w:r>
              <w:t>Default Decision</w:t>
            </w:r>
          </w:p>
        </w:tc>
      </w:tr>
      <w:tr>
        <w:tc>
          <w:tcPr>
            <w:tcW w:type="dxa" w:w="3249"/>
          </w:tcPr>
          <w:p>
            <w:r>
              <w:t>EXISTING_PATH_SUFFICIENT</w:t>
            </w:r>
          </w:p>
        </w:tc>
        <w:tc>
          <w:tcPr>
            <w:tcW w:type="dxa" w:w="3249"/>
          </w:tcPr>
          <w:p>
            <w:r>
              <w:t>Existing merger/snapshot contract 已能诚实接收 CTRIP canonical outputs。</w:t>
            </w:r>
          </w:p>
        </w:tc>
        <w:tc>
          <w:tcPr>
            <w:tcW w:type="dxa" w:w="3249"/>
          </w:tcPr>
          <w:p>
            <w:r>
              <w:t>PASS；允许人类决定进入 implementation Unit。</w:t>
            </w:r>
          </w:p>
        </w:tc>
      </w:tr>
      <w:tr>
        <w:tc>
          <w:tcPr>
            <w:tcW w:type="dxa" w:w="3249"/>
          </w:tcPr>
          <w:p>
            <w:r>
              <w:t>PROVIDER_LOCAL_INTEGRATION_GAP</w:t>
            </w:r>
          </w:p>
        </w:tc>
        <w:tc>
          <w:tcPr>
            <w:tcW w:type="dxa" w:w="3249"/>
          </w:tcPr>
          <w:p>
            <w:r>
              <w:t>只缺 provider-local/application wiring，shared semantics 不变。</w:t>
            </w:r>
          </w:p>
        </w:tc>
        <w:tc>
          <w:tcPr>
            <w:tcW w:type="dxa" w:w="3249"/>
          </w:tcPr>
          <w:p>
            <w:r>
              <w:t>PASS WITH LOCAL GAP；可设计窄 integration Unit。</w:t>
            </w:r>
          </w:p>
        </w:tc>
      </w:tr>
      <w:tr>
        <w:tc>
          <w:tcPr>
            <w:tcW w:type="dxa" w:w="3249"/>
          </w:tcPr>
          <w:p>
            <w:r>
              <w:t>INSUFFICIENT_EVIDENCE</w:t>
            </w:r>
          </w:p>
        </w:tc>
        <w:tc>
          <w:tcPr>
            <w:tcW w:type="dxa" w:w="3249"/>
          </w:tcPr>
          <w:p>
            <w:r>
              <w:t>无法从代码/测试/Authority 证明 compatibility。</w:t>
            </w:r>
          </w:p>
        </w:tc>
        <w:tc>
          <w:tcPr>
            <w:tcW w:type="dxa" w:w="3249"/>
          </w:tcPr>
          <w:p>
            <w:r>
              <w:t>BLOCKED；先补审计证据，不编码猜测。</w:t>
            </w:r>
          </w:p>
        </w:tc>
      </w:tr>
      <w:tr>
        <w:tc>
          <w:tcPr>
            <w:tcW w:type="dxa" w:w="3249"/>
          </w:tcPr>
          <w:p>
            <w:r>
              <w:t>POSSIBLE_SHARED_CONTRACT_GAP</w:t>
            </w:r>
          </w:p>
        </w:tc>
        <w:tc>
          <w:tcPr>
            <w:tcW w:type="dxa" w:w="3249"/>
          </w:tcPr>
          <w:p>
            <w:r>
              <w:t>可靠事实显示现有 shared merger/snapshot contract 无法诚实表达 CTRIP。</w:t>
            </w:r>
          </w:p>
        </w:tc>
        <w:tc>
          <w:tcPr>
            <w:tcW w:type="dxa" w:w="3249"/>
          </w:tcPr>
          <w:p>
            <w:r>
              <w:t>STOP；进入 Shared Contract / Amendment 讨论。</w:t>
            </w:r>
          </w:p>
        </w:tc>
      </w:tr>
    </w:tbl>
    <w:p>
      <w:pPr>
        <w:pStyle w:val="Heading1"/>
      </w:pPr>
      <w:r>
        <w:t>6. Required Read-Only Validation</w:t>
      </w:r>
    </w:p>
    <w:p>
      <w:r>
        <w:t>审计执行应优先使用 Repository 现有命令。至少完成以下证据：</w:t>
      </w:r>
    </w:p>
    <w:p>
      <w:pPr>
        <w:pStyle w:val="ListBullet"/>
      </w:pPr>
      <w:r>
        <w:t>定位 Candidate Merger / CandidateSnapshot 现有实现、ports/types/tests 与调用入口。</w:t>
      </w:r>
    </w:p>
    <w:p>
      <w:pPr>
        <w:pStyle w:val="ListBullet"/>
      </w:pPr>
      <w:r>
        <w:t>定位 M4 对 Segment / Itinerary / Offer identity、equivalence、merge scope、coverage/freshness 的测试证据。</w:t>
      </w:r>
    </w:p>
    <w:p>
      <w:pPr>
        <w:pStyle w:val="ListBullet"/>
      </w:pPr>
      <w:r>
        <w:t>运行与 Candidate Merger / CandidateSnapshot 相关的现有 focused tests。</w:t>
      </w:r>
    </w:p>
    <w:p>
      <w:pPr>
        <w:pStyle w:val="ListBullet"/>
      </w:pPr>
      <w:r>
        <w:t>运行与 M4/shared canonical mapping 相关的 regression tests，确认当前 branch baseline green。</w:t>
      </w:r>
    </w:p>
    <w:p>
      <w:pPr>
        <w:pStyle w:val="ListBullet"/>
      </w:pPr>
      <w:r>
        <w:t>如现有 fixture 可以把 CTRIP canonical output 作为纯内存输入运行现有 merger/snapshot，则可以执行只读/临时内存验证；不得保存源码或测试改动。</w:t>
      </w:r>
    </w:p>
    <w:p>
      <w:pPr>
        <w:pStyle w:val="ListBullet"/>
      </w:pPr>
      <w:r>
        <w:t>执行 architecture/contract gates，确认候选路径没有隐式 provider-specific dependency。</w:t>
      </w:r>
    </w:p>
    <w:p>
      <w:pPr>
        <w:pStyle w:val="ListBullet"/>
      </w:pPr>
      <w:r>
        <w:t>记录任何需要改代码才能继续验证的地方，但不要改。</w:t>
      </w:r>
    </w:p>
    <w:p>
      <w:r>
        <w:t>本 Unit 不要求 live provider call。不得为了审计临时增加生产代码、测试 allowlist 或永久 fixture。</w:t>
      </w:r>
    </w:p>
    <w:p>
      <w:pPr>
        <w:pStyle w:val="Heading1"/>
      </w:pPr>
      <w:r>
        <w:t>7. P0 Compatibility Rules</w:t>
      </w:r>
    </w:p>
    <w:p>
      <w:pPr>
        <w:pStyle w:val="ListBullet"/>
      </w:pPr>
      <w:r>
        <w:t>Canonical Offer 不得跨 Provider 合并，仅因 itinerary 相同不能把商业报价折叠成一个 Offer。</w:t>
      </w:r>
    </w:p>
    <w:p>
      <w:pPr>
        <w:pStyle w:val="ListBullet"/>
      </w:pPr>
      <w:r>
        <w:t>Segment / Itinerary equivalence 不得依赖 CTRIP raw id 反向定义 shared identity。</w:t>
      </w:r>
    </w:p>
    <w:p>
      <w:pPr>
        <w:pStyle w:val="ListBullet"/>
      </w:pPr>
      <w:r>
        <w:t>CandidateSnapshot 必须保持 non-destructive candidate universe；Filter/Rank 不属于本 Unit。</w:t>
      </w:r>
    </w:p>
    <w:p>
      <w:pPr>
        <w:pStyle w:val="ListBullet"/>
      </w:pPr>
      <w:r>
        <w:t>Provider Error / Partial / Empty 必须保持既有语义区分。</w:t>
      </w:r>
    </w:p>
    <w:p>
      <w:pPr>
        <w:pStyle w:val="ListBullet"/>
      </w:pPr>
      <w:r>
        <w:t>Coverage 只能表达 observed/requested scope 与 limitations，不能把单 Provider 结果夸大成全市场 complete。</w:t>
      </w:r>
    </w:p>
    <w:p>
      <w:pPr>
        <w:pStyle w:val="ListBullet"/>
      </w:pPr>
      <w:r>
        <w:t>missing/unknown/provenance 在 merger/snapshot 后不得被静默抹平。</w:t>
      </w:r>
    </w:p>
    <w:p>
      <w:pPr>
        <w:pStyle w:val="Heading1"/>
      </w:pPr>
      <w:r>
        <w:t>8. Contract Amendment / Shared Gate Rule</w:t>
      </w:r>
    </w:p>
    <w:p>
      <w:r>
        <w:t>以下发现不自动构成 Shared Contract Gap：缺少 integration wiring、CTRIP provider adapter 尚未接到 application、某测试 fixture 缺失、某入口尚未注册、现有代码没有 CTRIP import。这些优先属于 implementation gap。</w:t>
      </w:r>
    </w:p>
    <w:p>
      <w:r>
        <w:t>只有同时满足以下条件才允许升级为 POSSIBLE_SHARED_CONTRACT_GAP：</w:t>
      </w:r>
    </w:p>
    <w:p>
      <w:pPr>
        <w:pStyle w:val="ListBullet"/>
      </w:pPr>
      <w:r>
        <w:t>CTRIP Canonical output 已经由 Mapper + CommonNormalizer 可靠形成；</w:t>
      </w:r>
    </w:p>
    <w:p>
      <w:pPr>
        <w:pStyle w:val="ListBullet"/>
      </w:pPr>
      <w:r>
        <w:t>Candidate pipeline 需要表达的业务语义已经明确；</w:t>
      </w:r>
    </w:p>
    <w:p>
      <w:pPr>
        <w:pStyle w:val="ListBullet"/>
      </w:pPr>
      <w:r>
        <w:t>现有 Candidate Merger / CandidateSnapshot Contract 无法在不撒谎的情况下表达；</w:t>
      </w:r>
    </w:p>
    <w:p>
      <w:pPr>
        <w:pStyle w:val="ListBullet"/>
      </w:pPr>
      <w:r>
        <w:t>问题不能通过 provider-local/application wiring 或既有 extension point 解决；</w:t>
      </w:r>
    </w:p>
    <w:p>
      <w:r>
        <w:t>触发后固定流程：STOP → Evidence → Impact → Options → Recommended Contract Amendment → Human Decision → Tests/Docs Update → Resume。</w:t>
      </w:r>
    </w:p>
    <w:p>
      <w:pPr>
        <w:pStyle w:val="Heading1"/>
      </w:pPr>
      <w:r>
        <w:t>9. Git / Execution Governance</w:t>
      </w:r>
    </w:p>
    <w:p>
      <w:pPr>
        <w:pStyle w:val="ListBullet"/>
      </w:pPr>
      <w:r>
        <w:t>本 Unit 的 Audit Execution 为 READ-ONLY / NO COMMIT / NO PUSH。</w:t>
      </w:r>
    </w:p>
    <w:p>
      <w:pPr>
        <w:pStyle w:val="ListBullet"/>
      </w:pPr>
      <w:r>
        <w:t>开始前仍需 git fetch、branch/HEAD/tracking/status 检查，并确认 current CTRIP branch 已含所需 shared main baseline。</w:t>
      </w:r>
    </w:p>
    <w:p>
      <w:pPr>
        <w:pStyle w:val="ListBullet"/>
      </w:pPr>
      <w:r>
        <w:t>若 working tree 非 clean，先分类；UNKNOWN/DANGEROUS 必须 BLOCKED。</w:t>
      </w:r>
    </w:p>
    <w:p>
      <w:pPr>
        <w:pStyle w:val="ListBullet"/>
      </w:pPr>
      <w:r>
        <w:t>不得 stash、reset、rebase、force push 或覆盖他人修改来获得 clean state。</w:t>
      </w:r>
    </w:p>
    <w:p>
      <w:pPr>
        <w:pStyle w:val="ListBullet"/>
      </w:pPr>
      <w:r>
        <w:t>Audit report 属于 LOCAL-ONLY ARTIFACT，不进入 Repository。</w:t>
      </w:r>
    </w:p>
    <w:p>
      <w:pPr>
        <w:pStyle w:val="ListBullet"/>
      </w:pPr>
      <w:r>
        <w:t>本 Specification 的 Authority 接纳应通过独立 Documentation Governance Prompt 完成；那一步可以 commit/push。</w:t>
      </w:r>
    </w:p>
    <w:p>
      <w:pPr>
        <w:pStyle w:val="Heading1"/>
      </w:pPr>
      <w:r>
        <w:t>10. Exit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</w:tcPr>
          <w:p>
            <w:r>
              <w:t>Gate</w:t>
            </w:r>
          </w:p>
        </w:tc>
        <w:tc>
          <w:tcPr>
            <w:tcW w:type="dxa" w:w="3249"/>
            <w:shd w:fill="D9EAF7"/>
          </w:tcPr>
          <w:p>
            <w:r>
              <w:t>PASS Requirement</w:t>
            </w:r>
          </w:p>
        </w:tc>
        <w:tc>
          <w:tcPr>
            <w:tcW w:type="dxa" w:w="3249"/>
            <w:shd w:fill="D9EAF7"/>
          </w:tcPr>
          <w:p>
            <w:r>
              <w:t>Failure Meaning</w:t>
            </w:r>
          </w:p>
        </w:tc>
      </w:tr>
      <w:tr>
        <w:tc>
          <w:tcPr>
            <w:tcW w:type="dxa" w:w="3249"/>
          </w:tcPr>
          <w:p>
            <w:r>
              <w:t>G1 Authority</w:t>
            </w:r>
          </w:p>
        </w:tc>
        <w:tc>
          <w:tcPr>
            <w:tcW w:type="dxa" w:w="3249"/>
          </w:tcPr>
          <w:p>
            <w:r>
              <w:t>当前 M4/M9 authority 可定位且无冲突</w:t>
            </w:r>
          </w:p>
        </w:tc>
        <w:tc>
          <w:tcPr>
            <w:tcW w:type="dxa" w:w="3249"/>
          </w:tcPr>
          <w:p>
            <w:r>
              <w:t>BLOCKED</w:t>
            </w:r>
          </w:p>
        </w:tc>
      </w:tr>
      <w:tr>
        <w:tc>
          <w:tcPr>
            <w:tcW w:type="dxa" w:w="3249"/>
          </w:tcPr>
          <w:p>
            <w:r>
              <w:t>G2 Merger Input</w:t>
            </w:r>
          </w:p>
        </w:tc>
        <w:tc>
          <w:tcPr>
            <w:tcW w:type="dxa" w:w="3249"/>
          </w:tcPr>
          <w:p>
            <w:r>
              <w:t>现有 input contract 可接受 CTRIP canonical outputs</w:t>
            </w:r>
          </w:p>
        </w:tc>
        <w:tc>
          <w:tcPr>
            <w:tcW w:type="dxa" w:w="3249"/>
          </w:tcPr>
          <w:p>
            <w:r>
              <w:t>LOCAL GAP / SHARED GAP</w:t>
            </w:r>
          </w:p>
        </w:tc>
      </w:tr>
      <w:tr>
        <w:tc>
          <w:tcPr>
            <w:tcW w:type="dxa" w:w="3249"/>
          </w:tcPr>
          <w:p>
            <w:r>
              <w:t>G3 Segment/Itinerary Identity</w:t>
            </w:r>
          </w:p>
        </w:tc>
        <w:tc>
          <w:tcPr>
            <w:tcW w:type="dxa" w:w="3249"/>
          </w:tcPr>
          <w:p>
            <w:r>
              <w:t>无需 CTRIP-specific shared identity</w:t>
            </w:r>
          </w:p>
        </w:tc>
        <w:tc>
          <w:tcPr>
            <w:tcW w:type="dxa" w:w="3249"/>
          </w:tcPr>
          <w:p>
            <w:r>
              <w:t>POSSIBLE SHARED GAP</w:t>
            </w:r>
          </w:p>
        </w:tc>
      </w:tr>
      <w:tr>
        <w:tc>
          <w:tcPr>
            <w:tcW w:type="dxa" w:w="3249"/>
          </w:tcPr>
          <w:p>
            <w:r>
              <w:t>G4 Offer Scope</w:t>
            </w:r>
          </w:p>
        </w:tc>
        <w:tc>
          <w:tcPr>
            <w:tcW w:type="dxa" w:w="3249"/>
          </w:tcPr>
          <w:p>
            <w:r>
              <w:t>Provider-scoped Offer 不被错误跨 provider merge</w:t>
            </w:r>
          </w:p>
        </w:tc>
        <w:tc>
          <w:tcPr>
            <w:tcW w:type="dxa" w:w="3249"/>
          </w:tcPr>
          <w:p>
            <w:r>
              <w:t>P0 STOP</w:t>
            </w:r>
          </w:p>
        </w:tc>
      </w:tr>
      <w:tr>
        <w:tc>
          <w:tcPr>
            <w:tcW w:type="dxa" w:w="3249"/>
          </w:tcPr>
          <w:p>
            <w:r>
              <w:t>G5 Snapshot Semantics</w:t>
            </w:r>
          </w:p>
        </w:tc>
        <w:tc>
          <w:tcPr>
            <w:tcW w:type="dxa" w:w="3249"/>
          </w:tcPr>
          <w:p>
            <w:r>
              <w:t>单 provider snapshot 可表达 coverage/freshness/status</w:t>
            </w:r>
          </w:p>
        </w:tc>
        <w:tc>
          <w:tcPr>
            <w:tcW w:type="dxa" w:w="3249"/>
          </w:tcPr>
          <w:p>
            <w:r>
              <w:t>LOCAL GAP / SHARED GAP</w:t>
            </w:r>
          </w:p>
        </w:tc>
      </w:tr>
      <w:tr>
        <w:tc>
          <w:tcPr>
            <w:tcW w:type="dxa" w:w="3249"/>
          </w:tcPr>
          <w:p>
            <w:r>
              <w:t>G6 Provenance/Missing</w:t>
            </w:r>
          </w:p>
        </w:tc>
        <w:tc>
          <w:tcPr>
            <w:tcW w:type="dxa" w:w="3249"/>
          </w:tcPr>
          <w:p>
            <w:r>
              <w:t>lineage 与 unknown semantics 可保持</w:t>
            </w:r>
          </w:p>
        </w:tc>
        <w:tc>
          <w:tcPr>
            <w:tcW w:type="dxa" w:w="3249"/>
          </w:tcPr>
          <w:p>
            <w:r>
              <w:t>BLOCKED / SHARED GAP</w:t>
            </w:r>
          </w:p>
        </w:tc>
      </w:tr>
      <w:tr>
        <w:tc>
          <w:tcPr>
            <w:tcW w:type="dxa" w:w="3249"/>
          </w:tcPr>
          <w:p>
            <w:r>
              <w:t>G7 Regression</w:t>
            </w:r>
          </w:p>
        </w:tc>
        <w:tc>
          <w:tcPr>
            <w:tcW w:type="dxa" w:w="3249"/>
          </w:tcPr>
          <w:p>
            <w:r>
              <w:t>现有 focused/shared/architecture gates green</w:t>
            </w:r>
          </w:p>
        </w:tc>
        <w:tc>
          <w:tcPr>
            <w:tcW w:type="dxa" w:w="3249"/>
          </w:tcPr>
          <w:p>
            <w:r>
              <w:t>BLOCKED</w:t>
            </w:r>
          </w:p>
        </w:tc>
      </w:tr>
      <w:tr>
        <w:tc>
          <w:tcPr>
            <w:tcW w:type="dxa" w:w="3249"/>
          </w:tcPr>
          <w:p>
            <w:r>
              <w:t>G8 No Modification</w:t>
            </w:r>
          </w:p>
        </w:tc>
        <w:tc>
          <w:tcPr>
            <w:tcW w:type="dxa" w:w="3249"/>
          </w:tcPr>
          <w:p>
            <w:r>
              <w:t>audit 未修改 source/test/fixture/authority</w:t>
            </w:r>
          </w:p>
        </w:tc>
        <w:tc>
          <w:tcPr>
            <w:tcW w:type="dxa" w:w="3249"/>
          </w:tcPr>
          <w:p>
            <w:r>
              <w:t>BLOCKED</w:t>
            </w:r>
          </w:p>
        </w:tc>
      </w:tr>
      <w:tr>
        <w:tc>
          <w:tcPr>
            <w:tcW w:type="dxa" w:w="3249"/>
          </w:tcPr>
          <w:p>
            <w:r>
              <w:t>G9 Decision</w:t>
            </w:r>
          </w:p>
        </w:tc>
        <w:tc>
          <w:tcPr>
            <w:tcW w:type="dxa" w:w="3249"/>
          </w:tcPr>
          <w:p>
            <w:r>
              <w:t>能够明确分类为 sufficient/local gap/insufficient/shared gap</w:t>
            </w:r>
          </w:p>
        </w:tc>
        <w:tc>
          <w:tcPr>
            <w:tcW w:type="dxa" w:w="3249"/>
          </w:tcPr>
          <w:p>
            <w:r>
              <w:t>BLOCKED</w:t>
            </w:r>
          </w:p>
        </w:tc>
      </w:tr>
    </w:tbl>
    <w:p>
      <w:pPr>
        <w:pStyle w:val="Heading1"/>
      </w:pPr>
      <w:r>
        <w:t>11. Required Final Report</w:t>
      </w:r>
    </w:p>
    <w:p>
      <w:r>
        <w:rPr>
          <w:rFonts w:ascii="Consolas" w:hAnsi="Consolas" w:eastAsia="Microsoft YaHei"/>
          <w:sz w:val="17"/>
        </w:rPr>
        <w:t>Result:</w:t>
        <w:br/>
        <w:t>- PASS / PASS WITH LOCAL INTEGRATION GAP / BLOCKED / STOP — POSSIBLE SHARED CONTRACT GAP</w:t>
        <w:br/>
        <w:br/>
        <w:t>Authority Intake:</w:t>
        <w:br/>
        <w:t>- canonical authority:</w:t>
        <w:br/>
        <w:t>- M4 Candidate Merger/Snapshot authority found:</w:t>
        <w:br/>
        <w:t>- M9 Shared Specification found:</w:t>
        <w:br/>
        <w:t>- CTRIP Mapper/Canonical authorities found:</w:t>
        <w:br/>
        <w:t>- conflicts:</w:t>
        <w:br/>
        <w:t>- Contract Amendment required:</w:t>
        <w:br/>
        <w:br/>
        <w:t>Repository Baseline:</w:t>
        <w:br/>
        <w:t>- branch:</w:t>
        <w:br/>
        <w:t>- HEAD:</w:t>
        <w:br/>
        <w:t>- tracking:</w:t>
        <w:br/>
        <w:t>- origin/main:</w:t>
        <w:br/>
        <w:t>- working tree:</w:t>
        <w:br/>
        <w:t>- read-only preserved:</w:t>
        <w:br/>
        <w:br/>
        <w:t>Candidate Pipeline Audit:</w:t>
        <w:br/>
        <w:t>- Candidate Merger input contract:</w:t>
        <w:br/>
        <w:t>- single-provider input supported:</w:t>
        <w:br/>
        <w:t>- Segment identity sufficient:</w:t>
        <w:br/>
        <w:t>- Itinerary identity sufficient:</w:t>
        <w:br/>
        <w:t>- Offer provider-scope preserved:</w:t>
        <w:br/>
        <w:t>- cross-provider Offer merge observed/required:</w:t>
        <w:br/>
        <w:t>- CandidateSnapshot single-provider construction supported:</w:t>
        <w:br/>
        <w:t>- coverage/freshness semantics sufficient:</w:t>
        <w:br/>
        <w:t>- provider status semantics sufficient:</w:t>
        <w:br/>
        <w:t>- provenance/lineage preserved:</w:t>
        <w:br/>
        <w:t>- missing/unknown preserved:</w:t>
        <w:br/>
        <w:t>- provider-local wiring gap:</w:t>
        <w:br/>
        <w:t>- shared semantic gap:</w:t>
        <w:br/>
        <w:br/>
        <w:t>Validation:</w:t>
        <w:br/>
        <w:t>- focused merger/snapshot tests:</w:t>
        <w:br/>
        <w:t>- M4/shared regression:</w:t>
        <w:br/>
        <w:t>- architecture/contract gates:</w:t>
        <w:br/>
        <w:t>- temporary read-only checks:</w:t>
        <w:br/>
        <w:t>- live provider calls:</w:t>
        <w:br/>
        <w:t>- files modified:</w:t>
        <w:br/>
        <w:br/>
        <w:t>Decision:</w:t>
        <w:br/>
        <w:t>- Existing candidate path sufficient: YES/NO/UNKNOWN</w:t>
        <w:br/>
        <w:t>- Provider-local integration only sufficient: YES/NO/UNKNOWN</w:t>
        <w:br/>
        <w:t>- Shared Contract Amendment required: NONE/POSSIBLE/REQUIRED</w:t>
        <w:br/>
        <w:t>- next authorized step:</w:t>
        <w:br/>
        <w:br/>
        <w:t>Git:</w:t>
        <w:br/>
        <w:t>- commit: NONE</w:t>
        <w:br/>
        <w:t>- push: NONE</w:t>
        <w:br/>
        <w:t>- working tree clean:</w:t>
        <w:br/>
        <w:br/>
        <w:t>Blocker:</w:t>
        <w:br/>
        <w:t>- none / &lt;exact blocker&gt;</w:t>
      </w:r>
    </w:p>
    <w:p>
      <w:pPr>
        <w:pStyle w:val="Heading1"/>
      </w:pPr>
      <w:r>
        <w:t>12. Next-Step Rule</w:t>
      </w:r>
    </w:p>
    <w:p>
      <w:r>
        <w:t>只有本 Audit 返回 EXISTING_PATH_SUFFICIENT 或 PROVIDER_LOCAL_INTEGRATION_GAP，且经人类审查接受后，才允许设计 M9-CTRIP-CANDIDATE-INTEGRATION-U1。该后续 Unit 必须继续保持一个 Logical Change Boundary；如果需要改变 shared Candidate Merger / Snapshot semantics，则不得进入 provider-local implementation，而应回到 Shared Contract 治理。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Microsoft YaHe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Microsoft Ya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Microsoft Ya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