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M9-FLIGGY-LEVEL2-INTEGRATION-READINESS-AUDIT-U1</w:t>
      </w:r>
    </w:p>
    <w:p>
      <w:pPr>
        <w:jc w:val="center"/>
      </w:pPr>
      <w:r>
        <w:rPr>
          <w:sz w:val="20"/>
        </w:rPr>
        <w:t>End-to-End Provider Path / Residual Gap / Integration Readiness Review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r>
              <w:t>Field</w:t>
            </w:r>
          </w:p>
        </w:tc>
        <w:tc>
          <w:tcPr>
            <w:tcW w:type="dxa" w:w="5170"/>
          </w:tcPr>
          <w:p>
            <w:r>
              <w:t>Value</w:t>
            </w:r>
          </w:p>
        </w:tc>
      </w:tr>
      <w:tr>
        <w:tc>
          <w:tcPr>
            <w:tcW w:type="dxa" w:w="5170"/>
          </w:tcPr>
          <w:p>
            <w:r>
              <w:t>Unit ID</w:t>
            </w:r>
          </w:p>
        </w:tc>
        <w:tc>
          <w:tcPr>
            <w:tcW w:type="dxa" w:w="5170"/>
          </w:tcPr>
          <w:p>
            <w:r>
              <w:t>M9-FLIGGY-LEVEL2-INTEGRATION-READINESS-AUDIT-U1</w:t>
            </w:r>
          </w:p>
        </w:tc>
      </w:tr>
      <w:tr>
        <w:tc>
          <w:tcPr>
            <w:tcW w:type="dxa" w:w="5170"/>
          </w:tcPr>
          <w:p>
            <w:r>
              <w:t>Type</w:t>
            </w:r>
          </w:p>
        </w:tc>
        <w:tc>
          <w:tcPr>
            <w:tcW w:type="dxa" w:w="5170"/>
          </w:tcPr>
          <w:p>
            <w:r>
              <w:t>Read-only End-to-End Provider Integration Readiness Audit</w:t>
            </w:r>
          </w:p>
        </w:tc>
      </w:tr>
      <w:tr>
        <w:tc>
          <w:tcPr>
            <w:tcW w:type="dxa" w:w="5170"/>
          </w:tcPr>
          <w:p>
            <w:r>
              <w:t>Provider</w:t>
            </w:r>
          </w:p>
        </w:tc>
        <w:tc>
          <w:tcPr>
            <w:tcW w:type="dxa" w:w="5170"/>
          </w:tcPr>
          <w:p>
            <w:r>
              <w:t>FLIGGY</w:t>
            </w:r>
          </w:p>
        </w:tc>
      </w:tr>
      <w:tr>
        <w:tc>
          <w:tcPr>
            <w:tcW w:type="dxa" w:w="5170"/>
          </w:tcPr>
          <w:p>
            <w:r>
              <w:t>Implementation authority</w:t>
            </w:r>
          </w:p>
        </w:tc>
        <w:tc>
          <w:tcPr>
            <w:tcW w:type="dxa" w:w="5170"/>
          </w:tcPr>
          <w:p>
            <w:r>
              <w:t>NONE</w:t>
            </w:r>
          </w:p>
        </w:tc>
      </w:tr>
      <w:tr>
        <w:tc>
          <w:tcPr>
            <w:tcW w:type="dxa" w:w="5170"/>
          </w:tcPr>
          <w:p>
            <w:r>
              <w:t>Evidence basis</w:t>
            </w:r>
          </w:p>
        </w:tc>
        <w:tc>
          <w:tcPr>
            <w:tcW w:type="dxa" w:w="5170"/>
          </w:tcPr>
          <w:p>
            <w:r>
              <w:t>Mixed accepted evidence: offline implementation/regression evidence + preserved live provider gap</w:t>
            </w:r>
          </w:p>
        </w:tc>
      </w:tr>
      <w:tr>
        <w:tc>
          <w:tcPr>
            <w:tcW w:type="dxa" w:w="5170"/>
          </w:tcPr>
          <w:p>
            <w:r>
              <w:t>Expected Contract Amendment</w:t>
            </w:r>
          </w:p>
        </w:tc>
        <w:tc>
          <w:tcPr>
            <w:tcW w:type="dxa" w:w="5170"/>
          </w:tcPr>
          <w:p>
            <w:r>
              <w:t>NONE</w:t>
            </w:r>
          </w:p>
        </w:tc>
      </w:tr>
      <w:tr>
        <w:tc>
          <w:tcPr>
            <w:tcW w:type="dxa" w:w="5170"/>
          </w:tcPr>
          <w:p>
            <w:r>
              <w:t>Primary decision</w:t>
            </w:r>
          </w:p>
        </w:tc>
        <w:tc>
          <w:tcPr>
            <w:tcW w:type="dxa" w:w="5170"/>
          </w:tcPr>
          <w:p>
            <w:r>
              <w:t>Whether FLIGGY Level-2 provider-local work is sufficiently complete to stop further provider-local expansion and move to a separately authorized M9 integration/closure decision</w:t>
            </w:r>
          </w:p>
        </w:tc>
      </w:tr>
    </w:tbl>
    <w:p>
      <w:pPr>
        <w:pStyle w:val="Heading1"/>
      </w:pPr>
      <w:r>
        <w:t>2. Goal</w:t>
      </w:r>
    </w:p>
    <w:p>
      <w:r>
        <w:t>对 FLIGGY 当前已完成的 Level-1 / Level-2 provider path 做一次端到端只读收口审计，把 Acquisition、Sanitization、Mapper、Canonical compatibility、Equivalence/Merger compatibility 及其 residual gaps 串成一个统一 readiness 结论。</w:t>
      </w:r>
    </w:p>
    <w:p>
      <w:r>
        <w:t>本 Unit 的目标不是继续增加实现，而是区分：真正阻止 M9 集成/收口的 blocker，与可以明确保留到后续阶段的 non-blocking / P2 gap。</w:t>
      </w:r>
    </w:p>
    <w:p>
      <w:pPr>
        <w:pStyle w:val="Heading1"/>
      </w:pPr>
      <w:r>
        <w:t>3. Accepted Predecessor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r>
              <w:t>Area</w:t>
            </w:r>
          </w:p>
        </w:tc>
        <w:tc>
          <w:tcPr>
            <w:tcW w:type="dxa" w:w="5170"/>
          </w:tcPr>
          <w:p>
            <w:r>
              <w:t>Accepted state</w:t>
            </w:r>
          </w:p>
        </w:tc>
      </w:tr>
      <w:tr>
        <w:tc>
          <w:tcPr>
            <w:tcW w:type="dxa" w:w="5170"/>
          </w:tcPr>
          <w:p>
            <w:r>
              <w:t>FLIGGY Level-1 acquisition/evidence</w:t>
            </w:r>
          </w:p>
        </w:tc>
        <w:tc>
          <w:tcPr>
            <w:tcW w:type="dxa" w:w="5170"/>
          </w:tcPr>
          <w:p>
            <w:r>
              <w:t>Real rendered-DOM evidence established; list summary semantics and codeshare evidence observed.</w:t>
            </w:r>
          </w:p>
        </w:tc>
      </w:tr>
      <w:tr>
        <w:tc>
          <w:tcPr>
            <w:tcW w:type="dxa" w:w="5170"/>
          </w:tcPr>
          <w:p>
            <w:r>
              <w:t>FLIGGY Level-1 Mapper</w:t>
            </w:r>
          </w:p>
        </w:tc>
        <w:tc>
          <w:tcPr>
            <w:tcW w:type="dxa" w:w="5170"/>
          </w:tcPr>
          <w:p>
            <w:r>
              <w:t>IMPLEMENTED / VERIFIED / FORMALLY ACCEPTED.</w:t>
            </w:r>
          </w:p>
        </w:tc>
      </w:tr>
      <w:tr>
        <w:tc>
          <w:tcPr>
            <w:tcW w:type="dxa" w:w="5170"/>
          </w:tcPr>
          <w:p>
            <w:r>
              <w:t>FLIGGY Level-1 Canonical Entry</w:t>
            </w:r>
          </w:p>
        </w:tc>
        <w:tc>
          <w:tcPr>
            <w:tcW w:type="dxa" w:w="5170"/>
          </w:tcPr>
          <w:p>
            <w:r>
              <w:t>IMPLEMENTED / VERIFIED / FORMALLY ACCEPTED.</w:t>
            </w:r>
          </w:p>
        </w:tc>
      </w:tr>
      <w:tr>
        <w:tc>
          <w:tcPr>
            <w:tcW w:type="dxa" w:w="5170"/>
          </w:tcPr>
          <w:p>
            <w:r>
              <w:t>FLIGGY Level-2 Acquisition/Sanitization</w:t>
            </w:r>
          </w:p>
        </w:tc>
        <w:tc>
          <w:tcPr>
            <w:tcW w:type="dxa" w:w="5170"/>
          </w:tcPr>
          <w:p>
            <w:r>
              <w:t>IMPLEMENTED / VERIFIED / FORMALLY ACCEPTED; offline-fixture-backed.</w:t>
            </w:r>
          </w:p>
        </w:tc>
      </w:tr>
      <w:tr>
        <w:tc>
          <w:tcPr>
            <w:tcW w:type="dxa" w:w="5170"/>
          </w:tcPr>
          <w:p>
            <w:r>
              <w:t>FLIGGY Level-2 LIVE-U1/R1</w:t>
            </w:r>
          </w:p>
        </w:tc>
        <w:tc>
          <w:tcPr>
            <w:tcW w:type="dxa" w:w="5170"/>
          </w:tcPr>
          <w:p>
            <w:r>
              <w:t>COMPLETED / PASS WITH NON-BLOCKING PROVIDER EVIDENCE GAP; further live chasing not recommended.</w:t>
            </w:r>
          </w:p>
        </w:tc>
      </w:tr>
      <w:tr>
        <w:tc>
          <w:tcPr>
            <w:tcW w:type="dxa" w:w="5170"/>
          </w:tcPr>
          <w:p>
            <w:r>
              <w:t>FLIGGY Level-2 Mapping Audit</w:t>
            </w:r>
          </w:p>
        </w:tc>
        <w:tc>
          <w:tcPr>
            <w:tcW w:type="dxa" w:w="5170"/>
          </w:tcPr>
          <w:p>
            <w:r>
              <w:t>PASS WITH PRESERVED EVIDENCE-ONLY FIELDS; Contract Amendment NONE.</w:t>
            </w:r>
          </w:p>
        </w:tc>
      </w:tr>
      <w:tr>
        <w:tc>
          <w:tcPr>
            <w:tcW w:type="dxa" w:w="5170"/>
          </w:tcPr>
          <w:p>
            <w:r>
              <w:t>FLIGGY Level-2 Mapper</w:t>
            </w:r>
          </w:p>
        </w:tc>
        <w:tc>
          <w:tcPr>
            <w:tcW w:type="dxa" w:w="5170"/>
          </w:tcPr>
          <w:p>
            <w:r>
              <w:t>IMPLEMENTED / VERIFIED / OFFLINE-EVIDENCE-BACKED / LIVE GAP PRESERVED.</w:t>
            </w:r>
          </w:p>
        </w:tc>
      </w:tr>
      <w:tr>
        <w:tc>
          <w:tcPr>
            <w:tcW w:type="dxa" w:w="5170"/>
          </w:tcPr>
          <w:p>
            <w:r>
              <w:t>FLIGGY Level-2 Canonical Audit</w:t>
            </w:r>
          </w:p>
        </w:tc>
        <w:tc>
          <w:tcPr>
            <w:tcW w:type="dxa" w:w="5170"/>
          </w:tcPr>
          <w:p>
            <w:r>
              <w:t>PASS WITH DOWNSTREAM MERGER RISK; existing canonical path sufficient; no L2 canonical implementation needed.</w:t>
            </w:r>
          </w:p>
        </w:tc>
      </w:tr>
      <w:tr>
        <w:tc>
          <w:tcPr>
            <w:tcW w:type="dxa" w:w="5170"/>
          </w:tcPr>
          <w:p>
            <w:r>
              <w:t>FLIGGY Level-2 Aggregation Audit</w:t>
            </w:r>
          </w:p>
        </w:tc>
        <w:tc>
          <w:tcPr>
            <w:tcW w:type="dxa" w:w="5170"/>
          </w:tcPr>
          <w:p>
            <w:r>
              <w:t>PASS WITH COMMERCIAL DISTINCTION GAPS; existing conservative merger contract sufficient.</w:t>
            </w:r>
          </w:p>
        </w:tc>
      </w:tr>
    </w:tbl>
    <w:p>
      <w:pPr>
        <w:pStyle w:val="Heading1"/>
      </w:pPr>
      <w:r>
        <w:t>4. End-to-End Path Under Audit</w:t>
      </w:r>
    </w:p>
    <w:p>
      <w:r>
        <w:t>Audit 必须验证以下路径在当前 Repository Authority 与代码中是一致、可追踪且没有未授权语义跳跃的：</w:t>
      </w:r>
    </w:p>
    <w:p>
      <w:r>
        <w:t>Browser Acquisition → Sanitized Evidence → Provider-local Mapper → Existing Mapped Contract → Existing FLIGGY Canonical Entry / CommonNormalizer → Canonical Observations → Existing Conservative Equivalence / Candidate Merger</w:t>
      </w:r>
    </w:p>
    <w:p>
      <w:pPr>
        <w:pStyle w:val="ListBullet"/>
      </w:pPr>
      <w:r>
        <w:t>Level-1 与 Level-2 可以共享后半段 provider-neutral path，而无需建立两套 Canonical/Merger 实现。</w:t>
      </w:r>
    </w:p>
    <w:p>
      <w:pPr>
        <w:pStyle w:val="ListBullet"/>
      </w:pPr>
      <w:r>
        <w:t>Audit 不要求一个新的 live success 才能证明 offline-accepted Mapper/Canonical/Merger compatibility；但必须显式保留 live gap。</w:t>
      </w:r>
    </w:p>
    <w:p>
      <w:pPr>
        <w:pStyle w:val="ListBullet"/>
      </w:pPr>
      <w:r>
        <w:t>不得把 Evidence-only seller/product/rules/availability 等字段悄悄升级为 shared truth。</w:t>
      </w:r>
    </w:p>
    <w:p>
      <w:pPr>
        <w:pStyle w:val="Heading1"/>
      </w:pPr>
      <w:r>
        <w:t>5. Residual Gap Classification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c>
          <w:tcPr>
            <w:tcW w:type="dxa" w:w="3447"/>
          </w:tcPr>
          <w:p>
            <w:r>
              <w:t>Class</w:t>
            </w:r>
          </w:p>
        </w:tc>
        <w:tc>
          <w:tcPr>
            <w:tcW w:type="dxa" w:w="3447"/>
          </w:tcPr>
          <w:p>
            <w:r>
              <w:t>Meaning</w:t>
            </w:r>
          </w:p>
        </w:tc>
        <w:tc>
          <w:tcPr>
            <w:tcW w:type="dxa" w:w="3447"/>
          </w:tcPr>
          <w:p>
            <w:r>
              <w:t>Disposition</w:t>
            </w:r>
          </w:p>
        </w:tc>
      </w:tr>
      <w:tr>
        <w:tc>
          <w:tcPr>
            <w:tcW w:type="dxa" w:w="3447"/>
          </w:tcPr>
          <w:p>
            <w:r>
              <w:t>BLOCKING</w:t>
            </w:r>
          </w:p>
        </w:tc>
        <w:tc>
          <w:tcPr>
            <w:tcW w:type="dxa" w:w="3447"/>
          </w:tcPr>
          <w:p>
            <w:r>
              <w:t>若不解决就无法诚实完成当前 M9 provider integration/closure，或会破坏 shared contract/business truth。</w:t>
            </w:r>
          </w:p>
        </w:tc>
        <w:tc>
          <w:tcPr>
            <w:tcW w:type="dxa" w:w="3447"/>
          </w:tcPr>
          <w:p>
            <w:r>
              <w:t>STOP；给出明确修复/Contract Amendment路径。</w:t>
            </w:r>
          </w:p>
        </w:tc>
      </w:tr>
      <w:tr>
        <w:tc>
          <w:tcPr>
            <w:tcW w:type="dxa" w:w="3447"/>
          </w:tcPr>
          <w:p>
            <w:r>
              <w:t>NON-BLOCKING / P2</w:t>
            </w:r>
          </w:p>
        </w:tc>
        <w:tc>
          <w:tcPr>
            <w:tcW w:type="dxa" w:w="3447"/>
          </w:tcPr>
          <w:p>
            <w:r>
              <w:t>真实存在，但现有保守架构可安全降级/保留，不阻止当前 provider path 收口。</w:t>
            </w:r>
          </w:p>
        </w:tc>
        <w:tc>
          <w:tcPr>
            <w:tcW w:type="dxa" w:w="3447"/>
          </w:tcPr>
          <w:p>
            <w:r>
              <w:t>登记、保留、带入后续阶段。</w:t>
            </w:r>
          </w:p>
        </w:tc>
      </w:tr>
      <w:tr>
        <w:tc>
          <w:tcPr>
            <w:tcW w:type="dxa" w:w="3447"/>
          </w:tcPr>
          <w:p>
            <w:r>
              <w:t>CLOSED / ACCEPTED LIMITATION</w:t>
            </w:r>
          </w:p>
        </w:tc>
        <w:tc>
          <w:tcPr>
            <w:tcW w:type="dxa" w:w="3447"/>
          </w:tcPr>
          <w:p>
            <w:r>
              <w:t>已由前序 Unit 正式接受，当前无需重复解决。</w:t>
            </w:r>
          </w:p>
        </w:tc>
        <w:tc>
          <w:tcPr>
            <w:tcW w:type="dxa" w:w="3447"/>
          </w:tcPr>
          <w:p>
            <w:r>
              <w:t>引用前序 evidence，不重新开 Unit。</w:t>
            </w:r>
          </w:p>
        </w:tc>
      </w:tr>
      <w:tr>
        <w:tc>
          <w:tcPr>
            <w:tcW w:type="dxa" w:w="3447"/>
          </w:tcPr>
          <w:p>
            <w:r>
              <w:t>OUT-OF-SCOPE FUTURE CONCERN</w:t>
            </w:r>
          </w:p>
        </w:tc>
        <w:tc>
          <w:tcPr>
            <w:tcW w:type="dxa" w:w="3447"/>
          </w:tcPr>
          <w:p>
            <w:r>
              <w:t>属于 Ranking/Purchase Guidance/UI/更高层产品行为。</w:t>
            </w:r>
          </w:p>
        </w:tc>
        <w:tc>
          <w:tcPr>
            <w:tcW w:type="dxa" w:w="3447"/>
          </w:tcPr>
          <w:p>
            <w:r>
              <w:t>记录边界，不作为 M9 FLIGGY blocker。</w:t>
            </w:r>
          </w:p>
        </w:tc>
      </w:tr>
    </w:tbl>
    <w:p>
      <w:pPr>
        <w:pStyle w:val="Heading1"/>
      </w:pPr>
      <w:r>
        <w:t>6. Mandatory Residual Gaps to Re-evaluate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</w:tcPr>
          <w:p>
            <w:r>
              <w:t>Gap</w:t>
            </w:r>
          </w:p>
        </w:tc>
        <w:tc>
          <w:tcPr>
            <w:tcW w:type="dxa" w:w="5170"/>
          </w:tcPr>
          <w:p>
            <w:r>
              <w:t>Required classification question</w:t>
            </w:r>
          </w:p>
        </w:tc>
      </w:tr>
      <w:tr>
        <w:tc>
          <w:tcPr>
            <w:tcW w:type="dxa" w:w="5170"/>
          </w:tcPr>
          <w:p>
            <w:r>
              <w:t>Live deterministic Level-1 targeting / Level-2 live evidence gap</w:t>
            </w:r>
          </w:p>
        </w:tc>
        <w:tc>
          <w:tcPr>
            <w:tcW w:type="dxa" w:w="5170"/>
          </w:tcPr>
          <w:p>
            <w:r>
              <w:t>在 offline implementation + bounded live attempts + preserved semantics 下，是否仍是当前 integration blocker，还是 non-blocking/P2？</w:t>
            </w:r>
          </w:p>
        </w:tc>
      </w:tr>
      <w:tr>
        <w:tc>
          <w:tcPr>
            <w:tcW w:type="dxa" w:w="5170"/>
          </w:tcPr>
          <w:p>
            <w:r>
              <w:t>Seller / merchant distinction</w:t>
            </w:r>
          </w:p>
        </w:tc>
        <w:tc>
          <w:tcPr>
            <w:tcW w:type="dxa" w:w="5170"/>
          </w:tcPr>
          <w:p>
            <w:r>
              <w:t>现有 merger 通过 INSUFFICIENT_EVIDENCE 保留多个 offer，是否足以安全收口？</w:t>
            </w:r>
          </w:p>
        </w:tc>
      </w:tr>
      <w:tr>
        <w:tc>
          <w:tcPr>
            <w:tcW w:type="dxa" w:w="5170"/>
          </w:tcPr>
          <w:p>
            <w:r>
              <w:t>Booking / purchase-channel distinction</w:t>
            </w:r>
          </w:p>
        </w:tc>
        <w:tc>
          <w:tcPr>
            <w:tcW w:type="dxa" w:w="5170"/>
          </w:tcPr>
          <w:p>
            <w:r>
              <w:t>当前不完整表达是否阻止 M9 provider data integration，还是后续 actionability/Purchase Guidance concern？</w:t>
            </w:r>
          </w:p>
        </w:tc>
      </w:tr>
      <w:tr>
        <w:tc>
          <w:tcPr>
            <w:tcW w:type="dxa" w:w="5170"/>
          </w:tcPr>
          <w:p>
            <w:r>
              <w:t>Fare product / cabin product distinction</w:t>
            </w:r>
          </w:p>
        </w:tc>
        <w:tc>
          <w:tcPr>
            <w:tcW w:type="dxa" w:w="5170"/>
          </w:tcPr>
          <w:p>
            <w:r>
              <w:t>Evidence-only 状态是否会导致错误 business truth，还是仅限制 aggressive dedup/ranking？</w:t>
            </w:r>
          </w:p>
        </w:tc>
      </w:tr>
      <w:tr>
        <w:tc>
          <w:tcPr>
            <w:tcW w:type="dxa" w:w="5170"/>
          </w:tcPr>
          <w:p>
            <w:r>
              <w:t>Refund/change distinction</w:t>
            </w:r>
          </w:p>
        </w:tc>
        <w:tc>
          <w:tcPr>
            <w:tcW w:type="dxa" w:w="5170"/>
          </w:tcPr>
          <w:p>
            <w:r>
              <w:t>Canonical 不承载完整规则时，保守 merger 是否避免误合并？</w:t>
            </w:r>
          </w:p>
        </w:tc>
      </w:tr>
      <w:tr>
        <w:tc>
          <w:tcPr>
            <w:tcW w:type="dxa" w:w="5170"/>
          </w:tcPr>
          <w:p>
            <w:r>
              <w:t>Baggage distinction</w:t>
            </w:r>
          </w:p>
        </w:tc>
        <w:tc>
          <w:tcPr>
            <w:tcW w:type="dxa" w:w="5170"/>
          </w:tcPr>
          <w:p>
            <w:r>
              <w:t>L2 exact pieces / kg/raw rules 的现有边界是否足够安全；Canonical 不承载 baggage 是否只是 downstream gap？</w:t>
            </w:r>
          </w:p>
        </w:tc>
      </w:tr>
      <w:tr>
        <w:tc>
          <w:tcPr>
            <w:tcW w:type="dxa" w:w="5170"/>
          </w:tcPr>
          <w:p>
            <w:r>
              <w:t>Availability / urgency</w:t>
            </w:r>
          </w:p>
        </w:tc>
        <w:tc>
          <w:tcPr>
            <w:tcW w:type="dxa" w:w="5170"/>
          </w:tcPr>
          <w:p>
            <w:r>
              <w:t>volatile availability wording 不进入 inventory truth 是否是正确保守边界？</w:t>
            </w:r>
          </w:p>
        </w:tc>
      </w:tr>
      <w:tr>
        <w:tc>
          <w:tcPr>
            <w:tcW w:type="dxa" w:w="5170"/>
          </w:tcPr>
          <w:p>
            <w:r>
              <w:t>Pre-existing unrelated Ruff debt</w:t>
            </w:r>
          </w:p>
        </w:tc>
        <w:tc>
          <w:tcPr>
            <w:tcW w:type="dxa" w:w="5170"/>
          </w:tcPr>
          <w:p>
            <w:r>
              <w:t>是否与当前 FLIGGY integration readiness 无关且不得作为扩 scope 理由？</w:t>
            </w:r>
          </w:p>
        </w:tc>
      </w:tr>
    </w:tbl>
    <w:p>
      <w:pPr>
        <w:pStyle w:val="Heading1"/>
      </w:pPr>
      <w:r>
        <w:t>7. Integration Readiness Gates</w:t>
      </w:r>
    </w:p>
    <w:p>
      <w:pPr>
        <w:pStyle w:val="Heading2"/>
      </w:pPr>
      <w:r>
        <w:t>INT-READY-01 — Authority continuity</w:t>
      </w:r>
    </w:p>
    <w:p>
      <w:r>
        <w:t>所有 predecessor Unit 状态、governance commits 与当前 Authority 一致，无冲突/悬空授权。</w:t>
      </w:r>
    </w:p>
    <w:p>
      <w:pPr>
        <w:pStyle w:val="Heading2"/>
      </w:pPr>
      <w:r>
        <w:t>INT-READY-02 — Acquisition boundary</w:t>
      </w:r>
    </w:p>
    <w:p>
      <w:r>
        <w:t>Browser acquisition 仍只产生 sanitized Evidence；无 Raw DOM/session secrets 穿透到 Mapper/Canonical。</w:t>
      </w:r>
    </w:p>
    <w:p>
      <w:pPr>
        <w:pStyle w:val="Heading2"/>
      </w:pPr>
      <w:r>
        <w:t>INT-READY-03 — L1 path</w:t>
      </w:r>
    </w:p>
    <w:p>
      <w:r>
        <w:t>L1 Evidence → Mapper → Canonical path 保持接受状态且 regression green。</w:t>
      </w:r>
    </w:p>
    <w:p>
      <w:pPr>
        <w:pStyle w:val="Heading2"/>
      </w:pPr>
      <w:r>
        <w:t>INT-READY-04 — L2 acquisition/sanitization</w:t>
      </w:r>
    </w:p>
    <w:p>
      <w:r>
        <w:t>L2 acquisition/sanitization implementation 与 bounded outcomes 保持接受状态。</w:t>
      </w:r>
    </w:p>
    <w:p>
      <w:pPr>
        <w:pStyle w:val="Heading2"/>
      </w:pPr>
      <w:r>
        <w:t>INT-READY-05 — L2 mapper</w:t>
      </w:r>
    </w:p>
    <w:p>
      <w:r>
        <w:t>L2 sanitized Evidence → existing Mapped semantics 已接受，Evidence-only fields 未被过度解释。</w:t>
      </w:r>
    </w:p>
    <w:p>
      <w:pPr>
        <w:pStyle w:val="Heading2"/>
      </w:pPr>
      <w:r>
        <w:t>INT-READY-06 — Canonical reuse</w:t>
      </w:r>
    </w:p>
    <w:p>
      <w:r>
        <w:t>现有 FLIGGY canonical entry/CommonNormalizer 足够；无冗余 L2 canonical implementation 需求。</w:t>
      </w:r>
    </w:p>
    <w:p>
      <w:pPr>
        <w:pStyle w:val="Heading2"/>
      </w:pPr>
      <w:r>
        <w:t>INT-READY-07 — Merger safety</w:t>
      </w:r>
    </w:p>
    <w:p>
      <w:r>
        <w:t>现有 conservative merger 可用 DISTINCT / INSUFFICIENT_EVIDENCE 避免 false-positive merge。</w:t>
      </w:r>
    </w:p>
    <w:p>
      <w:pPr>
        <w:pStyle w:val="Heading2"/>
      </w:pPr>
      <w:r>
        <w:t>INT-READY-08 — Observation preservation</w:t>
      </w:r>
    </w:p>
    <w:p>
      <w:r>
        <w:t>L1 summary、L2 concrete rows 与 duplicate/equivalence provenance 可追踪，不 destructive collapse。</w:t>
      </w:r>
    </w:p>
    <w:p>
      <w:pPr>
        <w:pStyle w:val="Heading2"/>
      </w:pPr>
      <w:r>
        <w:t>INT-READY-09 — Live gap disposition</w:t>
      </w:r>
    </w:p>
    <w:p>
      <w:r>
        <w:t>LIVE-R1 gap 被明确分类且不会被错误描述为 live-validated。</w:t>
      </w:r>
    </w:p>
    <w:p>
      <w:pPr>
        <w:pStyle w:val="Heading2"/>
      </w:pPr>
      <w:r>
        <w:t>INT-READY-10 — Commercial gap disposition</w:t>
      </w:r>
    </w:p>
    <w:p>
      <w:r>
        <w:t>seller/product/rules/baggage/availability 等 gap 被分类为 blocking/non-blocking/future concern，并有理由。</w:t>
      </w:r>
    </w:p>
    <w:p>
      <w:pPr>
        <w:pStyle w:val="Heading2"/>
      </w:pPr>
      <w:r>
        <w:t>INT-READY-11 — Shared contract preservation</w:t>
      </w:r>
    </w:p>
    <w:p>
      <w:r>
        <w:t>无需修改 M2/M4/M6/M7/M8/shared canonical contract 才能达到当前 readiness。</w:t>
      </w:r>
    </w:p>
    <w:p>
      <w:pPr>
        <w:pStyle w:val="Heading2"/>
      </w:pPr>
      <w:r>
        <w:t>INT-READY-12 — Regression health</w:t>
      </w:r>
    </w:p>
    <w:p>
      <w:r>
        <w:t>相关 focused/regression/architecture tests 足以证明当前 provider branch 没有 FLIGGY-specific regression blocker。</w:t>
      </w:r>
    </w:p>
    <w:p>
      <w:pPr>
        <w:pStyle w:val="Heading2"/>
      </w:pPr>
      <w:r>
        <w:t>INT-READY-13 — Scope closure</w:t>
      </w:r>
    </w:p>
    <w:p>
      <w:r>
        <w:t>不存在仅为层级对称而需要继续创建 L2 Canonical/Merger/Snapshot provider-local Unit 的理由。</w:t>
      </w:r>
    </w:p>
    <w:p>
      <w:pPr>
        <w:pStyle w:val="Heading2"/>
      </w:pPr>
      <w:r>
        <w:t>INT-READY-14 — Integration decision readiness</w:t>
      </w:r>
    </w:p>
    <w:p>
      <w:r>
        <w:t>证据足以支持一个后续、单独人工授权的 provider integration/closure decision。</w:t>
      </w:r>
    </w:p>
    <w:p>
      <w:pPr>
        <w:pStyle w:val="Heading1"/>
      </w:pPr>
      <w:r>
        <w:t>8. Evidence Strength Ledger</w:t>
      </w:r>
    </w:p>
    <w:p>
      <w:r>
        <w:t>Audit 必须逐层标记 evidence strength，禁止把 offline evidence 写成 live validation。至少使用以下标签：</w:t>
      </w:r>
    </w:p>
    <w:p>
      <w:pPr>
        <w:pStyle w:val="ListBullet"/>
      </w:pPr>
      <w:r>
        <w:t>`LIVE-OBSERVED`: 已在受控真实 provider 运行中直接观察。</w:t>
      </w:r>
    </w:p>
    <w:p>
      <w:pPr>
        <w:pStyle w:val="ListBullet"/>
      </w:pPr>
      <w:r>
        <w:t>`OFFLINE-EVIDENCE-BACKED`: 基于已接受 sanitized fixture/evidence 与 network-free tests 验证。</w:t>
      </w:r>
    </w:p>
    <w:p>
      <w:pPr>
        <w:pStyle w:val="ListBullet"/>
      </w:pPr>
      <w:r>
        <w:t>`LIVE GAP PRESERVED`: 曾进行 bounded live validation，但当前自动化路径未获得目标 Level-2 live evidence；gap 仍显式存在。</w:t>
      </w:r>
    </w:p>
    <w:p>
      <w:pPr>
        <w:pStyle w:val="ListBullet"/>
      </w:pPr>
      <w:r>
        <w:t>`NOT DEMONSTRATED`: 当前 authority/evidence 没有证明。</w:t>
      </w:r>
    </w:p>
    <w:p>
      <w:r>
        <w:t>一个路径可以同时是 OFFLINE-EVIDENCE-BACKED / LIVE GAP PRESERVED。</w:t>
      </w:r>
    </w:p>
    <w:p>
      <w:pPr>
        <w:pStyle w:val="Heading1"/>
      </w:pPr>
      <w:r>
        <w:t>9. Blocking Decision Rules</w:t>
      </w:r>
    </w:p>
    <w:p>
      <w:pPr>
        <w:pStyle w:val="ListBullet"/>
      </w:pPr>
      <w:r>
        <w:t>Provider-local live reachability/targeting gap若不导致 shared truth 错误、且已按 bounded probe policy 停止，不自动成为 blocker。</w:t>
      </w:r>
    </w:p>
    <w:p>
      <w:pPr>
        <w:pStyle w:val="ListBullet"/>
      </w:pPr>
      <w:r>
        <w:t>无法积极 deduplicate 不自动成为 blocker，只要 `INSUFFICIENT_EVIDENCE` 会保留候选并避免 false-positive merge。</w:t>
      </w:r>
    </w:p>
    <w:p>
      <w:pPr>
        <w:pStyle w:val="ListBullet"/>
      </w:pPr>
      <w:r>
        <w:t>Evidence-only commercial distinction 不自动触发 Contract Amendment。</w:t>
      </w:r>
    </w:p>
    <w:p>
      <w:pPr>
        <w:pStyle w:val="ListBullet"/>
      </w:pPr>
      <w:r>
        <w:t>若存在 cross-row/source splicing、价格语义升级、source identity 丢失、shared contract 无法诚实表达当前必要 truth，则属于 blocker。</w:t>
      </w:r>
    </w:p>
    <w:p>
      <w:pPr>
        <w:pStyle w:val="ListBullet"/>
      </w:pPr>
      <w:r>
        <w:t>若 integration 需要新的 shared semantics 才能安全进行，触发 Contract Amendment STOP。</w:t>
      </w:r>
    </w:p>
    <w:p>
      <w:pPr>
        <w:pStyle w:val="Heading1"/>
      </w:pPr>
      <w:r>
        <w:t>10. Required Validation</w:t>
      </w:r>
    </w:p>
    <w:p>
      <w:pPr>
        <w:pStyle w:val="ListBullet"/>
      </w:pPr>
      <w:r>
        <w:t>只读检查当前 Authority、branch、predecessor commits/状态与实际代码。</w:t>
      </w:r>
    </w:p>
    <w:p>
      <w:pPr>
        <w:pStyle w:val="ListBullet"/>
      </w:pPr>
      <w:r>
        <w:t>运行 network-free focused tests 覆盖 FLIGGY L1/L2 mapper、canonical entry、L2 acquisition/sanitization、M4 CommonNormalizer/equivalence/merger、architecture/ACL negative controls。</w:t>
      </w:r>
    </w:p>
    <w:p>
      <w:pPr>
        <w:pStyle w:val="ListBullet"/>
      </w:pPr>
      <w:r>
        <w:t>可运行 Ruff/Pyright/appropriate backend tests 作为 readiness evidence；不得为了 unrelated pre-existing lint debt 修改无关文件。</w:t>
      </w:r>
    </w:p>
    <w:p>
      <w:pPr>
        <w:pStyle w:val="ListBullet"/>
      </w:pPr>
      <w:r>
        <w:t>不得运行新的 live FLIGGY probe；LIVE-R1 已给出停止进一步 live chasing 的正式 disposition。</w:t>
      </w:r>
    </w:p>
    <w:p>
      <w:pPr>
        <w:pStyle w:val="Heading1"/>
      </w:pPr>
      <w:r>
        <w:t>11. Forbidden Scope</w:t>
      </w:r>
    </w:p>
    <w:p>
      <w:pPr>
        <w:pStyle w:val="ListBullet"/>
      </w:pPr>
      <w:r>
        <w:t>不得修改源码/tests/fixtures/Shared Contract/Authority（Audit execution 阶段）。</w:t>
      </w:r>
    </w:p>
    <w:p>
      <w:pPr>
        <w:pStyle w:val="ListBullet"/>
      </w:pPr>
      <w:r>
        <w:t>不得实现新的 L2 Canonical、Merger、CandidateSnapshot、Ranking、Recommendation、Purchase Guidance、API/frontend/database。</w:t>
      </w:r>
    </w:p>
    <w:p>
      <w:pPr>
        <w:pStyle w:val="ListBullet"/>
      </w:pPr>
      <w:r>
        <w:t>不得新增 seller/fare/inventory/rule/commercial identity shared semantics。</w:t>
      </w:r>
    </w:p>
    <w:p>
      <w:pPr>
        <w:pStyle w:val="ListBullet"/>
      </w:pPr>
      <w:r>
        <w:t>不得修改 CTRIP；不得 merge main；不得运行 live FLIGGY。</w:t>
      </w:r>
    </w:p>
    <w:p>
      <w:pPr>
        <w:pStyle w:val="ListBullet"/>
      </w:pPr>
      <w:r>
        <w:t>不得把本 Audit 自行解释为 main merge 或 M9 overall closure authority。</w:t>
      </w:r>
    </w:p>
    <w:p>
      <w:pPr>
        <w:pStyle w:val="Heading1"/>
      </w:pPr>
      <w:r>
        <w:t>12. Required Verdict</w:t>
      </w:r>
    </w:p>
    <w:p>
      <w:pPr>
        <w:pStyle w:val="ListBullet"/>
      </w:pPr>
      <w:r>
        <w:t>`PASS — FLIGGY LEVEL2 PROVIDER PATH INTEGRATION-READY WITH PRESERVED NON-BLOCKING GAPS`</w:t>
      </w:r>
    </w:p>
    <w:p>
      <w:pPr>
        <w:pStyle w:val="ListBullet"/>
      </w:pPr>
      <w:r>
        <w:t>`PASS — INTEGRATION-READY WITH EXPLICIT P2 FOLLOW-UPS`</w:t>
      </w:r>
    </w:p>
    <w:p>
      <w:pPr>
        <w:pStyle w:val="ListBullet"/>
      </w:pPr>
      <w:r>
        <w:t>`BLOCKED — PROVIDER-LOCAL REPAIR REQUIRED`</w:t>
      </w:r>
    </w:p>
    <w:p>
      <w:pPr>
        <w:pStyle w:val="ListBullet"/>
      </w:pPr>
      <w:r>
        <w:t>`BLOCKED — INTEGRATION CONTRACT GAP`</w:t>
      </w:r>
    </w:p>
    <w:p>
      <w:pPr>
        <w:pStyle w:val="ListBullet"/>
      </w:pPr>
      <w:r>
        <w:t>`CONTRACT AMENDMENT PROPOSAL REQUIRED`</w:t>
      </w:r>
    </w:p>
    <w:p>
      <w:r>
        <w:t>若唯一剩余问题是已知 live gap、commercial distinction gaps、aggressive dedup limitation 或未来 Purchase Guidance/actionability concern，且现有保守行为不制造错误 truth，应优先判定为 integration-ready with preserved gaps。</w:t>
      </w:r>
    </w:p>
    <w:p>
      <w:pPr>
        <w:pStyle w:val="Heading1"/>
      </w:pPr>
      <w:r>
        <w:t>13. Exit / Next-Step Rule</w:t>
      </w:r>
    </w:p>
    <w:p>
      <w:r>
        <w:t>Audit Execution 完成后 STOP，不 commit/push，不 merge main。若 verdict 为 integration-ready，则下一步只能是一个单独人工授权的 FLIGGY provider integration/closure/governance decision；不得自动创建实现 Unit。若存在 blocker，必须精确定位到 provider-local repair、integration contract gap 或 formal Contract Amendment。</w:t>
      </w:r>
    </w:p>
    <w:sectPr w:rsidR="00FC693F" w:rsidRPr="0006063C" w:rsidSect="00034616">
      <w:pgSz w:w="12240" w:h="15840"/>
      <w:pgMar w:top="835" w:right="950" w:bottom="835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