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机票筛选 Agent</w:t>
        <w:br/>
        <w:t>M9-FLIGGY-LEVEL2-CANONICAL-AUDIT-U1</w:t>
      </w:r>
    </w:p>
    <w:p>
      <w:pPr>
        <w:jc w:val="center"/>
      </w:pPr>
      <w:r>
        <w:rPr>
          <w:sz w:val="22"/>
        </w:rPr>
        <w:t>Existing Canonical Path Compatibility Review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t>Field</w:t>
            </w:r>
          </w:p>
        </w:tc>
        <w:tc>
          <w:tcPr>
            <w:tcW w:type="dxa" w:w="5141"/>
          </w:tcPr>
          <w:p>
            <w:r>
              <w:t>Value</w:t>
            </w:r>
          </w:p>
        </w:tc>
      </w:tr>
      <w:tr>
        <w:tc>
          <w:tcPr>
            <w:tcW w:type="dxa" w:w="5141"/>
          </w:tcPr>
          <w:p>
            <w:r>
              <w:t>Unit ID</w:t>
            </w:r>
          </w:p>
        </w:tc>
        <w:tc>
          <w:tcPr>
            <w:tcW w:type="dxa" w:w="5141"/>
          </w:tcPr>
          <w:p>
            <w:r>
              <w:t>M9-FLIGGY-LEVEL2-CANONICAL-AUDIT-U1</w:t>
            </w:r>
          </w:p>
        </w:tc>
      </w:tr>
      <w:tr>
        <w:tc>
          <w:tcPr>
            <w:tcW w:type="dxa" w:w="5141"/>
          </w:tcPr>
          <w:p>
            <w:r>
              <w:t>Type</w:t>
            </w:r>
          </w:p>
        </w:tc>
        <w:tc>
          <w:tcPr>
            <w:tcW w:type="dxa" w:w="5141"/>
          </w:tcPr>
          <w:p>
            <w:r>
              <w:t>Read-only Canonical Compatibility Audit</w:t>
            </w:r>
          </w:p>
        </w:tc>
      </w:tr>
      <w:tr>
        <w:tc>
          <w:tcPr>
            <w:tcW w:type="dxa" w:w="5141"/>
          </w:tcPr>
          <w:p>
            <w:r>
              <w:t>Provider</w:t>
            </w:r>
          </w:p>
        </w:tc>
        <w:tc>
          <w:tcPr>
            <w:tcW w:type="dxa" w:w="5141"/>
          </w:tcPr>
          <w:p>
            <w:r>
              <w:t>FLIGGY</w:t>
            </w:r>
          </w:p>
        </w:tc>
      </w:tr>
      <w:tr>
        <w:tc>
          <w:tcPr>
            <w:tcW w:type="dxa" w:w="5141"/>
          </w:tcPr>
          <w:p>
            <w:r>
              <w:t>Input</w:t>
            </w:r>
          </w:p>
        </w:tc>
        <w:tc>
          <w:tcPr>
            <w:tcW w:type="dxa" w:w="5141"/>
          </w:tcPr>
          <w:p>
            <w:r>
              <w:t>Accepted Level-2 Mapper outputs + existing FLIGGY canonical entry + existing CommonNormalizer</w:t>
            </w:r>
          </w:p>
        </w:tc>
      </w:tr>
      <w:tr>
        <w:tc>
          <w:tcPr>
            <w:tcW w:type="dxa" w:w="5141"/>
          </w:tcPr>
          <w:p>
            <w:r>
              <w:t>Implementation authority</w:t>
            </w:r>
          </w:p>
        </w:tc>
        <w:tc>
          <w:tcPr>
            <w:tcW w:type="dxa" w:w="5141"/>
          </w:tcPr>
          <w:p>
            <w:r>
              <w:t>NONE</w:t>
            </w:r>
          </w:p>
        </w:tc>
      </w:tr>
      <w:tr>
        <w:tc>
          <w:tcPr>
            <w:tcW w:type="dxa" w:w="5141"/>
          </w:tcPr>
          <w:p>
            <w:r>
              <w:t>Evidence basis</w:t>
            </w:r>
          </w:p>
        </w:tc>
        <w:tc>
          <w:tcPr>
            <w:tcW w:type="dxa" w:w="5141"/>
          </w:tcPr>
          <w:p>
            <w:r>
              <w:t>OFFLINE-EVIDENCE-BACKED / LIVE GAP PRESERVED</w:t>
            </w:r>
          </w:p>
        </w:tc>
      </w:tr>
      <w:tr>
        <w:tc>
          <w:tcPr>
            <w:tcW w:type="dxa" w:w="5141"/>
          </w:tcPr>
          <w:p>
            <w:r>
              <w:t>Expected Contract Amendment</w:t>
            </w:r>
          </w:p>
        </w:tc>
        <w:tc>
          <w:tcPr>
            <w:tcW w:type="dxa" w:w="5141"/>
          </w:tcPr>
          <w:p>
            <w:r>
              <w:t>NONE</w:t>
            </w:r>
          </w:p>
        </w:tc>
      </w:tr>
      <w:tr>
        <w:tc>
          <w:tcPr>
            <w:tcW w:type="dxa" w:w="5141"/>
          </w:tcPr>
          <w:p>
            <w:r>
              <w:t>Primary decision</w:t>
            </w:r>
          </w:p>
        </w:tc>
        <w:tc>
          <w:tcPr>
            <w:tcW w:type="dxa" w:w="5141"/>
          </w:tcPr>
          <w:p>
            <w:r>
              <w:t>Whether existing canonical path is sufficient, needs provider-local wiring only, or exposes downstream merger risk</w:t>
            </w:r>
          </w:p>
        </w:tc>
      </w:tr>
    </w:tbl>
    <w:p>
      <w:pPr>
        <w:pStyle w:val="Heading1"/>
      </w:pPr>
      <w:r>
        <w:t>2. Goal</w:t>
      </w:r>
    </w:p>
    <w:p>
      <w:r>
        <w:t>只读验证 M9-FLIGGY-LEVEL2-MAPPER-U1 产生的 existing M4 Mapped semantics 是否已经能够通过现有 FLIGGY canonical entry / CommonNormalizer 忠实进入 Canonical 层，而无需新增 Level-2 专用 Canonical semantics。</w:t>
      </w:r>
    </w:p>
    <w:p>
      <w:r>
        <w:t>本 Audit 不以制造一个对称的 level2_canonical.py 为目标；若现有 provider-neutral path 已兼容，应明确判定无需新增实现。</w:t>
      </w:r>
    </w:p>
    <w:p>
      <w:pPr>
        <w:pStyle w:val="Heading1"/>
      </w:pPr>
      <w:r>
        <w:t>3. Preconditions</w:t>
      </w:r>
    </w:p>
    <w:p>
      <w:pPr>
        <w:pStyle w:val="ListBullet"/>
      </w:pPr>
      <w:r>
        <w:t>M9-FLIGGY-LEVEL2-MAPPER-U1 已完成并通过 Post-Implementation Semantic Review。</w:t>
      </w:r>
    </w:p>
    <w:p>
      <w:pPr>
        <w:pStyle w:val="ListBullet"/>
      </w:pPr>
      <w:r>
        <w:t>Mapper acceptance = IMPLEMENTED / VERIFIED / OFFLINE-EVIDENCE-BACKED / LIVE GAP PRESERVED。</w:t>
      </w:r>
    </w:p>
    <w:p>
      <w:pPr>
        <w:pStyle w:val="ListBullet"/>
      </w:pPr>
      <w:r>
        <w:t>Shared M2/M4/M6/M7/M8 contract、CommonNormalizer / Canonical semantics 未因 Level-2 Mapper 修改。</w:t>
      </w:r>
    </w:p>
    <w:p>
      <w:pPr>
        <w:pStyle w:val="ListBullet"/>
      </w:pPr>
      <w:r>
        <w:t>现有 FLIGGY Level-1 canonical entry 已正式接受。</w:t>
      </w:r>
    </w:p>
    <w:p>
      <w:pPr>
        <w:pStyle w:val="ListBullet"/>
      </w:pPr>
      <w:r>
        <w:t>LIVE-U1/R1 provider-local gap 继续保留；本 Audit 不运行 live probe。</w:t>
      </w:r>
    </w:p>
    <w:p>
      <w:pPr>
        <w:pStyle w:val="Heading1"/>
      </w:pPr>
      <w:r>
        <w:t>4. Audited Data Flow</w:t>
      </w:r>
    </w:p>
    <w:p>
      <w:r>
        <w:t>Accepted Level-2 Sanitized Evidence → accepted Level-2 Mapper → existing Mapped types → existing FLIGGY canonical entry → existing CommonNormalizer → existing Canonical types</w:t>
      </w:r>
    </w:p>
    <w:p>
      <w:r>
        <w:t>Audit 只验证 Mapped → Canonical compatibility；不得绕过 Mapper 从 Evidence/DOM 直接构造 Canonical。</w:t>
      </w:r>
    </w:p>
    <w:p>
      <w:pPr>
        <w:pStyle w:val="Heading1"/>
      </w:pPr>
      <w:r>
        <w:t>5. Required Contract / Code Inventory</w:t>
      </w:r>
    </w:p>
    <w:p>
      <w:pPr>
        <w:pStyle w:val="ListBullet"/>
      </w:pPr>
      <w:r>
        <w:t>检查 Level-2 mapper 的实际返回类型、row identity/provenance、price semantics、partial/missing behavior。</w:t>
      </w:r>
    </w:p>
    <w:p>
      <w:pPr>
        <w:pStyle w:val="ListBullet"/>
      </w:pPr>
      <w:r>
        <w:t>检查 FLIGGY canonical_entry.py 的实际输入 contract、wiring 与任何 Level-1-specific assumption。</w:t>
      </w:r>
    </w:p>
    <w:p>
      <w:pPr>
        <w:pStyle w:val="ListBullet"/>
      </w:pPr>
      <w:r>
        <w:t>检查 CommonNormalizer 对 MappedSegment / MappedItinerary / MappedOffer 的实际消费字段与 canonical construction 条件。</w:t>
      </w:r>
    </w:p>
    <w:p>
      <w:pPr>
        <w:pStyle w:val="ListBullet"/>
      </w:pPr>
      <w:r>
        <w:t>检查 Canonical Offer/Itinerary/Segment 的 price semantics、provenance/source refs、identity/equivalence-related fields。</w:t>
      </w:r>
    </w:p>
    <w:p>
      <w:pPr>
        <w:pStyle w:val="ListBullet"/>
      </w:pPr>
      <w:r>
        <w:t>检查 existing equivalence/identity logic 是否属于 canonicalization 还是 downstream merger；不得把两者混为一谈。</w:t>
      </w:r>
    </w:p>
    <w:p>
      <w:pPr>
        <w:pStyle w:val="Heading1"/>
      </w:pPr>
      <w:r>
        <w:t>6. Mandatory Compatibility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t>Scenario</w:t>
            </w:r>
          </w:p>
        </w:tc>
        <w:tc>
          <w:tcPr>
            <w:tcW w:type="dxa" w:w="5141"/>
          </w:tcPr>
          <w:p>
            <w:r>
              <w:t>Expected Audit Question</w:t>
            </w:r>
          </w:p>
        </w:tc>
      </w:tr>
      <w:tr>
        <w:tc>
          <w:tcPr>
            <w:tcW w:type="dxa" w:w="5141"/>
          </w:tcPr>
          <w:p>
            <w:r>
              <w:t>A — L2 exact row</w:t>
            </w:r>
          </w:p>
        </w:tc>
        <w:tc>
          <w:tcPr>
            <w:tcW w:type="dxa" w:w="5141"/>
          </w:tcPr>
          <w:p>
            <w:r>
              <w:t>明确 amount/currency/EXACT 的 L2 MappedOffer 能否通过 existing path canonicalize？</w:t>
            </w:r>
          </w:p>
        </w:tc>
      </w:tr>
      <w:tr>
        <w:tc>
          <w:tcPr>
            <w:tcW w:type="dxa" w:w="5141"/>
          </w:tcPr>
          <w:p>
            <w:r>
              <w:t>B — L1 lower-bound + L2 exact same amount</w:t>
            </w:r>
          </w:p>
        </w:tc>
        <w:tc>
          <w:tcPr>
            <w:tcW w:type="dxa" w:w="5141"/>
          </w:tcPr>
          <w:p>
            <w:r>
              <w:t>二者能否都 canonicalize，同时保持 observation/provenance distinction？</w:t>
            </w:r>
          </w:p>
        </w:tc>
      </w:tr>
      <w:tr>
        <w:tc>
          <w:tcPr>
            <w:tcW w:type="dxa" w:w="5141"/>
          </w:tcPr>
          <w:p>
            <w:r>
              <w:t>C — Multiple L2 rows</w:t>
            </w:r>
          </w:p>
        </w:tc>
        <w:tc>
          <w:tcPr>
            <w:tcW w:type="dxa" w:w="5141"/>
          </w:tcPr>
          <w:p>
            <w:r>
              <w:t>多个 row 是否分别 canonicalize，且 canonicalization 阶段不跨 row merge？</w:t>
            </w:r>
          </w:p>
        </w:tc>
      </w:tr>
      <w:tr>
        <w:tc>
          <w:tcPr>
            <w:tcW w:type="dxa" w:w="5141"/>
          </w:tcPr>
          <w:p>
            <w:r>
              <w:t>D — Missing L2 price</w:t>
            </w:r>
          </w:p>
        </w:tc>
        <w:tc>
          <w:tcPr>
            <w:tcW w:type="dxa" w:w="5141"/>
          </w:tcPr>
          <w:p>
            <w:r>
              <w:t>是否按 existing behavior 拒绝/partial，而绝不 fallback 到 L1 lower-bound？</w:t>
            </w:r>
          </w:p>
        </w:tc>
      </w:tr>
      <w:tr>
        <w:tc>
          <w:tcPr>
            <w:tcW w:type="dxa" w:w="5141"/>
          </w:tcPr>
          <w:p>
            <w:r>
              <w:t>E — Evidence-only commercial text</w:t>
            </w:r>
          </w:p>
        </w:tc>
        <w:tc>
          <w:tcPr>
            <w:tcW w:type="dxa" w:w="5141"/>
          </w:tcPr>
          <w:p>
            <w:r>
              <w:t>seller、availability、复杂 rules、baggage kg 是否不会在 canonical 层重新被发明成 business truth？</w:t>
            </w:r>
          </w:p>
        </w:tc>
      </w:tr>
    </w:tbl>
    <w:p>
      <w:pPr>
        <w:pStyle w:val="Heading1"/>
      </w:pPr>
      <w:r>
        <w:t>7. Audit Gates</w:t>
      </w:r>
    </w:p>
    <w:p>
      <w:pPr>
        <w:pStyle w:val="Heading2"/>
      </w:pPr>
      <w:r>
        <w:t>L2-CAN-AUD-01 — Mapped input compatibility</w:t>
      </w:r>
    </w:p>
    <w:p>
      <w:r>
        <w:t>Level-2 Mapped types 与 existing canonical entry 输入 contract 兼容。</w:t>
      </w:r>
    </w:p>
    <w:p>
      <w:pPr>
        <w:pStyle w:val="Heading2"/>
      </w:pPr>
      <w:r>
        <w:t>L2-CAN-AUD-02 — Layer boundary</w:t>
      </w:r>
    </w:p>
    <w:p>
      <w:r>
        <w:t>Canonicalization 不需要 Raw Evidence/DOM/browser context。</w:t>
      </w:r>
    </w:p>
    <w:p>
      <w:pPr>
        <w:pStyle w:val="Heading2"/>
      </w:pPr>
      <w:r>
        <w:t>L2-CAN-AUD-03 — EXACT price</w:t>
      </w:r>
    </w:p>
    <w:p>
      <w:r>
        <w:t>合法 L2 EXACT price 可按 existing contract canonicalize。</w:t>
      </w:r>
    </w:p>
    <w:p>
      <w:pPr>
        <w:pStyle w:val="Heading2"/>
      </w:pPr>
      <w:r>
        <w:t>L2-CAN-AUD-04 — LOWER_BOUND preservation</w:t>
      </w:r>
    </w:p>
    <w:p>
      <w:r>
        <w:t>现有 LOWER_BOUND semantics 在 canonicalization 后不被升级为 EXACT。</w:t>
      </w:r>
    </w:p>
    <w:p>
      <w:pPr>
        <w:pStyle w:val="Heading2"/>
      </w:pPr>
      <w:r>
        <w:t>L2-CAN-AUD-05 — Observation distinction</w:t>
      </w:r>
    </w:p>
    <w:p>
      <w:r>
        <w:t>L1 LOWER_BOUND 与 L2 EXACT 即使 amount 相同，也不会因 canonicalization 自身被错误视为同一 observation。</w:t>
      </w:r>
    </w:p>
    <w:p>
      <w:pPr>
        <w:pStyle w:val="Heading2"/>
      </w:pPr>
      <w:r>
        <w:t>L2-CAN-AUD-06 — Missing price</w:t>
      </w:r>
    </w:p>
    <w:p>
      <w:r>
        <w:t>缺失 L2 price 不会被 L1 price 或其他 row price 补齐。</w:t>
      </w:r>
    </w:p>
    <w:p>
      <w:pPr>
        <w:pStyle w:val="Heading2"/>
      </w:pPr>
      <w:r>
        <w:t>L2-CAN-AUD-07 — Provenance</w:t>
      </w:r>
    </w:p>
    <w:p>
      <w:r>
        <w:t>Level-2 row / parent context / source identity 在现有 canonical path 后仍有足够追踪能力。</w:t>
      </w:r>
    </w:p>
    <w:p>
      <w:pPr>
        <w:pStyle w:val="Heading2"/>
      </w:pPr>
      <w:r>
        <w:t>L2-CAN-AUD-08 — Multi-row isolation</w:t>
      </w:r>
    </w:p>
    <w:p>
      <w:r>
        <w:t>多个 L2 rows 可独立 canonicalize；canonicalization 不执行 cross-row merge。</w:t>
      </w:r>
    </w:p>
    <w:p>
      <w:pPr>
        <w:pStyle w:val="Heading2"/>
      </w:pPr>
      <w:r>
        <w:t>L2-CAN-AUD-09 — Seller boundary</w:t>
      </w:r>
    </w:p>
    <w:p>
      <w:r>
        <w:t>Seller Evidence-only 不会被 FLIGGY provider identity 替代或在 Canonical 层凭空生成。</w:t>
      </w:r>
    </w:p>
    <w:p>
      <w:pPr>
        <w:pStyle w:val="Heading2"/>
      </w:pPr>
      <w:r>
        <w:t>L2-CAN-AUD-10 — Unsupported evidence</w:t>
      </w:r>
    </w:p>
    <w:p>
      <w:r>
        <w:t>baggage kg、复杂 refund/change、availability/inventory wording 不会被 canonical 层重新解释。</w:t>
      </w:r>
    </w:p>
    <w:p>
      <w:pPr>
        <w:pStyle w:val="Heading2"/>
      </w:pPr>
      <w:r>
        <w:t>L2-CAN-AUD-11 — Shared preservation</w:t>
      </w:r>
    </w:p>
    <w:p>
      <w:r>
        <w:t>无需修改 CommonNormalizer、shared Canonical/Mapped contract 才能完成有价值的 compatibility path。</w:t>
      </w:r>
    </w:p>
    <w:p>
      <w:pPr>
        <w:pStyle w:val="Heading2"/>
      </w:pPr>
      <w:r>
        <w:t>L2-CAN-AUD-12 — Merger separation</w:t>
      </w:r>
    </w:p>
    <w:p>
      <w:r>
        <w:t>明确区分 Canonical compatibility 问题与 future aggregation/merger commercial-distinction 风险。</w:t>
      </w:r>
    </w:p>
    <w:p>
      <w:pPr>
        <w:pStyle w:val="Heading1"/>
      </w:pPr>
      <w:r>
        <w:t>8. Commercial Distinction Risk Register</w:t>
      </w:r>
    </w:p>
    <w:p>
      <w:r>
        <w:t>Audit 必须单独登记那些可能影响未来 offer equivalence/merger、但当前不应驱动 Canonical Contract 扩张的 Evidence-only commercial distinctions。至少审计：</w:t>
      </w:r>
    </w:p>
    <w:p>
      <w:pPr>
        <w:pStyle w:val="ListBullet"/>
      </w:pPr>
      <w:r>
        <w:t>seller / merchant differentiation</w:t>
      </w:r>
    </w:p>
    <w:p>
      <w:pPr>
        <w:pStyle w:val="ListBullet"/>
      </w:pPr>
      <w:r>
        <w:t>booking / purchase-channel differentiation</w:t>
      </w:r>
    </w:p>
    <w:p>
      <w:pPr>
        <w:pStyle w:val="ListBullet"/>
      </w:pPr>
      <w:r>
        <w:t>fare-product differentiation</w:t>
      </w:r>
    </w:p>
    <w:p>
      <w:pPr>
        <w:pStyle w:val="ListBullet"/>
      </w:pPr>
      <w:r>
        <w:t>refund/change rule differentiation</w:t>
      </w:r>
    </w:p>
    <w:p>
      <w:pPr>
        <w:pStyle w:val="ListBullet"/>
      </w:pPr>
      <w:r>
        <w:t>baggage rule differentiation</w:t>
      </w:r>
    </w:p>
    <w:p>
      <w:pPr>
        <w:pStyle w:val="ListBullet"/>
      </w:pPr>
      <w:r>
        <w:t>availability / urgency differentiation</w:t>
      </w:r>
    </w:p>
    <w:p>
      <w:r>
        <w:t>例如 Seller A ¥500 与 Seller B ¥500 在 shared canonical facts 上可能相同；这可以是 future merger risk，而不自动构成 Canonical compatibility failure 或 Contract Amendment。</w:t>
      </w:r>
    </w:p>
    <w:p>
      <w:pPr>
        <w:pStyle w:val="Heading1"/>
      </w:pPr>
      <w:r>
        <w:t>9. Contract Amendment Rule</w:t>
      </w:r>
    </w:p>
    <w:p>
      <w:r>
        <w:t>只有当当前 V0 必需、已被现有 Mapper 合法表达的 shared semantic 无法被现有 Canonical Contract 忠实承载，且 provider-local wiring 无法解决时，才允许提出 Contract Amendment。Seller 等当前 Evidence-only 信息不能仅因未来 merger 可能需要就直接触发本 Audit 的 shared expansion。</w:t>
      </w:r>
    </w:p>
    <w:p>
      <w:pPr>
        <w:pStyle w:val="Heading1"/>
      </w:pPr>
      <w:r>
        <w:t>10. Required Verdict</w:t>
      </w:r>
    </w:p>
    <w:p>
      <w:pPr>
        <w:pStyle w:val="ListBullet"/>
      </w:pPr>
      <w:r>
        <w:t>`PASS — EXISTING CANONICAL PATH SUFFICIENT`: 无新增 Canonical implementation 必要；现有 path 足够。</w:t>
      </w:r>
    </w:p>
    <w:p>
      <w:pPr>
        <w:pStyle w:val="ListBullet"/>
      </w:pPr>
      <w:r>
        <w:t>`PASS — PROVIDER-LOCAL WIRING ONLY REQUIRED`: Shared semantics 足够，但现有 FLIGGY entry 存在狭窄 wiring/interface 限制；可建议后续极小 wiring Unit。</w:t>
      </w:r>
    </w:p>
    <w:p>
      <w:pPr>
        <w:pStyle w:val="ListBullet"/>
      </w:pPr>
      <w:r>
        <w:t>`PASS WITH DOWNSTREAM MERGER RISK`: Canonical path 兼容，但 commercial distinction 在未来 merger/equivalence 中可能丢失；登记风险，不扩张本层。</w:t>
      </w:r>
    </w:p>
    <w:p>
      <w:pPr>
        <w:pStyle w:val="ListBullet"/>
      </w:pPr>
      <w:r>
        <w:t>`BLOCKED`: Authority/code evidence 不足，无法诚实判断。</w:t>
      </w:r>
    </w:p>
    <w:p>
      <w:pPr>
        <w:pStyle w:val="ListBullet"/>
      </w:pPr>
      <w:r>
        <w:t>`CONTRACT AMENDMENT PROPOSAL REQUIRED`: 只有满足正式 amendment gate 时。</w:t>
      </w:r>
    </w:p>
    <w:p>
      <w:r>
        <w:t>若同时存在 canonical path sufficient 与 downstream merger risk，应优先明确 Canonical Compatibility = PASS，并把 Merger Risk 作为独立附加结论。</w:t>
      </w:r>
    </w:p>
    <w:p>
      <w:pPr>
        <w:pStyle w:val="Heading1"/>
      </w:pPr>
      <w:r>
        <w:t>11. Forbidden Scope</w:t>
      </w:r>
    </w:p>
    <w:p>
      <w:pPr>
        <w:pStyle w:val="ListBullet"/>
      </w:pPr>
      <w:r>
        <w:t>不得修改任何源码、tests、Shared Contract、CommonNormalizer、Canonical entities 或 FLIGGY canonical entry。</w:t>
      </w:r>
    </w:p>
    <w:p>
      <w:pPr>
        <w:pStyle w:val="ListBullet"/>
      </w:pPr>
      <w:r>
        <w:t>不得创建 level2_canonical.py 或其他实现文件。</w:t>
      </w:r>
    </w:p>
    <w:p>
      <w:pPr>
        <w:pStyle w:val="ListBullet"/>
      </w:pPr>
      <w:r>
        <w:t>不得实现/修改 Candidate Merger、CandidateSnapshot、Ranking、Recommendation、Purchase Guidance/Access。</w:t>
      </w:r>
    </w:p>
    <w:p>
      <w:pPr>
        <w:pStyle w:val="ListBullet"/>
      </w:pPr>
      <w:r>
        <w:t>不得新增 seller/fare-family/inventory/refund-fee/commercial-offer-identity 等 shared semantics。</w:t>
      </w:r>
    </w:p>
    <w:p>
      <w:pPr>
        <w:pStyle w:val="ListBullet"/>
      </w:pPr>
      <w:r>
        <w:t>不得修改 CTRIP；不得 merge main；不得运行 live FLIGGY probe。</w:t>
      </w:r>
    </w:p>
    <w:p>
      <w:pPr>
        <w:pStyle w:val="Heading1"/>
      </w:pPr>
      <w:r>
        <w:t>12. Exit / Next-Unit Rule</w:t>
      </w:r>
    </w:p>
    <w:p>
      <w:r>
        <w:t>本 Unit 是只读 Audit。完成报告后 STOP，不 commit/push。若 verdict 为 EXISTING CANONICAL PATH SUFFICIENT，则不得为了结构对称创建 Level-2 Canonical implementation Unit；可仅建议后续 regression/acceptance evidence 或进入 aggregation/merger 设计。若仅 provider-local wiring required，则下一 Unit 必须被单独人工授权。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