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0"/>
        </w:rPr>
        <w:t>机票筛选 Agent</w:t>
        <w:br/>
        <w:t>M9-TONGCHENG-BROWSER-PROBE-U1</w:t>
        <w:br/>
        <w:t>Implementation Unit Specification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vAlign w:val="center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4986"/>
            <w:vAlign w:val="center"/>
          </w:tcPr>
          <w:p>
            <w:r>
              <w:t>PROPOSED FOR AUTHORITY INTAKE / 待 DOCUMENT_AUTHORITY 正式接纳</w:t>
            </w:r>
          </w:p>
        </w:tc>
      </w:tr>
      <w:tr>
        <w:tc>
          <w:tcPr>
            <w:tcW w:type="dxa" w:w="4986"/>
            <w:shd w:fill="EAF2F8"/>
            <w:vAlign w:val="center"/>
          </w:tcPr>
          <w:p>
            <w:r>
              <w:rPr>
                <w:b/>
              </w:rPr>
              <w:t>Unit ID</w:t>
            </w:r>
          </w:p>
        </w:tc>
        <w:tc>
          <w:tcPr>
            <w:tcW w:type="dxa" w:w="4986"/>
            <w:vAlign w:val="center"/>
          </w:tcPr>
          <w:p>
            <w:r>
              <w:t>M9-TONGCHENG-BROWSER-PROBE-U1</w:t>
            </w:r>
          </w:p>
        </w:tc>
      </w:tr>
      <w:tr>
        <w:tc>
          <w:tcPr>
            <w:tcW w:type="dxa" w:w="4986"/>
            <w:shd w:fill="EAF2F8"/>
            <w:vAlign w:val="center"/>
          </w:tcPr>
          <w:p>
            <w:r>
              <w:rPr>
                <w:b/>
              </w:rPr>
              <w:t>Provider / Mode</w:t>
            </w:r>
          </w:p>
        </w:tc>
        <w:tc>
          <w:tcPr>
            <w:tcW w:type="dxa" w:w="4986"/>
            <w:vAlign w:val="center"/>
          </w:tcPr>
          <w:p>
            <w:r>
              <w:t>TONGCHENG / BROWSER</w:t>
            </w:r>
          </w:p>
        </w:tc>
      </w:tr>
      <w:tr>
        <w:tc>
          <w:tcPr>
            <w:tcW w:type="dxa" w:w="4986"/>
            <w:shd w:fill="EAF2F8"/>
            <w:vAlign w:val="center"/>
          </w:tcPr>
          <w:p>
            <w:r>
              <w:rPr>
                <w:b/>
              </w:rPr>
              <w:t>目标分支</w:t>
            </w:r>
          </w:p>
        </w:tc>
        <w:tc>
          <w:tcPr>
            <w:tcW w:type="dxa" w:w="4986"/>
            <w:vAlign w:val="center"/>
          </w:tcPr>
          <w:p>
            <w:r>
              <w:t>m9-trackb-tongcheng-browser</w:t>
            </w:r>
          </w:p>
        </w:tc>
      </w:tr>
      <w:tr>
        <w:tc>
          <w:tcPr>
            <w:tcW w:type="dxa" w:w="4986"/>
            <w:shd w:fill="EAF2F8"/>
            <w:vAlign w:val="center"/>
          </w:tcPr>
          <w:p>
            <w:r>
              <w:rPr>
                <w:b/>
              </w:rPr>
              <w:t>上游 Evidence</w:t>
            </w:r>
          </w:p>
        </w:tc>
        <w:tc>
          <w:tcPr>
            <w:tcW w:type="dxa" w:w="4986"/>
            <w:vAlign w:val="center"/>
          </w:tcPr>
          <w:p>
            <w:r>
              <w:t>Tongcheng Browser Acquisition B-P1～B-P5 阶段性实验结论 V0.1</w:t>
            </w:r>
          </w:p>
        </w:tc>
      </w:tr>
      <w:tr>
        <w:tc>
          <w:tcPr>
            <w:tcW w:type="dxa" w:w="4986"/>
            <w:shd w:fill="EAF2F8"/>
            <w:vAlign w:val="center"/>
          </w:tcPr>
          <w:p>
            <w:r>
              <w:rPr>
                <w:b/>
              </w:rPr>
              <w:t>Logical Change Boundary</w:t>
            </w:r>
          </w:p>
        </w:tc>
        <w:tc>
          <w:tcPr>
            <w:tcW w:type="dxa" w:w="4986"/>
            <w:vAlign w:val="center"/>
          </w:tcPr>
          <w:p>
            <w:r>
              <w:t>Provider-local read-only acquisition probe only</w:t>
            </w:r>
          </w:p>
        </w:tc>
      </w:tr>
    </w:tbl>
    <w:p/>
    <w:p>
      <w:pPr>
        <w:pStyle w:val="Heading1"/>
      </w:pPr>
      <w:r>
        <w:t>1. Goal</w:t>
      </w:r>
    </w:p>
    <w:p>
      <w:r>
        <w:t>实现一个最小、受控、只读的 Tongcheng Browser Acquisition Probe，用于验证人工阶段已经观察到的消费者搜索路径、结构化 XHR evidence、Rendered DOM cross-check、Level-1 summary、基础 failure/readiness 与 sanitization 的可重复性。该 Unit 不进入 Canonical Mapper、共享 PurchaseAccess、CandidateSnapshot 或多 Provider aggregation。</w:t>
      </w:r>
    </w:p>
    <w:p>
      <w:pPr>
        <w:pStyle w:val="Heading1"/>
      </w:pPr>
      <w:r>
        <w:t>2. Preconditions / Authority</w:t>
      </w:r>
    </w:p>
    <w:p>
      <w:pPr>
        <w:pStyle w:val="ListBullet"/>
      </w:pPr>
      <w:r>
        <w:t>必须先读取 Repository 当前 docs/DOCUMENT_AUTHORITY.md 与正式 M9 governing specification。</w:t>
      </w:r>
    </w:p>
    <w:p>
      <w:pPr>
        <w:pStyle w:val="ListBullet"/>
      </w:pPr>
      <w:r>
        <w:t>必须确认本 Specification 已被 Authority Intake 正式登记后方可实施；若未登记，STOP / BLOCKED。</w:t>
      </w:r>
    </w:p>
    <w:p>
      <w:pPr>
        <w:pStyle w:val="ListBullet"/>
      </w:pPr>
      <w:r>
        <w:t>当前 branch 必须为 m9-trackb-tongcheng-browser，且已吸收执行时所需最新合法 main。</w:t>
      </w:r>
    </w:p>
    <w:p>
      <w:pPr>
        <w:pStyle w:val="ListBullet"/>
      </w:pPr>
      <w:r>
        <w:t>人工 Evidence 仅作为 supporting evidence，不反向成为 Domain Contract。</w:t>
      </w:r>
    </w:p>
    <w:p>
      <w:pPr>
        <w:pStyle w:val="Heading1"/>
      </w:pPr>
      <w:r>
        <w:t>3. Allowed Scope</w:t>
      </w:r>
    </w:p>
    <w:p>
      <w:pPr>
        <w:pStyle w:val="ListBullet"/>
      </w:pPr>
      <w:r>
        <w:t>Provider-local Tongcheng browser navigation / readiness detection。</w:t>
      </w:r>
    </w:p>
    <w:p>
      <w:pPr>
        <w:pStyle w:val="ListBullet"/>
      </w:pPr>
      <w:r>
        <w:t>Provider-local read-only acquisition probe。</w:t>
      </w:r>
    </w:p>
    <w:p>
      <w:pPr>
        <w:pStyle w:val="ListBullet"/>
      </w:pPr>
      <w:r>
        <w:t>读取浏览器正常页面运行产生的 structured XHR evidence。</w:t>
      </w:r>
    </w:p>
    <w:p>
      <w:pPr>
        <w:pStyle w:val="ListBullet"/>
      </w:pPr>
      <w:r>
        <w:t>Rendered DOM fallback / cross-check（仅 provider-local）。</w:t>
      </w:r>
    </w:p>
    <w:p>
      <w:pPr>
        <w:pStyle w:val="ListBullet"/>
      </w:pPr>
      <w:r>
        <w:t>Provider-local sanitization / redaction。</w:t>
      </w:r>
    </w:p>
    <w:p>
      <w:pPr>
        <w:pStyle w:val="ListBullet"/>
      </w:pPr>
      <w:r>
        <w:t>Provider-local raw evidence model（不得成为 Canonical Domain）。</w:t>
      </w:r>
    </w:p>
    <w:p>
      <w:pPr>
        <w:pStyle w:val="ListBullet"/>
      </w:pPr>
      <w:r>
        <w:t>Offline fixture 与 provider-local unit/contract tests。</w:t>
      </w:r>
    </w:p>
    <w:p>
      <w:pPr>
        <w:pStyle w:val="ListBullet"/>
      </w:pPr>
      <w:r>
        <w:t>受控 live smoke，仅用于验证真实页面；不得进入普通 CI。</w:t>
      </w:r>
    </w:p>
    <w:p>
      <w:pPr>
        <w:pStyle w:val="Heading1"/>
      </w:pPr>
      <w:r>
        <w:t>4. Forbidden Scope</w:t>
      </w:r>
    </w:p>
    <w:p>
      <w:pPr>
        <w:pStyle w:val="ListBullet"/>
      </w:pPr>
      <w:r>
        <w:t>不得实现或修改 Canonical Mapper / Common Normalizer。</w:t>
      </w:r>
    </w:p>
    <w:p>
      <w:pPr>
        <w:pStyle w:val="ListBullet"/>
      </w:pPr>
      <w:r>
        <w:t>不得修改 FlightProvider Port、Domain、SearchPlan、Requirement、Patch、Ranking、Recommendation、Publication 或 Public API。</w:t>
      </w:r>
    </w:p>
    <w:p>
      <w:pPr>
        <w:pStyle w:val="ListBullet"/>
      </w:pPr>
      <w:r>
        <w:t>不得定义或修改共享 PurchaseAccess 语义。</w:t>
      </w:r>
    </w:p>
    <w:p>
      <w:pPr>
        <w:pStyle w:val="ListBullet"/>
      </w:pPr>
      <w:r>
        <w:t>不得写入 Multi-provider CandidateSnapshot / aggregation。</w:t>
      </w:r>
    </w:p>
    <w:p>
      <w:pPr>
        <w:pStyle w:val="ListBullet"/>
      </w:pPr>
      <w:r>
        <w:t>不得把 getflightlist 或其他浏览器内部 endpoint 实现为脱离浏览器的 HTTP API client。</w:t>
      </w:r>
    </w:p>
    <w:p>
      <w:pPr>
        <w:pStyle w:val="ListBullet"/>
      </w:pPr>
      <w:r>
        <w:t>不得绕过验证码、滑块、登录、访问控制或反自动化机制。</w:t>
      </w:r>
    </w:p>
    <w:p>
      <w:pPr>
        <w:pStyle w:val="ListBullet"/>
      </w:pPr>
      <w:r>
        <w:t>不得保存 Cookie、Authorization、Session Token、完整 HAR、个人凭据。</w:t>
      </w:r>
    </w:p>
    <w:p>
      <w:pPr>
        <w:pStyle w:val="ListBullet"/>
      </w:pPr>
      <w:r>
        <w:t>不得登录后自动预订、填写乘机人或支付。</w:t>
      </w:r>
    </w:p>
    <w:p>
      <w:pPr>
        <w:pStyle w:val="Heading1"/>
      </w:pPr>
      <w:r>
        <w:t>5. Probe Contract</w:t>
      </w:r>
    </w:p>
    <w:p>
      <w:pPr>
        <w:pStyle w:val="ListBullet"/>
      </w:pPr>
      <w:r>
        <w:t>Entry：打开公开消费者机票入口并执行受控 origin/destination/date 搜索。</w:t>
      </w:r>
    </w:p>
    <w:p>
      <w:pPr>
        <w:pStyle w:val="ListBullet"/>
      </w:pPr>
      <w:r>
        <w:t>Readiness：识别正常结果页、登录/访问挑战、导航/网络错误、超时等 provider-local outcome。</w:t>
      </w:r>
    </w:p>
    <w:p>
      <w:pPr>
        <w:pStyle w:val="ListBullet"/>
      </w:pPr>
      <w:r>
        <w:t>Level-1 Evidence：至少恢复 provider display flight identity、时间、机场、summary price raw semantics 与 selection action presence。</w:t>
      </w:r>
    </w:p>
    <w:p>
      <w:pPr>
        <w:pStyle w:val="ListBullet"/>
      </w:pPr>
      <w:r>
        <w:t>Structured Evidence：优先从浏览器运行时 structured XHR 中读取；必须绑定当前 browser execution / page lifecycle。</w:t>
      </w:r>
    </w:p>
    <w:p>
      <w:pPr>
        <w:pStyle w:val="ListBullet"/>
      </w:pPr>
      <w:r>
        <w:t>DOM Cross-check：对至少一个航班验证 structured evidence 与 rendered result 一致；若 structured evidence 不可用，可降级 DOM，但必须显式记录 acquisition path。</w:t>
      </w:r>
    </w:p>
    <w:p>
      <w:pPr>
        <w:pStyle w:val="ListBullet"/>
      </w:pPr>
      <w:r>
        <w:t>Level-2：本 Unit 仅允许确认 Offer expansion presence 与最小 provider-local evidence seam；不得在本 Unit 完成正式 canonical offer mapping。</w:t>
      </w:r>
    </w:p>
    <w:p>
      <w:pPr>
        <w:pStyle w:val="ListBullet"/>
      </w:pPr>
      <w:r>
        <w:t>Coverage：只输出 observed traversal semantics，例如 COMPLETE_OBSERVED / PARTIAL_OBSERVED / UNKNOWN，不声称 market COMPLETE。</w:t>
      </w:r>
    </w:p>
    <w:p>
      <w:pPr>
        <w:pStyle w:val="ListBullet"/>
      </w:pPr>
      <w:r>
        <w:t>Sanitization：持久 fixture 或日志只保留必要业务 evidence；session/credential 等敏感信息必须剔除。</w:t>
      </w:r>
    </w:p>
    <w:p>
      <w:pPr>
        <w:pStyle w:val="Heading1"/>
      </w:pPr>
      <w:r>
        <w:t>6. Required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7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Minimum expectation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Live/Offline</w:t>
            </w:r>
          </w:p>
        </w:tc>
      </w:tr>
      <w:tr>
        <w:tc>
          <w:tcPr>
            <w:tcW w:type="dxa" w:w="3324"/>
          </w:tcPr>
          <w:p>
            <w:r>
              <w:t>S1 representative success</w:t>
            </w:r>
          </w:p>
        </w:tc>
        <w:tc>
          <w:tcPr>
            <w:tcW w:type="dxa" w:w="3324"/>
          </w:tcPr>
          <w:p>
            <w:r>
              <w:t>Domestic route returns structured Level-1 evidence; at least one flight cross-checked with DOM</w:t>
            </w:r>
          </w:p>
        </w:tc>
        <w:tc>
          <w:tcPr>
            <w:tcW w:type="dxa" w:w="3324"/>
          </w:tcPr>
          <w:p>
            <w:r>
              <w:t>live + sanitized offline fixture</w:t>
            </w:r>
          </w:p>
        </w:tc>
      </w:tr>
      <w:tr>
        <w:tc>
          <w:tcPr>
            <w:tcW w:type="dxa" w:w="3324"/>
          </w:tcPr>
          <w:p>
            <w:r>
              <w:t>S2 repeatability</w:t>
            </w:r>
          </w:p>
        </w:tc>
        <w:tc>
          <w:tcPr>
            <w:tcW w:type="dxa" w:w="3324"/>
          </w:tcPr>
          <w:p>
            <w:r>
              <w:t>Independent route/date run reaches same evidence layer</w:t>
            </w:r>
          </w:p>
        </w:tc>
        <w:tc>
          <w:tcPr>
            <w:tcW w:type="dxa" w:w="3324"/>
          </w:tcPr>
          <w:p>
            <w:r>
              <w:t>live bounded smoke</w:t>
            </w:r>
          </w:p>
        </w:tc>
      </w:tr>
      <w:tr>
        <w:tc>
          <w:tcPr>
            <w:tcW w:type="dxa" w:w="3324"/>
          </w:tcPr>
          <w:p>
            <w:r>
              <w:t>S3 offer expansion presence</w:t>
            </w:r>
          </w:p>
        </w:tc>
        <w:tc>
          <w:tcPr>
            <w:tcW w:type="dxa" w:w="3324"/>
          </w:tcPr>
          <w:p>
            <w:r>
              <w:t>Selection action can expose multiple offer rows without purchase</w:t>
            </w:r>
          </w:p>
        </w:tc>
        <w:tc>
          <w:tcPr>
            <w:tcW w:type="dxa" w:w="3324"/>
          </w:tcPr>
          <w:p>
            <w:r>
              <w:t>live; no login automation</w:t>
            </w:r>
          </w:p>
        </w:tc>
      </w:tr>
      <w:tr>
        <w:tc>
          <w:tcPr>
            <w:tcW w:type="dxa" w:w="3324"/>
          </w:tcPr>
          <w:p>
            <w:r>
              <w:t>S4 login boundary</w:t>
            </w:r>
          </w:p>
        </w:tc>
        <w:tc>
          <w:tcPr>
            <w:tcW w:type="dxa" w:w="3324"/>
          </w:tcPr>
          <w:p>
            <w:r>
              <w:t>Booking continuation produces LOGIN_REQUIRED or equivalent provider-local evidence</w:t>
            </w:r>
          </w:p>
        </w:tc>
        <w:tc>
          <w:tcPr>
            <w:tcW w:type="dxa" w:w="3324"/>
          </w:tcPr>
          <w:p>
            <w:r>
              <w:t>live/manual or controlled probe where safe</w:t>
            </w:r>
          </w:p>
        </w:tc>
      </w:tr>
      <w:tr>
        <w:tc>
          <w:tcPr>
            <w:tcW w:type="dxa" w:w="3324"/>
          </w:tcPr>
          <w:p>
            <w:r>
              <w:t>S5 timeout/network failure</w:t>
            </w:r>
          </w:p>
        </w:tc>
        <w:tc>
          <w:tcPr>
            <w:tcW w:type="dxa" w:w="3324"/>
          </w:tcPr>
          <w:p>
            <w:r>
              <w:t>Failure remains failure; must not become EMPTY</w:t>
            </w:r>
          </w:p>
        </w:tc>
        <w:tc>
          <w:tcPr>
            <w:tcW w:type="dxa" w:w="3324"/>
          </w:tcPr>
          <w:p>
            <w:r>
              <w:t>offline deterministic test; live only if naturally observed</w:t>
            </w:r>
          </w:p>
        </w:tc>
      </w:tr>
      <w:tr>
        <w:tc>
          <w:tcPr>
            <w:tcW w:type="dxa" w:w="3324"/>
          </w:tcPr>
          <w:p>
            <w:r>
              <w:t>S6 empty semantics</w:t>
            </w:r>
          </w:p>
        </w:tc>
        <w:tc>
          <w:tcPr>
            <w:tcW w:type="dxa" w:w="3324"/>
          </w:tcPr>
          <w:p>
            <w:r>
              <w:t>If reliable natural EMPTY case is not available, preserve UNKNOWN and do not fabricate</w:t>
            </w:r>
          </w:p>
        </w:tc>
        <w:tc>
          <w:tcPr>
            <w:tcW w:type="dxa" w:w="3324"/>
          </w:tcPr>
          <w:p>
            <w:r>
              <w:t>offline fixture or explicit gap</w:t>
            </w:r>
          </w:p>
        </w:tc>
      </w:tr>
      <w:tr>
        <w:tc>
          <w:tcPr>
            <w:tcW w:type="dxa" w:w="3324"/>
          </w:tcPr>
          <w:p>
            <w:r>
              <w:t>S7 sanitization</w:t>
            </w:r>
          </w:p>
        </w:tc>
        <w:tc>
          <w:tcPr>
            <w:tcW w:type="dxa" w:w="3324"/>
          </w:tcPr>
          <w:p>
            <w:r>
              <w:t>No cookies/tokens/credentials in saved fixture/log</w:t>
            </w:r>
          </w:p>
        </w:tc>
        <w:tc>
          <w:tcPr>
            <w:tcW w:type="dxa" w:w="3324"/>
          </w:tcPr>
          <w:p>
            <w:r>
              <w:t>offline test</w:t>
            </w:r>
          </w:p>
        </w:tc>
      </w:tr>
    </w:tbl>
    <w:p>
      <w:pPr>
        <w:pStyle w:val="Heading1"/>
      </w:pPr>
      <w:r>
        <w:t>7. Tests / Quality Gates</w:t>
      </w:r>
    </w:p>
    <w:p>
      <w:pPr>
        <w:pStyle w:val="ListBullet"/>
      </w:pPr>
      <w:r>
        <w:t>Focused provider-local unit tests for parsing/extraction/sanitization/readiness classification。</w:t>
      </w:r>
    </w:p>
    <w:p>
      <w:pPr>
        <w:pStyle w:val="ListBullet"/>
      </w:pPr>
      <w:r>
        <w:t>Offline fixture regression must not require live Tongcheng in ordinary CI。</w:t>
      </w:r>
    </w:p>
    <w:p>
      <w:pPr>
        <w:pStyle w:val="ListBullet"/>
      </w:pPr>
      <w:r>
        <w:t>Architecture/contract gates must confirm no Domain/Port/shared-contract dependency inversion。</w:t>
      </w:r>
    </w:p>
    <w:p>
      <w:pPr>
        <w:pStyle w:val="ListBullet"/>
      </w:pPr>
      <w:r>
        <w:t>If repository has a unified gate, run it before final PASS unless live external dependency would violate CI policy；live smoke单独报告。</w:t>
      </w:r>
    </w:p>
    <w:p>
      <w:pPr>
        <w:pStyle w:val="ListBullet"/>
      </w:pPr>
      <w:r>
        <w:t>不得弱化现有 test gate、删除测试或修改 Golden Expected Output 迁就实现。</w:t>
      </w:r>
    </w:p>
    <w:p>
      <w:pPr>
        <w:pStyle w:val="Heading1"/>
      </w:pPr>
      <w:r>
        <w:t>8. Security / Access Challenge STOP</w:t>
      </w:r>
    </w:p>
    <w:p>
      <w:r>
        <w:t>若出现 CAPTCHA、滑块、强制登录、异常风控、访问控制或需要凭据的路径，Probe 必须停止对应路径并形成明确 provider-local outcome；不得绕过。Secret/session evidence 不进入 fixture、日志或 Git。</w:t>
      </w:r>
    </w:p>
    <w:p>
      <w:pPr>
        <w:pStyle w:val="Heading1"/>
      </w:pPr>
      <w:r>
        <w:t>9. Shared Contract Convergence Gate</w:t>
      </w:r>
    </w:p>
    <w:p>
      <w:r>
        <w:t>一旦下一步需要进入 Canonical Mapper / Canonical Offer-Itinerary-Segment semantics / PurchaseAccess shared semantics / CandidateSnapshot / aggregation / shared provider selection / Public API 或任何 Domain/Port/Ranking/Publication 共享语义，必须 STOP，汇总 Tongcheng 与既有 Fliggy/Ctrip Evidence，先完成共享 Contract 讨论与 Authority 授权。</w:t>
      </w:r>
    </w:p>
    <w:p>
      <w:pPr>
        <w:pStyle w:val="Heading1"/>
      </w:pPr>
      <w:r>
        <w:t>10. DoD / Exit Evidence</w:t>
      </w:r>
    </w:p>
    <w:p>
      <w:pPr>
        <w:pStyle w:val="ListBullet"/>
      </w:pPr>
      <w:r>
        <w:t>Provider-local Probe 在正确 branch 上完成最小实现。</w:t>
      </w:r>
    </w:p>
    <w:p>
      <w:pPr>
        <w:pStyle w:val="ListBullet"/>
      </w:pPr>
      <w:r>
        <w:t>至少一个代表性 domestic live smoke 成功；一个独立重复运行完成。</w:t>
      </w:r>
    </w:p>
    <w:p>
      <w:pPr>
        <w:pStyle w:val="ListBullet"/>
      </w:pPr>
      <w:r>
        <w:t>结构化 XHR evidence 与至少一个 Rendered DOM flight 完成 cross-check。</w:t>
      </w:r>
    </w:p>
    <w:p>
      <w:pPr>
        <w:pStyle w:val="ListBullet"/>
      </w:pPr>
      <w:r>
        <w:t>Level-1 summary raw semantics 保真；不升级为 canonical exact price。</w:t>
      </w:r>
    </w:p>
    <w:p>
      <w:pPr>
        <w:pStyle w:val="ListBullet"/>
      </w:pPr>
      <w:r>
        <w:t>Access/login/timeout/empty 等未覆盖项明确标记，不以猜测填充。</w:t>
      </w:r>
    </w:p>
    <w:p>
      <w:pPr>
        <w:pStyle w:val="ListBullet"/>
      </w:pPr>
      <w:r>
        <w:t>Offline fixture 完成脱敏；普通 CI 不依赖 live Tongcheng。</w:t>
      </w:r>
    </w:p>
    <w:p>
      <w:pPr>
        <w:pStyle w:val="ListBullet"/>
      </w:pPr>
      <w:r>
        <w:t>Focused tests + architecture/contract/regression gates 通过。</w:t>
      </w:r>
    </w:p>
    <w:p>
      <w:pPr>
        <w:pStyle w:val="ListBullet"/>
      </w:pPr>
      <w:r>
        <w:t>无 Shared Contract 变更；Contract Amendment = NONE，或若触发则已 STOP。</w:t>
      </w:r>
    </w:p>
    <w:p>
      <w:pPr>
        <w:pStyle w:val="ListBullet"/>
      </w:pPr>
      <w:r>
        <w:t>成功后 commit + push + remote verification + clean tree。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