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7"/>
        </w:rPr>
        <w:t>机票筛选Agent</w:t>
        <w:br/>
        <w:t>M9 FLIGGY Browser Acquisition Recovery DIAG-U10-R1</w:t>
      </w:r>
    </w:p>
    <w:p>
      <w:pPr>
        <w:jc w:val="center"/>
      </w:pPr>
      <w:r>
        <w:rPr>
          <w:b/>
          <w:sz w:val="26"/>
        </w:rPr>
        <w:t>Human Hit-Target vs Automated Locator Differential Revalidation</w:t>
        <w:br/>
        <w:t>Specification V1.0</w:t>
      </w:r>
    </w:p>
    <w:p>
      <w:pPr>
        <w:jc w:val="center"/>
      </w:pPr>
      <w:r>
        <w:rPr>
          <w:i/>
        </w:rPr>
        <w:t>状态：PROPOSED / DIAGNOSTIC-ONLY / REQUIRES DOCUMENT ACCEPTANCE</w:t>
      </w:r>
    </w:p>
    <w:p>
      <w:pPr>
        <w:pStyle w:val="Heading1"/>
      </w:pPr>
      <w:r>
        <w:t>1. Unit Identity &amp; Trigger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shd w:fill="D9EAF7"/>
          </w:tcPr>
          <w:p>
            <w:r>
              <w:t>Item</w:t>
            </w:r>
          </w:p>
        </w:tc>
        <w:tc>
          <w:tcPr>
            <w:tcW w:type="dxa" w:w="5071"/>
            <w:shd w:fill="D9EAF7"/>
          </w:tcPr>
          <w:p>
            <w:r>
              <w:t>Value</w:t>
            </w:r>
          </w:p>
        </w:tc>
      </w:tr>
      <w:tr>
        <w:tc>
          <w:tcPr>
            <w:tcW w:type="dxa" w:w="5071"/>
          </w:tcPr>
          <w:p>
            <w:r>
              <w:t>Unit ID</w:t>
            </w:r>
          </w:p>
        </w:tc>
        <w:tc>
          <w:tcPr>
            <w:tcW w:type="dxa" w:w="5071"/>
          </w:tcPr>
          <w:p>
            <w:r>
              <w:t>M9-FLIGGY-BROWSER-ACQUISITION-RECOVERY-DIAG-U10-R1</w:t>
            </w:r>
          </w:p>
        </w:tc>
      </w:tr>
      <w:tr>
        <w:tc>
          <w:tcPr>
            <w:tcW w:type="dxa" w:w="5071"/>
          </w:tcPr>
          <w:p>
            <w:r>
              <w:t>Title</w:t>
            </w:r>
          </w:p>
        </w:tc>
        <w:tc>
          <w:tcPr>
            <w:tcW w:type="dxa" w:w="5071"/>
          </w:tcPr>
          <w:p>
            <w:r>
              <w:t>Human Hit-Target vs Automated Locator Differential Revalidation</w:t>
            </w:r>
          </w:p>
        </w:tc>
      </w:tr>
      <w:tr>
        <w:tc>
          <w:tcPr>
            <w:tcW w:type="dxa" w:w="5071"/>
          </w:tcPr>
          <w:p>
            <w:r>
              <w:t>Trigger</w:t>
            </w:r>
          </w:p>
        </w:tc>
        <w:tc>
          <w:tcPr>
            <w:tcW w:type="dxa" w:w="5071"/>
          </w:tcPr>
          <w:p>
            <w:r>
              <w:t>DIAG-U10 verdict: BLOCKED — DIAGNOSTIC_INSUFFICIENT</w:t>
            </w:r>
          </w:p>
        </w:tc>
      </w:tr>
      <w:tr>
        <w:tc>
          <w:tcPr>
            <w:tcW w:type="dxa" w:w="5071"/>
          </w:tcPr>
          <w:p>
            <w:r>
              <w:t>Latest DIAG-U10 diagnostic commit</w:t>
            </w:r>
          </w:p>
        </w:tc>
        <w:tc>
          <w:tcPr>
            <w:tcW w:type="dxa" w:w="5071"/>
          </w:tcPr>
          <w:p>
            <w:r>
              <w:t>2e23c7ab6222377e96516dfa31361cbb23ad1f33</w:t>
            </w:r>
          </w:p>
        </w:tc>
      </w:tr>
      <w:tr>
        <w:tc>
          <w:tcPr>
            <w:tcW w:type="dxa" w:w="5071"/>
          </w:tcPr>
          <w:p>
            <w:r>
              <w:t>DIAG-U10 governance commit</w:t>
            </w:r>
          </w:p>
        </w:tc>
        <w:tc>
          <w:tcPr>
            <w:tcW w:type="dxa" w:w="5071"/>
          </w:tcPr>
          <w:p>
            <w:r>
              <w:t>18d44b5cc7e7e5224fcd33cbe58e9a06b92eb2b2</w:t>
            </w:r>
          </w:p>
        </w:tc>
      </w:tr>
      <w:tr>
        <w:tc>
          <w:tcPr>
            <w:tcW w:type="dxa" w:w="5071"/>
          </w:tcPr>
          <w:p>
            <w:r>
              <w:t>U9 implementation baseline</w:t>
            </w:r>
          </w:p>
        </w:tc>
        <w:tc>
          <w:tcPr>
            <w:tcW w:type="dxa" w:w="5071"/>
          </w:tcPr>
          <w:p>
            <w:r>
              <w:t>3fa6670e44894eccdce7e88c446055b6bb2059ba</w:t>
            </w:r>
          </w:p>
        </w:tc>
      </w:tr>
      <w:tr>
        <w:tc>
          <w:tcPr>
            <w:tcW w:type="dxa" w:w="5071"/>
          </w:tcPr>
          <w:p>
            <w:r>
              <w:t>Current known automated target</w:t>
            </w:r>
          </w:p>
        </w:tc>
        <w:tc>
          <w:tcPr>
            <w:tcW w:type="dxa" w:w="5071"/>
          </w:tcPr>
          <w:p>
            <w:r>
              <w:t>input#form_arrCity</w:t>
            </w:r>
          </w:p>
        </w:tc>
      </w:tr>
      <w:tr>
        <w:tc>
          <w:tcPr>
            <w:tcW w:type="dxa" w:w="5071"/>
          </w:tcPr>
          <w:p>
            <w:r>
              <w:t>Recovery-U10</w:t>
            </w:r>
          </w:p>
        </w:tc>
        <w:tc>
          <w:tcPr>
            <w:tcW w:type="dxa" w:w="5071"/>
          </w:tcPr>
          <w:p>
            <w:r>
              <w:t>NOT AUTHORIZED</w:t>
            </w:r>
          </w:p>
        </w:tc>
      </w:tr>
      <w:tr>
        <w:tc>
          <w:tcPr>
            <w:tcW w:type="dxa" w:w="5071"/>
          </w:tcPr>
          <w:p>
            <w:r>
              <w:t>Main integration</w:t>
            </w:r>
          </w:p>
        </w:tc>
        <w:tc>
          <w:tcPr>
            <w:tcW w:type="dxa" w:w="5071"/>
          </w:tcPr>
          <w:p>
            <w:r>
              <w:t>NOT AUTHORIZED</w:t>
            </w:r>
          </w:p>
        </w:tc>
      </w:tr>
    </w:tbl>
    <w:p>
      <w:pPr>
        <w:pStyle w:val="Heading1"/>
      </w:pPr>
      <w:r>
        <w:t>2. Evidence Baseline</w:t>
      </w:r>
    </w:p>
    <w:p>
      <w:r>
        <w:t>DIAG-U10 established that `input#form_arrCity` is uniquely bound, visible, enabled, attached, and has a bounding box in both headed and headless modes. Both the current click path and a standard pointer/mouse diagnostic path completed without framework error, changed focus false→true, did not detach or re-render the target, and still failed to activate the public city-selector. All bounded samples remained selector=false and candidate count=0. No headed/headless material difference was proven.</w:t>
      </w:r>
    </w:p>
    <w:p>
      <w:r>
        <w:t>Therefore DIAG-U10 could not honestly conclude whether the human actually clicks the input element itself, an adjacent/ancestor public interactive container, or another hit region that visually presents the same “杭州” destination control.</w:t>
      </w:r>
    </w:p>
    <w:p>
      <w:pPr>
        <w:pStyle w:val="Heading1"/>
      </w:pPr>
      <w:r>
        <w:t>3. Diagnostic Goal</w:t>
      </w:r>
    </w:p>
    <w:p>
      <w:r>
        <w:t>Determine whether the human-successful click target for the visible current destination city is geometrically and semantically equivalent to the automated locator target `input#form_arrCity`, using only public DOM geometry, visible labels, standard browser hit-testing information, and human visual comparison.</w:t>
      </w:r>
    </w:p>
    <w:p>
      <w:pPr>
        <w:pStyle w:val="ListBullet"/>
      </w:pPr>
      <w:r>
        <w:t>Compare the input element with its public ancestor/sibling containers and visible hit regions.</w:t>
      </w:r>
    </w:p>
    <w:p>
      <w:pPr>
        <w:pStyle w:val="ListBullet"/>
      </w:pPr>
      <w:r>
        <w:t>Identify which public element would receive a real click at the human-indicated point/region.</w:t>
      </w:r>
    </w:p>
    <w:p>
      <w:pPr>
        <w:pStyle w:val="ListBullet"/>
      </w:pPr>
      <w:r>
        <w:t>Do not inspect or rely on private FLIGGY application state or hidden event-handler internals.</w:t>
      </w:r>
    </w:p>
    <w:p>
      <w:pPr>
        <w:pStyle w:val="ListBullet"/>
      </w:pPr>
      <w:r>
        <w:t>Do not repair selector activation in this Unit.</w:t>
      </w:r>
    </w:p>
    <w:p>
      <w:pPr>
        <w:pStyle w:val="Heading1"/>
      </w:pPr>
      <w:r>
        <w:t>4. Comparison Objects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shd w:fill="D9EAF7"/>
          </w:tcPr>
          <w:p>
            <w:r>
              <w:t>Object</w:t>
            </w:r>
          </w:p>
        </w:tc>
        <w:tc>
          <w:tcPr>
            <w:tcW w:type="dxa" w:w="5071"/>
            <w:shd w:fill="D9EAF7"/>
          </w:tcPr>
          <w:p>
            <w:r>
              <w:t>What to record</w:t>
            </w:r>
          </w:p>
        </w:tc>
      </w:tr>
      <w:tr>
        <w:tc>
          <w:tcPr>
            <w:tcW w:type="dxa" w:w="5071"/>
          </w:tcPr>
          <w:p>
            <w:r>
              <w:t>HIT-0 input target</w:t>
            </w:r>
          </w:p>
        </w:tc>
        <w:tc>
          <w:tcPr>
            <w:tcW w:type="dxa" w:w="5071"/>
          </w:tcPr>
          <w:p>
            <w:r>
              <w:t>`input#form_arrCity`: visible label/value, role/tag, rectangle, center point.</w:t>
            </w:r>
          </w:p>
        </w:tc>
      </w:tr>
      <w:tr>
        <w:tc>
          <w:tcPr>
            <w:tcW w:type="dxa" w:w="5071"/>
          </w:tcPr>
          <w:p>
            <w:r>
              <w:t>HIT-1 nearest public wrapper</w:t>
            </w:r>
          </w:p>
        </w:tc>
        <w:tc>
          <w:tcPr>
            <w:tcW w:type="dxa" w:w="5071"/>
          </w:tcPr>
          <w:p>
            <w:r>
              <w:t>Nearest visible ancestor container enclosing the destination control.</w:t>
            </w:r>
          </w:p>
        </w:tc>
      </w:tr>
      <w:tr>
        <w:tc>
          <w:tcPr>
            <w:tcW w:type="dxa" w:w="5071"/>
          </w:tcPr>
          <w:p>
            <w:r>
              <w:t>HIT-2 clickable ancestor candidates</w:t>
            </w:r>
          </w:p>
        </w:tc>
        <w:tc>
          <w:tcPr>
            <w:tcW w:type="dxa" w:w="5071"/>
          </w:tcPr>
          <w:p>
            <w:r>
              <w:t>Visible ancestors/siblings with pointer-like/public interactive semantics or stable bounding regions.</w:t>
            </w:r>
          </w:p>
        </w:tc>
      </w:tr>
      <w:tr>
        <w:tc>
          <w:tcPr>
            <w:tcW w:type="dxa" w:w="5071"/>
          </w:tcPr>
          <w:p>
            <w:r>
              <w:t>HIT-3 label/decorative overlay candidates</w:t>
            </w:r>
          </w:p>
        </w:tc>
        <w:tc>
          <w:tcPr>
            <w:tcW w:type="dxa" w:w="5071"/>
          </w:tcPr>
          <w:p>
            <w:r>
              <w:t>Visible text/label layers that overlap or sit above/beside the input.</w:t>
            </w:r>
          </w:p>
        </w:tc>
      </w:tr>
      <w:tr>
        <w:tc>
          <w:tcPr>
            <w:tcW w:type="dxa" w:w="5071"/>
          </w:tcPr>
          <w:p>
            <w:r>
              <w:t>HIT-4 human-indicated point/region</w:t>
            </w:r>
          </w:p>
        </w:tc>
        <w:tc>
          <w:tcPr>
            <w:tcW w:type="dxa" w:w="5071"/>
          </w:tcPr>
          <w:p>
            <w:r>
              <w:t>Human marks the area they naturally click in the screenshot/annotated view.</w:t>
            </w:r>
          </w:p>
        </w:tc>
      </w:tr>
      <w:tr>
        <w:tc>
          <w:tcPr>
            <w:tcW w:type="dxa" w:w="5071"/>
          </w:tcPr>
          <w:p>
            <w:r>
              <w:t>HIT-5 browser hit-test result</w:t>
            </w:r>
          </w:p>
        </w:tc>
        <w:tc>
          <w:tcPr>
            <w:tcW w:type="dxa" w:w="5071"/>
          </w:tcPr>
          <w:p>
            <w:r>
              <w:t>Public element under that point using standard browser DOM hit testing, sanitized to tag/id/class/text summary.</w:t>
            </w:r>
          </w:p>
        </w:tc>
      </w:tr>
      <w:tr>
        <w:tc>
          <w:tcPr>
            <w:tcW w:type="dxa" w:w="5071"/>
          </w:tcPr>
          <w:p>
            <w:r>
              <w:t>HIT-6 geometric relation</w:t>
            </w:r>
          </w:p>
        </w:tc>
        <w:tc>
          <w:tcPr>
            <w:tcW w:type="dxa" w:w="5071"/>
          </w:tcPr>
          <w:p>
            <w:r>
              <w:t>Containment/overlap ratios and whether the human point lies inside the input rectangle, wrapper rectangle, or another element.</w:t>
            </w:r>
          </w:p>
        </w:tc>
      </w:tr>
    </w:tbl>
    <w:p>
      <w:pPr>
        <w:pStyle w:val="Heading1"/>
      </w:pPr>
      <w:r>
        <w:t>5. B0-B10 Diagnostic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shd w:fill="D9EAF7"/>
          </w:tcPr>
          <w:p>
            <w:r>
              <w:t>Stage</w:t>
            </w:r>
          </w:p>
        </w:tc>
        <w:tc>
          <w:tcPr>
            <w:tcW w:type="dxa" w:w="5071"/>
            <w:shd w:fill="D9EAF7"/>
          </w:tcPr>
          <w:p>
            <w:r>
              <w:t>Required evidence</w:t>
            </w:r>
          </w:p>
        </w:tc>
      </w:tr>
      <w:tr>
        <w:tc>
          <w:tcPr>
            <w:tcW w:type="dxa" w:w="5071"/>
          </w:tcPr>
          <w:p>
            <w:r>
              <w:t>B0 TARGET SNAPSHOT</w:t>
            </w:r>
          </w:p>
        </w:tc>
        <w:tc>
          <w:tcPr>
            <w:tcW w:type="dxa" w:w="5071"/>
          </w:tcPr>
          <w:p>
            <w:r>
              <w:t>Capture sanitized inventory of input + nearby public containers before interaction.</w:t>
            </w:r>
          </w:p>
        </w:tc>
      </w:tr>
      <w:tr>
        <w:tc>
          <w:tcPr>
            <w:tcW w:type="dxa" w:w="5071"/>
          </w:tcPr>
          <w:p>
            <w:r>
              <w:t>B1 GEOMETRY MAP</w:t>
            </w:r>
          </w:p>
        </w:tc>
        <w:tc>
          <w:tcPr>
            <w:tcW w:type="dxa" w:w="5071"/>
          </w:tcPr>
          <w:p>
            <w:r>
              <w:t>Record rectangles and overlap/containment relationships.</w:t>
            </w:r>
          </w:p>
        </w:tc>
      </w:tr>
      <w:tr>
        <w:tc>
          <w:tcPr>
            <w:tcW w:type="dxa" w:w="5071"/>
          </w:tcPr>
          <w:p>
            <w:r>
              <w:t>B2 VISUAL LABEL MAP</w:t>
            </w:r>
          </w:p>
        </w:tc>
        <w:tc>
          <w:tcPr>
            <w:tcW w:type="dxa" w:w="5071"/>
          </w:tcPr>
          <w:p>
            <w:r>
              <w:t>Record visible public text associated with arrival control, including 杭州.</w:t>
            </w:r>
          </w:p>
        </w:tc>
      </w:tr>
      <w:tr>
        <w:tc>
          <w:tcPr>
            <w:tcW w:type="dxa" w:w="5071"/>
          </w:tcPr>
          <w:p>
            <w:r>
              <w:t>B3 HUMAN REFERENCE FRAME</w:t>
            </w:r>
          </w:p>
        </w:tc>
        <w:tc>
          <w:tcPr>
            <w:tcW w:type="dxa" w:w="5071"/>
          </w:tcPr>
          <w:p>
            <w:r>
              <w:t>Produce a headed screenshot with candidate regions highlighted/numbered for human comparison.</w:t>
            </w:r>
          </w:p>
        </w:tc>
      </w:tr>
      <w:tr>
        <w:tc>
          <w:tcPr>
            <w:tcW w:type="dxa" w:w="5071"/>
          </w:tcPr>
          <w:p>
            <w:r>
              <w:t>B4 HUMAN POINT/REGION</w:t>
            </w:r>
          </w:p>
        </w:tc>
        <w:tc>
          <w:tcPr>
            <w:tcW w:type="dxa" w:w="5071"/>
          </w:tcPr>
          <w:p>
            <w:r>
              <w:t>Human identifies which highlighted region corresponds to their normal click target.</w:t>
            </w:r>
          </w:p>
        </w:tc>
      </w:tr>
      <w:tr>
        <w:tc>
          <w:tcPr>
            <w:tcW w:type="dxa" w:w="5071"/>
          </w:tcPr>
          <w:p>
            <w:r>
              <w:t>B5 STANDARD HIT TEST</w:t>
            </w:r>
          </w:p>
        </w:tc>
        <w:tc>
          <w:tcPr>
            <w:tcW w:type="dxa" w:w="5071"/>
          </w:tcPr>
          <w:p>
            <w:r>
              <w:t>Resolve the public element under the human-indicated point/region; no private state.</w:t>
            </w:r>
          </w:p>
        </w:tc>
      </w:tr>
      <w:tr>
        <w:tc>
          <w:tcPr>
            <w:tcW w:type="dxa" w:w="5071"/>
          </w:tcPr>
          <w:p>
            <w:r>
              <w:t>B6 AUTOMATED TARGET COMPARE</w:t>
            </w:r>
          </w:p>
        </w:tc>
        <w:tc>
          <w:tcPr>
            <w:tcW w:type="dxa" w:w="5071"/>
          </w:tcPr>
          <w:p>
            <w:r>
              <w:t>Compare human hit-test element/region vs `input#form_arrCity`.</w:t>
            </w:r>
          </w:p>
        </w:tc>
      </w:tr>
      <w:tr>
        <w:tc>
          <w:tcPr>
            <w:tcW w:type="dxa" w:w="5071"/>
          </w:tcPr>
          <w:p>
            <w:r>
              <w:t>B7 OPTIONAL CONTROLLED CLICK PROBE</w:t>
            </w:r>
          </w:p>
        </w:tc>
        <w:tc>
          <w:tcPr>
            <w:tcW w:type="dxa" w:w="5071"/>
          </w:tcPr>
          <w:p>
            <w:r>
              <w:t>If the human-equivalent public target differs, one diagnostic click may be attempted on that exact public target in a fresh headed observation.</w:t>
            </w:r>
          </w:p>
        </w:tc>
      </w:tr>
      <w:tr>
        <w:tc>
          <w:tcPr>
            <w:tcW w:type="dxa" w:w="5071"/>
          </w:tcPr>
          <w:p>
            <w:r>
              <w:t>B8 SELECTOR OBSERVE</w:t>
            </w:r>
          </w:p>
        </w:tc>
        <w:tc>
          <w:tcPr>
            <w:tcW w:type="dxa" w:w="5071"/>
          </w:tcPr>
          <w:p>
            <w:r>
              <w:t>Observe whether selector opens after the human-equivalent target probe.</w:t>
            </w:r>
          </w:p>
        </w:tc>
      </w:tr>
      <w:tr>
        <w:tc>
          <w:tcPr>
            <w:tcW w:type="dxa" w:w="5071"/>
          </w:tcPr>
          <w:p>
            <w:r>
              <w:t>B9 DIFFERENTIAL CLASS</w:t>
            </w:r>
          </w:p>
        </w:tc>
        <w:tc>
          <w:tcPr>
            <w:tcW w:type="dxa" w:w="5071"/>
          </w:tcPr>
          <w:p>
            <w:r>
              <w:t>Classify SAME_TARGET_NO_ACTIVATION / HUMAN_TARGET_DIFFERS / HUMAN_TARGET_AMBIGUOUS / HUMAN_POINT_OUTSIDE_INPUT / TARGET_WRAPPER_ACTIVATES / UNKNOWN.</w:t>
            </w:r>
          </w:p>
        </w:tc>
      </w:tr>
      <w:tr>
        <w:tc>
          <w:tcPr>
            <w:tcW w:type="dxa" w:w="5071"/>
          </w:tcPr>
          <w:p>
            <w:r>
              <w:t>B10 ROOT VERDICT</w:t>
            </w:r>
          </w:p>
        </w:tc>
        <w:tc>
          <w:tcPr>
            <w:tcW w:type="dxa" w:w="5071"/>
          </w:tcPr>
          <w:p>
            <w:r>
              <w:t>Emit one narrow supported root class and STOP.</w:t>
            </w:r>
          </w:p>
        </w:tc>
      </w:tr>
    </w:tbl>
    <w:p>
      <w:pPr>
        <w:pStyle w:val="Heading1"/>
      </w:pPr>
      <w:r>
        <w:t>6. Human-Assisted Boundary</w:t>
      </w:r>
    </w:p>
    <w:p>
      <w:r>
        <w:t>This Unit explicitly authorizes human-assisted visual comparison, but human input is supporting evidence only. The human may identify where they normally click by choosing among numbered highlighted regions or by indicating an approximate point/region on a screenshot. The human must not manually open the selector during the automated diagnostic run used for unattended evidence.</w:t>
      </w:r>
    </w:p>
    <w:p>
      <w:pPr>
        <w:pStyle w:val="ListBullet"/>
      </w:pPr>
      <w:r>
        <w:t>Human annotation must be recorded as HUMAN-SUPPLIED EVIDENCE, separate from automated evidence.</w:t>
      </w:r>
    </w:p>
    <w:p>
      <w:pPr>
        <w:pStyle w:val="ListBullet"/>
      </w:pPr>
      <w:r>
        <w:t>Approximate point/region is sufficient; exact pixel precision is not required.</w:t>
      </w:r>
    </w:p>
    <w:p>
      <w:pPr>
        <w:pStyle w:val="ListBullet"/>
      </w:pPr>
      <w:r>
        <w:t>Do not ask the human to inspect DOM, developer tools, event listeners, network data, cookies or private browser state.</w:t>
      </w:r>
    </w:p>
    <w:p>
      <w:pPr>
        <w:pStyle w:val="Heading1"/>
      </w:pPr>
      <w:r>
        <w:t>7. Allowed / Forbidden Scope</w:t>
      </w:r>
    </w:p>
    <w:p>
      <w:r>
        <w:t>Allowed:</w:t>
      </w:r>
    </w:p>
    <w:p>
      <w:pPr>
        <w:pStyle w:val="ListBullet"/>
      </w:pPr>
      <w:r>
        <w:t>Provider-local diagnostic instrumentation/tests.</w:t>
      </w:r>
    </w:p>
    <w:p>
      <w:pPr>
        <w:pStyle w:val="ListBullet"/>
      </w:pPr>
      <w:r>
        <w:t>Read-only public DOM geometry, visibility, role/tag/id/class/text summaries, standard elementFromPoint-style public hit testing.</w:t>
      </w:r>
    </w:p>
    <w:p>
      <w:pPr>
        <w:pStyle w:val="ListBullet"/>
      </w:pPr>
      <w:r>
        <w:t>Temporary LOCAL-ONLY screenshot highlighting/numbering of candidate regions.</w:t>
      </w:r>
    </w:p>
    <w:p>
      <w:pPr>
        <w:pStyle w:val="ListBullet"/>
      </w:pPr>
      <w:r>
        <w:t>One controlled diagnostic click on a human-equivalent public target in a fresh observation if differential evidence supports it.</w:t>
      </w:r>
    </w:p>
    <w:p>
      <w:pPr>
        <w:pStyle w:val="ListBullet"/>
      </w:pPr>
      <w:r>
        <w:t>Human comparison against known successful manual screenshots.</w:t>
      </w:r>
    </w:p>
    <w:p>
      <w:r>
        <w:t>Forbidden:</w:t>
      </w:r>
    </w:p>
    <w:p>
      <w:pPr>
        <w:pStyle w:val="ListBullet"/>
      </w:pPr>
      <w:r>
        <w:t>No Recovery-U10 production behavior change.</w:t>
      </w:r>
    </w:p>
    <w:p>
      <w:pPr>
        <w:pStyle w:val="ListBullet"/>
      </w:pPr>
      <w:r>
        <w:t>No JavaScript-forced click, dispatchEvent, DOM/style mutation to activate selector, or hidden control manipulation.</w:t>
      </w:r>
    </w:p>
    <w:p>
      <w:pPr>
        <w:pStyle w:val="ListBullet"/>
      </w:pPr>
      <w:r>
        <w:t>No private framework state/event-listener introspection.</w:t>
      </w:r>
    </w:p>
    <w:p>
      <w:pPr>
        <w:pStyle w:val="ListBullet"/>
      </w:pPr>
      <w:r>
        <w:t>No private API/request replay/interception, Cookie/session/localStorage/HAR/token/signature.</w:t>
      </w:r>
    </w:p>
    <w:p>
      <w:pPr>
        <w:pStyle w:val="ListBullet"/>
      </w:pPr>
      <w:r>
        <w:t>No direct result URL construction/reuse, query injection, geolocation spoofing, anti-bot/access-control bypass.</w:t>
      </w:r>
    </w:p>
    <w:p>
      <w:pPr>
        <w:pStyle w:val="ListBullet"/>
      </w:pPr>
      <w:r>
        <w:t>No blind parent-click cascade, no click-every-ancestor loop, no coordinate hard-coding for production.</w:t>
      </w:r>
    </w:p>
    <w:p>
      <w:pPr>
        <w:pStyle w:val="ListBullet"/>
      </w:pPr>
      <w:r>
        <w:t>No Q1/Q5 relaxation; no L1/L2/shared/main changes.</w:t>
      </w:r>
    </w:p>
    <w:p>
      <w:pPr>
        <w:pStyle w:val="Heading1"/>
      </w:pPr>
      <w:r>
        <w:t>8. Live Budget</w:t>
      </w:r>
    </w:p>
    <w:p>
      <w:pPr>
        <w:pStyle w:val="ListBullet"/>
      </w:pPr>
      <w:r>
        <w:t>Maximum 3 headed observations; headless is optional and max 1 only if geometry/hit-target behavior requires a mode comparison. Total &lt;=4.</w:t>
      </w:r>
    </w:p>
    <w:p>
      <w:pPr>
        <w:pStyle w:val="ListBullet"/>
      </w:pPr>
      <w:r>
        <w:t>Retries=0 per planned observation.</w:t>
      </w:r>
    </w:p>
    <w:p>
      <w:pPr>
        <w:pStyle w:val="ListBullet"/>
      </w:pPr>
      <w:r>
        <w:t>Observation 1 should generate the highlighted candidate-region screenshot and stop for human comparison before any differential target click.</w:t>
      </w:r>
    </w:p>
    <w:p>
      <w:pPr>
        <w:pStyle w:val="ListBullet"/>
      </w:pPr>
      <w:r>
        <w:t>After human comparison, Observation 2 may test exactly one human-equivalent public target if it differs from the current input.</w:t>
      </w:r>
    </w:p>
    <w:p>
      <w:pPr>
        <w:pStyle w:val="ListBullet"/>
      </w:pPr>
      <w:r>
        <w:t>Observation 3 is reserved for confirmation or ambiguity resolution, not repeated click-until-open.</w:t>
      </w:r>
    </w:p>
    <w:p>
      <w:pPr>
        <w:pStyle w:val="ListBullet"/>
      </w:pPr>
      <w:r>
        <w:t>Stop early immediately when the hit-target differential is sufficiently localized.</w:t>
      </w:r>
    </w:p>
    <w:p>
      <w:pPr>
        <w:pStyle w:val="ListBullet"/>
      </w:pPr>
      <w:r>
        <w:t>Unicode-safe preflight and cwd-independent LOCAL-ONLY evidence path remain mandatory.</w:t>
      </w:r>
    </w:p>
    <w:p>
      <w:pPr>
        <w:pStyle w:val="Heading1"/>
      </w:pPr>
      <w:r>
        <w:t>9. Mandatory Offline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shd w:fill="D9EAF7"/>
          </w:tcPr>
          <w:p>
            <w:r>
              <w:t>Test</w:t>
            </w:r>
          </w:p>
        </w:tc>
        <w:tc>
          <w:tcPr>
            <w:tcW w:type="dxa" w:w="5071"/>
            <w:shd w:fill="D9EAF7"/>
          </w:tcPr>
          <w:p>
            <w:r>
              <w:t>Required behavior</w:t>
            </w:r>
          </w:p>
        </w:tc>
      </w:tr>
      <w:tr>
        <w:tc>
          <w:tcPr>
            <w:tcW w:type="dxa" w:w="5071"/>
          </w:tcPr>
          <w:p>
            <w:r>
              <w:t>DR1-01</w:t>
            </w:r>
          </w:p>
        </w:tc>
        <w:tc>
          <w:tcPr>
            <w:tcW w:type="dxa" w:w="5071"/>
          </w:tcPr>
          <w:p>
            <w:r>
              <w:t>Nearby public target inventory is deterministic and sanitized.</w:t>
            </w:r>
          </w:p>
        </w:tc>
      </w:tr>
      <w:tr>
        <w:tc>
          <w:tcPr>
            <w:tcW w:type="dxa" w:w="5071"/>
          </w:tcPr>
          <w:p>
            <w:r>
              <w:t>DR1-02</w:t>
            </w:r>
          </w:p>
        </w:tc>
        <w:tc>
          <w:tcPr>
            <w:tcW w:type="dxa" w:w="5071"/>
          </w:tcPr>
          <w:p>
            <w:r>
              <w:t>Input rectangle and wrapper rectangles are recorded.</w:t>
            </w:r>
          </w:p>
        </w:tc>
      </w:tr>
      <w:tr>
        <w:tc>
          <w:tcPr>
            <w:tcW w:type="dxa" w:w="5071"/>
          </w:tcPr>
          <w:p>
            <w:r>
              <w:t>DR1-03</w:t>
            </w:r>
          </w:p>
        </w:tc>
        <w:tc>
          <w:tcPr>
            <w:tcW w:type="dxa" w:w="5071"/>
          </w:tcPr>
          <w:p>
            <w:r>
              <w:t>Human point inside input classifies SAME_GEOMETRIC_INPUT_REGION.</w:t>
            </w:r>
          </w:p>
        </w:tc>
      </w:tr>
      <w:tr>
        <w:tc>
          <w:tcPr>
            <w:tcW w:type="dxa" w:w="5071"/>
          </w:tcPr>
          <w:p>
            <w:r>
              <w:t>DR1-04</w:t>
            </w:r>
          </w:p>
        </w:tc>
        <w:tc>
          <w:tcPr>
            <w:tcW w:type="dxa" w:w="5071"/>
          </w:tcPr>
          <w:p>
            <w:r>
              <w:t>Human point outside input but inside ancestor wrapper classifies HUMAN_POINT_OUTSIDE_INPUT.</w:t>
            </w:r>
          </w:p>
        </w:tc>
      </w:tr>
      <w:tr>
        <w:tc>
          <w:tcPr>
            <w:tcW w:type="dxa" w:w="5071"/>
          </w:tcPr>
          <w:p>
            <w:r>
              <w:t>DR1-05</w:t>
            </w:r>
          </w:p>
        </w:tc>
        <w:tc>
          <w:tcPr>
            <w:tcW w:type="dxa" w:w="5071"/>
          </w:tcPr>
          <w:p>
            <w:r>
              <w:t>Standard hit test returns public element summary without private state.</w:t>
            </w:r>
          </w:p>
        </w:tc>
      </w:tr>
      <w:tr>
        <w:tc>
          <w:tcPr>
            <w:tcW w:type="dxa" w:w="5071"/>
          </w:tcPr>
          <w:p>
            <w:r>
              <w:t>DR1-06</w:t>
            </w:r>
          </w:p>
        </w:tc>
        <w:tc>
          <w:tcPr>
            <w:tcW w:type="dxa" w:w="5071"/>
          </w:tcPr>
          <w:p>
            <w:r>
              <w:t>Different hit-test element from input classifies HUMAN_TARGET_DIFFERS.</w:t>
            </w:r>
          </w:p>
        </w:tc>
      </w:tr>
      <w:tr>
        <w:tc>
          <w:tcPr>
            <w:tcW w:type="dxa" w:w="5071"/>
          </w:tcPr>
          <w:p>
            <w:r>
              <w:t>DR1-07</w:t>
            </w:r>
          </w:p>
        </w:tc>
        <w:tc>
          <w:tcPr>
            <w:tcW w:type="dxa" w:w="5071"/>
          </w:tcPr>
          <w:p>
            <w:r>
              <w:t>Ambiguous overlapping candidates classify HUMAN_TARGET_AMBIGUOUS.</w:t>
            </w:r>
          </w:p>
        </w:tc>
      </w:tr>
      <w:tr>
        <w:tc>
          <w:tcPr>
            <w:tcW w:type="dxa" w:w="5071"/>
          </w:tcPr>
          <w:p>
            <w:r>
              <w:t>DR1-08</w:t>
            </w:r>
          </w:p>
        </w:tc>
        <w:tc>
          <w:tcPr>
            <w:tcW w:type="dxa" w:w="5071"/>
          </w:tcPr>
          <w:p>
            <w:r>
              <w:t>Highlighted region IDs map deterministically to recorded target inventory.</w:t>
            </w:r>
          </w:p>
        </w:tc>
      </w:tr>
      <w:tr>
        <w:tc>
          <w:tcPr>
            <w:tcW w:type="dxa" w:w="5071"/>
          </w:tcPr>
          <w:p>
            <w:r>
              <w:t>DR1-09</w:t>
            </w:r>
          </w:p>
        </w:tc>
        <w:tc>
          <w:tcPr>
            <w:tcW w:type="dxa" w:w="5071"/>
          </w:tcPr>
          <w:p>
            <w:r>
              <w:t>Human annotation is stored LOCAL-ONLY and clearly marked human-supplied.</w:t>
            </w:r>
          </w:p>
        </w:tc>
      </w:tr>
      <w:tr>
        <w:tc>
          <w:tcPr>
            <w:tcW w:type="dxa" w:w="5071"/>
          </w:tcPr>
          <w:p>
            <w:r>
              <w:t>DR1-10</w:t>
            </w:r>
          </w:p>
        </w:tc>
        <w:tc>
          <w:tcPr>
            <w:tcW w:type="dxa" w:w="5071"/>
          </w:tcPr>
          <w:p>
            <w:r>
              <w:t>Controlled differential click may target only the identified human-equivalent public target.</w:t>
            </w:r>
          </w:p>
        </w:tc>
      </w:tr>
      <w:tr>
        <w:tc>
          <w:tcPr>
            <w:tcW w:type="dxa" w:w="5071"/>
          </w:tcPr>
          <w:p>
            <w:r>
              <w:t>DR1-11</w:t>
            </w:r>
          </w:p>
        </w:tc>
        <w:tc>
          <w:tcPr>
            <w:tcW w:type="dxa" w:w="5071"/>
          </w:tcPr>
          <w:p>
            <w:r>
              <w:t>No ancestor cascade or repeated click loop.</w:t>
            </w:r>
          </w:p>
        </w:tc>
      </w:tr>
      <w:tr>
        <w:tc>
          <w:tcPr>
            <w:tcW w:type="dxa" w:w="5071"/>
          </w:tcPr>
          <w:p>
            <w:r>
              <w:t>DR1-12</w:t>
            </w:r>
          </w:p>
        </w:tc>
        <w:tc>
          <w:tcPr>
            <w:tcW w:type="dxa" w:w="5071"/>
          </w:tcPr>
          <w:p>
            <w:r>
              <w:t>If human-equivalent target opens selector, classify TARGET_WRAPPER_ACTIVATES or equivalent localized root.</w:t>
            </w:r>
          </w:p>
        </w:tc>
      </w:tr>
      <w:tr>
        <w:tc>
          <w:tcPr>
            <w:tcW w:type="dxa" w:w="5071"/>
          </w:tcPr>
          <w:p>
            <w:r>
              <w:t>DR1-13</w:t>
            </w:r>
          </w:p>
        </w:tc>
        <w:tc>
          <w:tcPr>
            <w:tcW w:type="dxa" w:w="5071"/>
          </w:tcPr>
          <w:p>
            <w:r>
              <w:t>If same target still does not activate, classify SAME_TARGET_NO_ACTIVATION.</w:t>
            </w:r>
          </w:p>
        </w:tc>
      </w:tr>
      <w:tr>
        <w:tc>
          <w:tcPr>
            <w:tcW w:type="dxa" w:w="5071"/>
          </w:tcPr>
          <w:p>
            <w:r>
              <w:t>DR1-14</w:t>
            </w:r>
          </w:p>
        </w:tc>
        <w:tc>
          <w:tcPr>
            <w:tcW w:type="dxa" w:w="5071"/>
          </w:tcPr>
          <w:p>
            <w:r>
              <w:t>No production interaction path is modified by diagnostic probe.</w:t>
            </w:r>
          </w:p>
        </w:tc>
      </w:tr>
      <w:tr>
        <w:tc>
          <w:tcPr>
            <w:tcW w:type="dxa" w:w="5071"/>
          </w:tcPr>
          <w:p>
            <w:r>
              <w:t>DR1-15</w:t>
            </w:r>
          </w:p>
        </w:tc>
        <w:tc>
          <w:tcPr>
            <w:tcW w:type="dxa" w:w="5071"/>
          </w:tcPr>
          <w:p>
            <w:r>
              <w:t>U9 destination commit gate remains unchanged.</w:t>
            </w:r>
          </w:p>
        </w:tc>
      </w:tr>
      <w:tr>
        <w:tc>
          <w:tcPr>
            <w:tcW w:type="dxa" w:w="5071"/>
          </w:tcPr>
          <w:p>
            <w:r>
              <w:t>DR1-16</w:t>
            </w:r>
          </w:p>
        </w:tc>
        <w:tc>
          <w:tcPr>
            <w:tcW w:type="dxa" w:w="5071"/>
          </w:tcPr>
          <w:p>
            <w:r>
              <w:t>D0-D9, Q1/Q5, P0-P7, H0-H8, C0-C8, A0-A10 remain regression-safe.</w:t>
            </w:r>
          </w:p>
        </w:tc>
      </w:tr>
      <w:tr>
        <w:tc>
          <w:tcPr>
            <w:tcW w:type="dxa" w:w="5071"/>
          </w:tcPr>
          <w:p>
            <w:r>
              <w:t>DR1-17</w:t>
            </w:r>
          </w:p>
        </w:tc>
        <w:tc>
          <w:tcPr>
            <w:tcW w:type="dxa" w:w="5071"/>
          </w:tcPr>
          <w:p>
            <w:r>
              <w:t>No private/session data in screenshots or diagnostics.</w:t>
            </w:r>
          </w:p>
        </w:tc>
      </w:tr>
      <w:tr>
        <w:tc>
          <w:tcPr>
            <w:tcW w:type="dxa" w:w="5071"/>
          </w:tcPr>
          <w:p>
            <w:r>
              <w:t>DR1-18</w:t>
            </w:r>
          </w:p>
        </w:tc>
        <w:tc>
          <w:tcPr>
            <w:tcW w:type="dxa" w:w="5071"/>
          </w:tcPr>
          <w:p>
            <w:r>
              <w:t>Unicode-safe preflight failure aborts before provider access.</w:t>
            </w:r>
          </w:p>
        </w:tc>
      </w:tr>
    </w:tbl>
    <w:p>
      <w:pPr>
        <w:pStyle w:val="Heading1"/>
      </w:pPr>
      <w:r>
        <w:t>10. Root Classes / Verdicts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shd w:fill="D9EAF7"/>
          </w:tcPr>
          <w:p>
            <w:r>
              <w:t>Root class</w:t>
            </w:r>
          </w:p>
        </w:tc>
        <w:tc>
          <w:tcPr>
            <w:tcW w:type="dxa" w:w="5071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71"/>
          </w:tcPr>
          <w:p>
            <w:r>
              <w:t>PUBLIC_HIT_TARGET_MISMATCH_LOCALIZED</w:t>
            </w:r>
          </w:p>
        </w:tc>
        <w:tc>
          <w:tcPr>
            <w:tcW w:type="dxa" w:w="5071"/>
          </w:tcPr>
          <w:p>
            <w:r>
              <w:t>Human-successful click lands on a different public target/region than the automated input target.</w:t>
            </w:r>
          </w:p>
        </w:tc>
      </w:tr>
      <w:tr>
        <w:tc>
          <w:tcPr>
            <w:tcW w:type="dxa" w:w="5071"/>
          </w:tcPr>
          <w:p>
            <w:r>
              <w:t>PUBLIC_WRAPPER_ACTIVATION_LOCALIZED</w:t>
            </w:r>
          </w:p>
        </w:tc>
        <w:tc>
          <w:tcPr>
            <w:tcW w:type="dxa" w:w="5071"/>
          </w:tcPr>
          <w:p>
            <w:r>
              <w:t>Human-equivalent public wrapper/container activates selector while direct input click does not.</w:t>
            </w:r>
          </w:p>
        </w:tc>
      </w:tr>
      <w:tr>
        <w:tc>
          <w:tcPr>
            <w:tcW w:type="dxa" w:w="5071"/>
          </w:tcPr>
          <w:p>
            <w:r>
              <w:t>PUBLIC_HIT_TARGET_AMBIGUITY_LOCALIZED</w:t>
            </w:r>
          </w:p>
        </w:tc>
        <w:tc>
          <w:tcPr>
            <w:tcW w:type="dxa" w:w="5071"/>
          </w:tcPr>
          <w:p>
            <w:r>
              <w:t>Human-visible control maps to multiple overlapping public targets and cannot yet be deterministically bound.</w:t>
            </w:r>
          </w:p>
        </w:tc>
      </w:tr>
      <w:tr>
        <w:tc>
          <w:tcPr>
            <w:tcW w:type="dxa" w:w="5071"/>
          </w:tcPr>
          <w:p>
            <w:r>
              <w:t>SAME_PUBLIC_TARGET_NO_ACTIVATION</w:t>
            </w:r>
          </w:p>
        </w:tc>
        <w:tc>
          <w:tcPr>
            <w:tcW w:type="dxa" w:w="5071"/>
          </w:tcPr>
          <w:p>
            <w:r>
              <w:t>Human-indicated hit region resolves to the same input target, yet automated legitimate click still does not activate selector.</w:t>
            </w:r>
          </w:p>
        </w:tc>
      </w:tr>
      <w:tr>
        <w:tc>
          <w:tcPr>
            <w:tcW w:type="dxa" w:w="5071"/>
          </w:tcPr>
          <w:p>
            <w:r>
              <w:t>HUMAN_REFERENCE_INSUFFICIENT</w:t>
            </w:r>
          </w:p>
        </w:tc>
        <w:tc>
          <w:tcPr>
            <w:tcW w:type="dxa" w:w="5071"/>
          </w:tcPr>
          <w:p>
            <w:r>
              <w:t>Human comparison is not precise enough to distinguish the targets.</w:t>
            </w:r>
          </w:p>
        </w:tc>
      </w:tr>
      <w:tr>
        <w:tc>
          <w:tcPr>
            <w:tcW w:type="dxa" w:w="5071"/>
          </w:tcPr>
          <w:p>
            <w:r>
              <w:t>DIAGNOSTIC_INSUFFICIENT</w:t>
            </w:r>
          </w:p>
        </w:tc>
        <w:tc>
          <w:tcPr>
            <w:tcW w:type="dxa" w:w="5071"/>
          </w:tcPr>
          <w:p>
            <w:r>
              <w:t>Evidence still does not localize a safe public repair target.</w:t>
            </w:r>
          </w:p>
        </w:tc>
      </w:tr>
    </w:tbl>
    <w:p>
      <w:pPr>
        <w:pStyle w:val="ListBullet"/>
      </w:pPr>
      <w:r>
        <w:t>`PASS — HUMAN HIT-TARGET DIFFERENTIAL ROOT CAUSE LOCALIZED`</w:t>
      </w:r>
    </w:p>
    <w:p>
      <w:pPr>
        <w:pStyle w:val="ListBullet"/>
      </w:pPr>
      <w:r>
        <w:t>`PASS — PUBLIC WRAPPER ACTIVATION ROOT CAUSE LOCALIZED`</w:t>
      </w:r>
    </w:p>
    <w:p>
      <w:pPr>
        <w:pStyle w:val="ListBullet"/>
      </w:pPr>
      <w:r>
        <w:t>`BLOCKED — HUMAN REFERENCE INSUFFICIENT`</w:t>
      </w:r>
    </w:p>
    <w:p>
      <w:pPr>
        <w:pStyle w:val="ListBullet"/>
      </w:pPr>
      <w:r>
        <w:t>`BLOCKED — DIAGNOSTIC_INSUFFICIENT`</w:t>
      </w:r>
    </w:p>
    <w:p>
      <w:pPr>
        <w:pStyle w:val="ListBullet"/>
      </w:pPr>
      <w:r>
        <w:t>`INCONCLUSIVE — LIVE ENVIRONMENT/NETWORK EVIDENCE INSUFFICIENT`</w:t>
      </w:r>
    </w:p>
    <w:p>
      <w:pPr>
        <w:pStyle w:val="ListBullet"/>
      </w:pPr>
      <w:r>
        <w:t>`BLOCKED — ACCESS_CHALLENGE`</w:t>
      </w:r>
    </w:p>
    <w:p>
      <w:pPr>
        <w:pStyle w:val="Heading1"/>
      </w:pPr>
      <w:r>
        <w:t>11. STOP / Next Unit</w:t>
      </w:r>
    </w:p>
    <w:p>
      <w:r>
        <w:t>After verdict STOP. Recovery-U10 remains NOT automatically authorized. If a human-equivalent public wrapper/container is proven to activate the selector, a separate Recovery-U10 may implement the minimum locator/interaction correction while preserving U9's candidate matching, destination commit gate, date commit, Q1, submit-once and Q5 contracts. If the same exact public input target remains the human-equivalent target and still does not activate, do not guess a repair; the next diagnostic must address another public lifecycle condition.</w:t>
      </w:r>
    </w:p>
    <w:sectPr w:rsidR="00FC693F" w:rsidRPr="0006063C" w:rsidSect="00034616">
      <w:pgSz w:w="12240" w:h="15840"/>
      <w:pgMar w:top="907" w:right="1049" w:bottom="907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