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机票筛选 Agent</w:t>
      </w:r>
    </w:p>
    <w:p>
      <w:pPr>
        <w:jc w:val="center"/>
      </w:pPr>
      <w:r>
        <w:rPr>
          <w:b/>
          <w:sz w:val="36"/>
        </w:rPr>
        <w:t>第三阶段 M8-U6H-A</w:t>
        <w:br/>
        <w:t>Patch Hybrid Semantic Pipeline Specification</w:t>
      </w:r>
    </w:p>
    <w:p>
      <w:pPr>
        <w:jc w:val="center"/>
      </w:pPr>
      <w:r>
        <w:rPr>
          <w:b/>
          <w:sz w:val="28"/>
        </w:rPr>
        <w:t>V1.0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项目</w:t>
            </w:r>
          </w:p>
        </w:tc>
        <w:tc>
          <w:tcPr>
            <w:tcW w:type="dxa" w:w="5040"/>
            <w:shd w:fill="D9EAF7"/>
          </w:tcPr>
          <w:p>
            <w:r>
              <w:t>正式定义</w:t>
            </w:r>
          </w:p>
        </w:tc>
      </w:tr>
      <w:tr>
        <w:tc>
          <w:tcPr>
            <w:tcW w:type="dxa" w:w="5040"/>
            <w:vAlign w:val="center"/>
          </w:tcPr>
          <w:p>
            <w:r>
              <w:t>Unit ID</w:t>
            </w:r>
          </w:p>
        </w:tc>
        <w:tc>
          <w:tcPr>
            <w:tcW w:type="dxa" w:w="5040"/>
            <w:vAlign w:val="center"/>
          </w:tcPr>
          <w:p>
            <w:r>
              <w:t>M8-U6H-A</w:t>
            </w:r>
          </w:p>
        </w:tc>
      </w:tr>
      <w:tr>
        <w:tc>
          <w:tcPr>
            <w:tcW w:type="dxa" w:w="5040"/>
            <w:vAlign w:val="center"/>
          </w:tcPr>
          <w:p>
            <w:r>
              <w:t>定位</w:t>
            </w:r>
          </w:p>
        </w:tc>
        <w:tc>
          <w:tcPr>
            <w:tcW w:type="dxa" w:w="5040"/>
            <w:vAlign w:val="center"/>
          </w:tcPr>
          <w:p>
            <w:r>
              <w:t>M8-U6 Real LLM baseline recovery 的第一个 Implementation Unit；建立 deterministic-first Patch Hybrid 安全下限</w:t>
            </w:r>
          </w:p>
        </w:tc>
      </w:tr>
      <w:tr>
        <w:tc>
          <w:tcPr>
            <w:tcW w:type="dxa" w:w="5040"/>
            <w:vAlign w:val="center"/>
          </w:tcPr>
          <w:p>
            <w:r>
              <w:t>状态</w:t>
            </w:r>
          </w:p>
        </w:tc>
        <w:tc>
          <w:tcPr>
            <w:tcW w:type="dxa" w:w="5040"/>
            <w:vAlign w:val="center"/>
          </w:tcPr>
          <w:p>
            <w:r>
              <w:t>FORMAL IMPLEMENTATION UNIT SPECIFICATION CANDIDATE</w:t>
            </w:r>
          </w:p>
        </w:tc>
      </w:tr>
      <w:tr>
        <w:tc>
          <w:tcPr>
            <w:tcW w:type="dxa" w:w="5040"/>
            <w:vAlign w:val="center"/>
          </w:tcPr>
          <w:p>
            <w:r>
              <w:t>上游 Authority</w:t>
            </w:r>
          </w:p>
        </w:tc>
        <w:tc>
          <w:tcPr>
            <w:tcW w:type="dxa" w:w="5040"/>
            <w:vAlign w:val="center"/>
          </w:tcPr>
          <w:p>
            <w:r>
              <w:t>M3 Requirement Pipeline；M7 Patch + Impact + Orchestrator；M8 Real LLM Contract / Eval；M8 Hybrid Prototype Living Decision Record V0.5</w:t>
            </w:r>
          </w:p>
        </w:tc>
      </w:tr>
      <w:tr>
        <w:tc>
          <w:tcPr>
            <w:tcW w:type="dxa" w:w="5040"/>
            <w:vAlign w:val="center"/>
          </w:tcPr>
          <w:p>
            <w:r>
              <w:t>Contract Amendment</w:t>
            </w:r>
          </w:p>
        </w:tc>
        <w:tc>
          <w:tcPr>
            <w:tcW w:type="dxa" w:w="5040"/>
            <w:vAlign w:val="center"/>
          </w:tcPr>
          <w:p>
            <w:r>
              <w:t>NONE</w:t>
            </w:r>
          </w:p>
        </w:tc>
      </w:tr>
      <w:tr>
        <w:tc>
          <w:tcPr>
            <w:tcW w:type="dxa" w:w="5040"/>
            <w:vAlign w:val="center"/>
          </w:tcPr>
          <w:p>
            <w:r>
              <w:t>Real LLM</w:t>
            </w:r>
          </w:p>
        </w:tc>
        <w:tc>
          <w:tcPr>
            <w:tcW w:type="dxa" w:w="5040"/>
            <w:vAlign w:val="center"/>
          </w:tcPr>
          <w:p>
            <w:r>
              <w:t>本 Unit 禁止调用；Zero-call / Zero-credential 为正式 Exit Gate</w:t>
            </w:r>
          </w:p>
        </w:tc>
      </w:tr>
      <w:tr>
        <w:tc>
          <w:tcPr>
            <w:tcW w:type="dxa" w:w="5040"/>
            <w:vAlign w:val="center"/>
          </w:tcPr>
          <w:p>
            <w:r>
              <w:t>日期</w:t>
            </w:r>
          </w:p>
        </w:tc>
        <w:tc>
          <w:tcPr>
            <w:tcW w:type="dxa" w:w="5040"/>
            <w:vAlign w:val="center"/>
          </w:tcPr>
          <w:p>
            <w:r>
              <w:t>2026-08-28</w:t>
            </w:r>
          </w:p>
        </w:tc>
      </w:tr>
    </w:tbl>
    <w:p>
      <w:r>
        <w:t>本 Specification 是 Codex 实施与验收的直接 Contract 输入；Codex Prompt 只可转译本文，不得自行扩大或修改本文语义。</w:t>
      </w:r>
    </w:p>
    <w:p>
      <w:pPr>
        <w:pStyle w:val="Heading1"/>
      </w:pPr>
      <w:r>
        <w:t>0. 文档定位与 Authority</w:t>
      </w:r>
    </w:p>
    <w:p>
      <w:r>
        <w:t>M8-U6H-A 是 M8-U6 Real LLM Parser/Patch baseline 阻塞后的 Recovery Work，不是新 Milestone。它只改变 Patch natural-language interpretation 在进入既有 M3 PatchRequirementProposal 之前的实现方式：把明确、可确定的语义交给 deterministic extraction/rules/builder，并为未来 DeepSeek constrained resolver 保留受控 seam。</w:t>
      </w:r>
    </w:p>
    <w:p>
      <w:pPr>
        <w:pStyle w:val="ListBullet"/>
      </w:pPr>
      <w:r>
        <w:t>Requirement / Patch commit authority 继续属于 M3；Hybrid 不创建第二套 PatchSet 或 RequirementState。</w:t>
      </w:r>
    </w:p>
    <w:p>
      <w:pPr>
        <w:pStyle w:val="ListBullet"/>
      </w:pPr>
      <w:r>
        <w:t>M7 SemanticDiff 继续比较 committed before/after RequirementState；Hybrid IR 不成为 semantic diff authority。</w:t>
      </w:r>
    </w:p>
    <w:p>
      <w:pPr>
        <w:pStyle w:val="ListBullet"/>
      </w:pPr>
      <w:r>
        <w:t>M8 的 LLM = Semantic Proposal / Language Resolution Capability 原则保持；本 Unit 甚至不调用 Real LLM。</w:t>
      </w:r>
    </w:p>
    <w:p>
      <w:pPr>
        <w:pStyle w:val="ListBullet"/>
      </w:pPr>
      <w:r>
        <w:t>若实现事实要求修改稳定 Domain semantic、M3 Patch operation legality、Public API、WorkflowState 或 Architecture Rule，必须 STOP 并进入 Contract Amendment。</w:t>
      </w:r>
    </w:p>
    <w:p>
      <w:pPr>
        <w:pStyle w:val="Heading1"/>
      </w:pPr>
      <w:r>
        <w:t>1. Goal</w:t>
      </w:r>
    </w:p>
    <w:p>
      <w:r>
        <w:t>在没有 DeepSeek API Key、没有网络、没有真实 LLM Adapter 的环境中，实现并验证：User Patch Message → deterministic evidence → PatchSemanticIR → consolidation/routing → existing PatchRequirementProposal → existing M3 authoritative pipeline。</w:t>
      </w:r>
    </w:p>
    <w:p>
      <w:r>
        <w:t>核心交付不是“覆盖所有自然语言”，而是建立可证明安全的 deterministic Patch 下限：简单明确语义必须正确；信息不足必须澄清；真正需要复杂语言推理的 case 必须被显式识别并留给 U6H-C。</w:t>
      </w:r>
    </w:p>
    <w:p>
      <w:pPr>
        <w:pStyle w:val="Heading1"/>
      </w:pPr>
      <w:r>
        <w:t>2. Preconditions</w:t>
      </w:r>
    </w:p>
    <w:p>
      <w:pPr>
        <w:pStyle w:val="ListBullet"/>
      </w:pPr>
      <w:r>
        <w:t>M3 Requirement Pipeline 已稳定：proposal、normalization、target resolution、PatchSet construction、atomic apply、semantic no-op、base-version/CAS 与 commit gate 可复用。</w:t>
      </w:r>
    </w:p>
    <w:p>
      <w:pPr>
        <w:pStyle w:val="ListBullet"/>
      </w:pPr>
      <w:r>
        <w:t>M7 RequirementSemanticDiff / stale execution / publication authority 已稳定，不由本 Unit 修改。</w:t>
      </w:r>
    </w:p>
    <w:p>
      <w:pPr>
        <w:pStyle w:val="ListBullet"/>
      </w:pPr>
      <w:r>
        <w:t>M8 LLM authority、ambiguity、validation、minimal-context、eval severity 与 Regression expected-semantics 原则已稳定。</w:t>
      </w:r>
    </w:p>
    <w:p>
      <w:pPr>
        <w:pStyle w:val="ListBullet"/>
      </w:pPr>
      <w:r>
        <w:t>Hybrid Prototype V0.5 已锁定 Patch Semantic IR V0-A～V0-C、Evidence-ID-first、SemanticAssertion、D/C/L routing 与 U6H-A readiness。</w:t>
      </w:r>
    </w:p>
    <w:p>
      <w:pPr>
        <w:pStyle w:val="ListBullet"/>
      </w:pPr>
      <w:r>
        <w:t>Repository 开工前必须读取当前 DOCUMENT_AUTHORITY、M8 Specification/Closure/Recovery 相关正式资产并做 gap analysis；路径以 Repository 实际 authority 为准。</w:t>
      </w:r>
    </w:p>
    <w:p>
      <w:pPr>
        <w:pStyle w:val="Heading1"/>
      </w:pPr>
      <w:r>
        <w:t>3. Stable Processing Chain</w:t>
      </w:r>
    </w:p>
    <w:p>
      <w:r>
        <w:rPr>
          <w:rFonts w:ascii="Consolas" w:hAnsi="Consolas" w:eastAsia="Consolas"/>
          <w:sz w:val="18"/>
        </w:rPr>
        <w:t>User Message</w:t>
        <w:br/>
        <w:t>→ PatchEvidenceExtractor</w:t>
        <w:br/>
        <w:t>→ DeterministicPatchInterpreter</w:t>
        <w:br/>
        <w:t>→ PatchSemanticIR</w:t>
        <w:br/>
        <w:t>→ MutationConsolidator</w:t>
        <w:br/>
        <w:t>→ PatchInterpretationValidator / Router</w:t>
        <w:br/>
        <w:t>→ SemanticIRToPatchProposalBuilder</w:t>
        <w:br/>
        <w:t>→ Existing PatchRequirementProposal</w:t>
        <w:br/>
        <w:t>→ Existing M3 Normalization / Target Resolution / PatchSet / Atomic Apply / Commit</w:t>
      </w:r>
    </w:p>
    <w:p>
      <w:r>
        <w:t>任何组件不得把 RESOLVED 解释为 COMMITTED。Hybrid interpretation outcome 与 M3 transition outcome 是两个不同责任层。</w:t>
      </w:r>
    </w:p>
    <w:p>
      <w:pPr>
        <w:pStyle w:val="Heading1"/>
      </w:pPr>
      <w:r>
        <w:t>4. Application-side Semantic Contracts</w:t>
      </w:r>
    </w:p>
    <w:p>
      <w:pPr>
        <w:pStyle w:val="Heading2"/>
      </w:pPr>
      <w:r>
        <w:t>4.1 SemanticEvidence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字段</w:t>
            </w:r>
          </w:p>
        </w:tc>
        <w:tc>
          <w:tcPr>
            <w:tcW w:type="dxa" w:w="5040"/>
            <w:shd w:fill="D9EAF7"/>
          </w:tcPr>
          <w:p>
            <w:r>
              <w:t>Contract</w:t>
            </w:r>
          </w:p>
        </w:tc>
      </w:tr>
      <w:tr>
        <w:tc>
          <w:tcPr>
            <w:tcW w:type="dxa" w:w="5040"/>
            <w:vAlign w:val="center"/>
          </w:tcPr>
          <w:p>
            <w:r>
              <w:t>evidence_id</w:t>
            </w:r>
          </w:p>
        </w:tc>
        <w:tc>
          <w:tcPr>
            <w:tcW w:type="dxa" w:w="5040"/>
            <w:vAlign w:val="center"/>
          </w:tcPr>
          <w:p>
            <w:r>
              <w:t>deterministic stable identity；跨组件引用主键</w:t>
            </w:r>
          </w:p>
        </w:tc>
      </w:tr>
      <w:tr>
        <w:tc>
          <w:tcPr>
            <w:tcW w:type="dxa" w:w="5040"/>
            <w:vAlign w:val="center"/>
          </w:tcPr>
          <w:p>
            <w:r>
              <w:t>kind</w:t>
            </w:r>
          </w:p>
        </w:tc>
        <w:tc>
          <w:tcPr>
            <w:tcW w:type="dxa" w:w="5040"/>
            <w:vAlign w:val="center"/>
          </w:tcPr>
          <w:p>
            <w:r>
              <w:t>受限 evidence kind，例如 TARGET_TEXT / VALUE_TEXT / OPERATOR_TEXT / MODALITY_TEXT / NEGATION_TEXT / REFERENCE_TEXT / CORRECTION_TEXT / PRESERVATION_TEXT</w:t>
            </w:r>
          </w:p>
        </w:tc>
      </w:tr>
      <w:tr>
        <w:tc>
          <w:tcPr>
            <w:tcW w:type="dxa" w:w="5040"/>
            <w:vAlign w:val="center"/>
          </w:tcPr>
          <w:p>
            <w:r>
              <w:t>source_text</w:t>
            </w:r>
          </w:p>
        </w:tc>
        <w:tc>
          <w:tcPr>
            <w:tcW w:type="dxa" w:w="5040"/>
            <w:vAlign w:val="center"/>
          </w:tcPr>
          <w:p>
            <w:r>
              <w:t>来自当前 user message 的原始证据文本</w:t>
            </w:r>
          </w:p>
        </w:tc>
      </w:tr>
      <w:tr>
        <w:tc>
          <w:tcPr>
            <w:tcW w:type="dxa" w:w="5040"/>
            <w:vAlign w:val="center"/>
          </w:tcPr>
          <w:p>
            <w:r>
              <w:t>normalized_text</w:t>
            </w:r>
          </w:p>
        </w:tc>
        <w:tc>
          <w:tcPr>
            <w:tcW w:type="dxa" w:w="5040"/>
            <w:vAlign w:val="center"/>
          </w:tcPr>
          <w:p>
            <w:r>
              <w:t>可选；仅 deterministic-safe normalization，不是 Domain authoritative value</w:t>
            </w:r>
          </w:p>
        </w:tc>
      </w:tr>
      <w:tr>
        <w:tc>
          <w:tcPr>
            <w:tcW w:type="dxa" w:w="5040"/>
            <w:vAlign w:val="center"/>
          </w:tcPr>
          <w:p>
            <w:r>
              <w:t>source_location</w:t>
            </w:r>
          </w:p>
        </w:tc>
        <w:tc>
          <w:tcPr>
            <w:tcW w:type="dxa" w:w="5040"/>
            <w:vAlign w:val="center"/>
          </w:tcPr>
          <w:p>
            <w:r>
              <w:t>可选 diagnostics；offset/range 不作为 correctness identity</w:t>
            </w:r>
          </w:p>
        </w:tc>
      </w:tr>
      <w:tr>
        <w:tc>
          <w:tcPr>
            <w:tcW w:type="dxa" w:w="5040"/>
            <w:vAlign w:val="center"/>
          </w:tcPr>
          <w:p>
            <w:r>
              <w:t>extractor_id / version</w:t>
            </w:r>
          </w:p>
        </w:tc>
        <w:tc>
          <w:tcPr>
            <w:tcW w:type="dxa" w:w="5040"/>
            <w:vAlign w:val="center"/>
          </w:tcPr>
          <w:p>
            <w:r>
              <w:t>用于 provenance、regression 与可重放诊断</w:t>
            </w:r>
          </w:p>
        </w:tc>
      </w:tr>
    </w:tbl>
    <w:p>
      <w:r>
        <w:t>所有后续 mutation/assertion/resolver seam 通过 evidence_id 引用已供应 evidence。不得要求未来模型自行创造字符 offset。</w:t>
      </w:r>
    </w:p>
    <w:p>
      <w:pPr>
        <w:pStyle w:val="Heading2"/>
      </w:pPr>
      <w:r>
        <w:t>4.2 PatchSemanticIR</w:t>
      </w:r>
    </w:p>
    <w:p>
      <w:r>
        <w:rPr>
          <w:rFonts w:ascii="Consolas" w:hAnsi="Consolas" w:eastAsia="Consolas"/>
          <w:sz w:val="18"/>
        </w:rPr>
        <w:t>PatchSemanticIR</w:t>
        <w:br/>
        <w:t>├── disposition</w:t>
        <w:br/>
        <w:t>├── mutations[]</w:t>
        <w:br/>
        <w:t>├── assertions[]</w:t>
        <w:br/>
        <w:t>├── ambiguities[]</w:t>
        <w:br/>
        <w:t>├── evidence[]</w:t>
        <w:br/>
        <w:t>└── interpreter_metadata</w:t>
      </w:r>
    </w:p>
    <w:p>
      <w:r>
        <w:t>IR 是 non-authoritative / non-committable / mutation-oriented。未命中 mutation 的字段默认 untouched-by-construction。</w:t>
      </w:r>
    </w:p>
    <w:p>
      <w:pPr>
        <w:pStyle w:val="Heading2"/>
      </w:pPr>
      <w:r>
        <w:t>4.3 SemanticMutation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维度</w:t>
            </w:r>
          </w:p>
        </w:tc>
        <w:tc>
          <w:tcPr>
            <w:tcW w:type="dxa" w:w="5040"/>
            <w:shd w:fill="D9EAF7"/>
          </w:tcPr>
          <w:p>
            <w:r>
              <w:t>V0 Contract</w:t>
            </w:r>
          </w:p>
        </w:tc>
      </w:tr>
      <w:tr>
        <w:tc>
          <w:tcPr>
            <w:tcW w:type="dxa" w:w="5040"/>
            <w:vAlign w:val="center"/>
          </w:tcPr>
          <w:p>
            <w:r>
              <w:t>target</w:t>
            </w:r>
          </w:p>
        </w:tc>
        <w:tc>
          <w:tcPr>
            <w:tcW w:type="dxa" w:w="5040"/>
            <w:vAlign w:val="center"/>
          </w:tcPr>
          <w:p>
            <w:r>
              <w:t>受限 semantic target；不得是 ConstraintId / PreferenceId</w:t>
            </w:r>
          </w:p>
        </w:tc>
      </w:tr>
      <w:tr>
        <w:tc>
          <w:tcPr>
            <w:tcW w:type="dxa" w:w="5040"/>
            <w:vAlign w:val="center"/>
          </w:tcPr>
          <w:p>
            <w:r>
              <w:t>operation</w:t>
            </w:r>
          </w:p>
        </w:tc>
        <w:tc>
          <w:tcPr>
            <w:tcW w:type="dxa" w:w="5040"/>
            <w:vAlign w:val="center"/>
          </w:tcPr>
          <w:p>
            <w:r>
              <w:t>SET / REMOVE / CLEAR；不要求 IR 决定 authoritative ADD vs REPLACE</w:t>
            </w:r>
          </w:p>
        </w:tc>
      </w:tr>
      <w:tr>
        <w:tc>
          <w:tcPr>
            <w:tcW w:type="dxa" w:w="5040"/>
            <w:vAlign w:val="center"/>
          </w:tcPr>
          <w:p>
            <w:r>
              <w:t>value_evidence</w:t>
            </w:r>
          </w:p>
        </w:tc>
        <w:tc>
          <w:tcPr>
            <w:tcW w:type="dxa" w:w="5040"/>
            <w:vAlign w:val="center"/>
          </w:tcPr>
          <w:p>
            <w:r>
              <w:t>引用 SemanticEvidence；canonical Money/Date 等由 deterministic/M3 构造</w:t>
            </w:r>
          </w:p>
        </w:tc>
      </w:tr>
      <w:tr>
        <w:tc>
          <w:tcPr>
            <w:tcW w:type="dxa" w:w="5040"/>
            <w:vAlign w:val="center"/>
          </w:tcPr>
          <w:p>
            <w:r>
              <w:t>importance_signal</w:t>
            </w:r>
          </w:p>
        </w:tc>
        <w:tc>
          <w:tcPr>
            <w:tcW w:type="dxa" w:w="5040"/>
            <w:vAlign w:val="center"/>
          </w:tcPr>
          <w:p>
            <w:r>
              <w:t>HARD / SOFT / UNSPECIFIED；只是语言信号</w:t>
            </w:r>
          </w:p>
        </w:tc>
      </w:tr>
      <w:tr>
        <w:tc>
          <w:tcPr>
            <w:tcW w:type="dxa" w:w="5040"/>
            <w:vAlign w:val="center"/>
          </w:tcPr>
          <w:p>
            <w:r>
              <w:t>relation / negation / reference</w:t>
            </w:r>
          </w:p>
        </w:tc>
        <w:tc>
          <w:tcPr>
            <w:tcW w:type="dxa" w:w="5040"/>
            <w:vAlign w:val="center"/>
          </w:tcPr>
          <w:p>
            <w:r>
              <w:t>受限语义信号与 evidence refs</w:t>
            </w:r>
          </w:p>
        </w:tc>
      </w:tr>
      <w:tr>
        <w:tc>
          <w:tcPr>
            <w:tcW w:type="dxa" w:w="5040"/>
            <w:vAlign w:val="center"/>
          </w:tcPr>
          <w:p>
            <w:r>
              <w:t>confidence</w:t>
            </w:r>
          </w:p>
        </w:tc>
        <w:tc>
          <w:tcPr>
            <w:tcW w:type="dxa" w:w="5040"/>
            <w:vAlign w:val="center"/>
          </w:tcPr>
          <w:p>
            <w:r>
              <w:t>如保留仅用于 diagnostics/routing；不得控制 commit</w:t>
            </w:r>
          </w:p>
        </w:tc>
      </w:tr>
    </w:tbl>
    <w:p>
      <w:pPr>
        <w:pStyle w:val="Heading2"/>
      </w:pPr>
      <w:r>
        <w:t>4.4 SemanticAssertion</w:t>
      </w:r>
    </w:p>
    <w:p>
      <w:r>
        <w:t>SemanticAssertion 与 SemanticMutation 分离，用于表达用户确认的保持/等价语义，例如 PRESERVE_CURRENT、GLOBAL_UNMENTIONED_PRESERVE。它服务 provenance、Eval 与 collateral-mutation detection，不生成 authoritative Patch operation。</w:t>
      </w:r>
    </w:p>
    <w:p>
      <w:pPr>
        <w:pStyle w:val="ListBullet"/>
      </w:pPr>
      <w:r>
        <w:t>“预算还是1500”可形成 preserve/current-value assertion；最终是否 canonical NO_CHANGE 仍由 M3 判断。</w:t>
      </w:r>
    </w:p>
    <w:p>
      <w:pPr>
        <w:pStyle w:val="ListBullet"/>
      </w:pPr>
      <w:r>
        <w:t>“其他不变/其余照旧”形成 preservation assertion/evidence；不创建新的 Domain constraint。</w:t>
      </w:r>
    </w:p>
    <w:p>
      <w:pPr>
        <w:pStyle w:val="ListBullet"/>
      </w:pPr>
      <w:r>
        <w:t>显式 NO_OP 不作为第二套 authoritative no-op authority。</w:t>
      </w:r>
    </w:p>
    <w:p>
      <w:pPr>
        <w:pStyle w:val="Heading2"/>
      </w:pPr>
      <w:r>
        <w:t>4.5 ResolutionDisposition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值</w:t>
            </w:r>
          </w:p>
        </w:tc>
        <w:tc>
          <w:tcPr>
            <w:tcW w:type="dxa" w:w="3360"/>
            <w:shd w:fill="D9EAF7"/>
          </w:tcPr>
          <w:p>
            <w:r>
              <w:t>含义</w:t>
            </w:r>
          </w:p>
        </w:tc>
        <w:tc>
          <w:tcPr>
            <w:tcW w:type="dxa" w:w="3360"/>
            <w:shd w:fill="D9EAF7"/>
          </w:tcPr>
          <w:p>
            <w:r>
              <w:t>允许进入 Builder</w:t>
            </w:r>
          </w:p>
        </w:tc>
      </w:tr>
      <w:tr>
        <w:tc>
          <w:tcPr>
            <w:tcW w:type="dxa" w:w="3360"/>
            <w:vAlign w:val="center"/>
          </w:tcPr>
          <w:p>
            <w:r>
              <w:t>RESOLVED</w:t>
            </w:r>
          </w:p>
        </w:tc>
        <w:tc>
          <w:tcPr>
            <w:tcW w:type="dxa" w:w="3360"/>
            <w:vAlign w:val="center"/>
          </w:tcPr>
          <w:p>
            <w:r>
              <w:t>本 Unit deterministic evidence 足以唯一、安全解释</w:t>
            </w:r>
          </w:p>
        </w:tc>
        <w:tc>
          <w:tcPr>
            <w:tcW w:type="dxa" w:w="3360"/>
            <w:vAlign w:val="center"/>
          </w:tcPr>
          <w:p>
            <w: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>
              <w:t>CLARIFICATION_REQUIRED</w:t>
            </w:r>
          </w:p>
        </w:tc>
        <w:tc>
          <w:tcPr>
            <w:tcW w:type="dxa" w:w="3360"/>
            <w:vAlign w:val="center"/>
          </w:tcPr>
          <w:p>
            <w:r>
              <w:t>事实/精确值/target 本身不足或多义，模型也不应猜</w:t>
            </w:r>
          </w:p>
        </w:tc>
        <w:tc>
          <w:tcPr>
            <w:tcW w:type="dxa" w:w="3360"/>
            <w:vAlign w:val="center"/>
          </w:tcPr>
          <w:p>
            <w:r>
              <w:t>NO</w:t>
            </w:r>
          </w:p>
        </w:tc>
      </w:tr>
      <w:tr>
        <w:tc>
          <w:tcPr>
            <w:tcW w:type="dxa" w:w="3360"/>
            <w:vAlign w:val="center"/>
          </w:tcPr>
          <w:p>
            <w:r>
              <w:t>SEMANTIC_RESOLVER_REQUIRED</w:t>
            </w:r>
          </w:p>
        </w:tc>
        <w:tc>
          <w:tcPr>
            <w:tcW w:type="dxa" w:w="3360"/>
            <w:vAlign w:val="center"/>
          </w:tcPr>
          <w:p>
            <w:r>
              <w:t>evidence 已存在，但复杂语言关系需要 U6H-C resolver</w:t>
            </w:r>
          </w:p>
        </w:tc>
        <w:tc>
          <w:tcPr>
            <w:tcW w:type="dxa" w:w="3360"/>
            <w:vAlign w:val="center"/>
          </w:tcPr>
          <w:p>
            <w:r>
              <w:t>NO</w:t>
            </w:r>
          </w:p>
        </w:tc>
      </w:tr>
      <w:tr>
        <w:tc>
          <w:tcPr>
            <w:tcW w:type="dxa" w:w="3360"/>
            <w:vAlign w:val="center"/>
          </w:tcPr>
          <w:p>
            <w:r>
              <w:t>INVALID</w:t>
            </w:r>
          </w:p>
        </w:tc>
        <w:tc>
          <w:tcPr>
            <w:tcW w:type="dxa" w:w="3360"/>
            <w:vAlign w:val="center"/>
          </w:tcPr>
          <w:p>
            <w:r>
              <w:t>明确违反受支持 operation/contract 或形成不可接受冲突</w:t>
            </w:r>
          </w:p>
        </w:tc>
        <w:tc>
          <w:tcPr>
            <w:tcW w:type="dxa" w:w="3360"/>
            <w:vAlign w:val="center"/>
          </w:tcPr>
          <w:p>
            <w:r>
              <w:t>NO</w:t>
            </w:r>
          </w:p>
        </w:tc>
      </w:tr>
    </w:tbl>
    <w:p>
      <w:r>
        <w:t>NO_SEMANTIC_CHANGE 不属于 interpretation disposition；它是后续 M3 canonical semantic equality 的 authoritative outcome。</w:t>
      </w:r>
    </w:p>
    <w:p>
      <w:pPr>
        <w:pStyle w:val="Heading1"/>
      </w:pPr>
      <w:r>
        <w:t>5. Deterministic Extraction / Interpretation Contract</w:t>
      </w:r>
    </w:p>
    <w:p>
      <w:pPr>
        <w:pStyle w:val="ListBullet"/>
      </w:pPr>
      <w:r>
        <w:t>优先覆盖有限、高价值、可证明 deterministic 的中文 Patch 表达；不得建设通用 NLP/规则 DSL。</w:t>
      </w:r>
    </w:p>
    <w:p>
      <w:pPr>
        <w:pStyle w:val="ListBullet"/>
      </w:pPr>
      <w:r>
        <w:t>Money、Date、operator、明确 modality、明确 remove/clear、明确 correction marker 等在安全可解析时由 deterministic code 处理。</w:t>
      </w:r>
    </w:p>
    <w:p>
      <w:pPr>
        <w:pStyle w:val="ListBullet"/>
      </w:pPr>
      <w:r>
        <w:t>Extractor 只产生 evidence；Interpreter 才产生 semantic target/operation/signal。</w:t>
      </w:r>
    </w:p>
    <w:p>
      <w:pPr>
        <w:pStyle w:val="ListBullet"/>
      </w:pPr>
      <w:r>
        <w:t>不得因规则未命中就默认调用 LLM；本 Unit 根本没有 Real LLM 调用路径。</w:t>
      </w:r>
    </w:p>
    <w:p>
      <w:pPr>
        <w:pStyle w:val="ListBullet"/>
      </w:pPr>
      <w:r>
        <w:t>不得根据“看起来合理”补充用户未提供的 exact value、target、Hard/Soft authority 或 reference。</w:t>
      </w:r>
    </w:p>
    <w:p>
      <w:pPr>
        <w:pStyle w:val="Heading1"/>
      </w:pPr>
      <w:r>
        <w:t>6. D / C / L Routing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Class</w:t>
            </w:r>
          </w:p>
        </w:tc>
        <w:tc>
          <w:tcPr>
            <w:tcW w:type="dxa" w:w="2520"/>
            <w:shd w:fill="D9EAF7"/>
          </w:tcPr>
          <w:p>
            <w:r>
              <w:t>判定</w:t>
            </w:r>
          </w:p>
        </w:tc>
        <w:tc>
          <w:tcPr>
            <w:tcW w:type="dxa" w:w="2520"/>
            <w:shd w:fill="D9EAF7"/>
          </w:tcPr>
          <w:p>
            <w:r>
              <w:t>示例</w:t>
            </w:r>
          </w:p>
        </w:tc>
        <w:tc>
          <w:tcPr>
            <w:tcW w:type="dxa" w:w="2520"/>
            <w:shd w:fill="D9EAF7"/>
          </w:tcPr>
          <w:p>
            <w:r>
              <w:t>本 Unit Outcome</w:t>
            </w:r>
          </w:p>
        </w:tc>
      </w:tr>
      <w:tr>
        <w:tc>
          <w:tcPr>
            <w:tcW w:type="dxa" w:w="2520"/>
            <w:vAlign w:val="center"/>
          </w:tcPr>
          <w:p>
            <w:r>
              <w:t>D — Deterministic-resolvable</w:t>
            </w:r>
          </w:p>
        </w:tc>
        <w:tc>
          <w:tcPr>
            <w:tcW w:type="dxa" w:w="2520"/>
            <w:vAlign w:val="center"/>
          </w:tcPr>
          <w:p>
            <w:r>
              <w:t>evidence + current Requirement 足以唯一安全解析</w:t>
            </w:r>
          </w:p>
        </w:tc>
        <w:tc>
          <w:tcPr>
            <w:tcW w:type="dxa" w:w="2520"/>
            <w:vAlign w:val="center"/>
          </w:tcPr>
          <w:p>
            <w:r>
              <w:t>预算改到1200；必须直飞；取消预算限制</w:t>
            </w:r>
          </w:p>
        </w:tc>
        <w:tc>
          <w:tcPr>
            <w:tcW w:type="dxa" w:w="2520"/>
            <w:vAlign w:val="center"/>
          </w:tcPr>
          <w:p>
            <w:r>
              <w:t>RESOLVED</w:t>
            </w:r>
          </w:p>
        </w:tc>
      </w:tr>
      <w:tr>
        <w:tc>
          <w:tcPr>
            <w:tcW w:type="dxa" w:w="2520"/>
            <w:vAlign w:val="center"/>
          </w:tcPr>
          <w:p>
            <w:r>
              <w:t>C — Clarification-required</w:t>
            </w:r>
          </w:p>
        </w:tc>
        <w:tc>
          <w:tcPr>
            <w:tcW w:type="dxa" w:w="2520"/>
            <w:vAlign w:val="center"/>
          </w:tcPr>
          <w:p>
            <w:r>
              <w:t>事实本身不足/多义/Contract 无法表达</w:t>
            </w:r>
          </w:p>
        </w:tc>
        <w:tc>
          <w:tcPr>
            <w:tcW w:type="dxa" w:w="2520"/>
            <w:vAlign w:val="center"/>
          </w:tcPr>
          <w:p>
            <w:r>
              <w:t>预算稍微放宽一点；把那个限制删掉（多候选）</w:t>
            </w:r>
          </w:p>
        </w:tc>
        <w:tc>
          <w:tcPr>
            <w:tcW w:type="dxa" w:w="2520"/>
            <w:vAlign w:val="center"/>
          </w:tcPr>
          <w:p>
            <w:r>
              <w:t>CLARIFICATION_REQUIRED</w:t>
            </w:r>
          </w:p>
        </w:tc>
      </w:tr>
      <w:tr>
        <w:tc>
          <w:tcPr>
            <w:tcW w:type="dxa" w:w="2520"/>
            <w:vAlign w:val="center"/>
          </w:tcPr>
          <w:p>
            <w:r>
              <w:t>L — Language-reasoning-required</w:t>
            </w:r>
          </w:p>
        </w:tc>
        <w:tc>
          <w:tcPr>
            <w:tcW w:type="dxa" w:w="2520"/>
            <w:vAlign w:val="center"/>
          </w:tcPr>
          <w:p>
            <w:r>
              <w:t>原子 evidence 已存在，但关系/scope/conditional 需要语言推理</w:t>
            </w:r>
          </w:p>
        </w:tc>
        <w:tc>
          <w:tcPr>
            <w:tcW w:type="dxa" w:w="2520"/>
            <w:vAlign w:val="center"/>
          </w:tcPr>
          <w:p>
            <w:r>
              <w:t>价格别卡那么死，直飞还是更重要</w:t>
            </w:r>
          </w:p>
        </w:tc>
        <w:tc>
          <w:tcPr>
            <w:tcW w:type="dxa" w:w="2520"/>
            <w:vAlign w:val="center"/>
          </w:tcPr>
          <w:p>
            <w:r>
              <w:t>SEMANTIC_RESOLVER_REQUIRED</w:t>
            </w:r>
          </w:p>
        </w:tc>
      </w:tr>
    </w:tbl>
    <w:p>
      <w:r>
        <w:t>Routing 的最高原则：Missing facts ≠ language reasoning。缺失精确事实时禁止用 U6H-C DeepSeek 猜答案。</w:t>
      </w:r>
    </w:p>
    <w:p>
      <w:pPr>
        <w:pStyle w:val="Heading1"/>
      </w:pPr>
      <w:r>
        <w:t>7. Mutation Consolidation &amp; Message Atomicity</w:t>
      </w:r>
    </w:p>
    <w:p>
      <w:pPr>
        <w:pStyle w:val="ListBullet"/>
      </w:pPr>
      <w:r>
        <w:t>一个 User Message 可产生 0..N raw semantic mutations，但它们属于一个 semantic transaction。</w:t>
      </w:r>
    </w:p>
    <w:p>
      <w:pPr>
        <w:pStyle w:val="ListBullet"/>
      </w:pPr>
      <w:r>
        <w:t>禁止 mechanical last-write-wins。等价重复可 collapse；明确 self-correction 可按 correction evidence 归并；无可靠 correction 的互斥值必须 ambiguity/invalid。</w:t>
      </w:r>
    </w:p>
    <w:p>
      <w:pPr>
        <w:pStyle w:val="ListBullet"/>
      </w:pPr>
      <w:r>
        <w:t>一条 Patch Message 最多产生一个新的 RequirementVersion。</w:t>
      </w:r>
    </w:p>
    <w:p>
      <w:pPr>
        <w:pStyle w:val="ListBullet"/>
      </w:pPr>
      <w:r>
        <w:t>V0 不支持 partial authoritative commit。任何 required mutation unresolved/ambiguous/invalid 时，整个消息不得 commit。</w:t>
      </w:r>
    </w:p>
    <w:p>
      <w:pPr>
        <w:pStyle w:val="ListBullet"/>
      </w:pPr>
      <w:r>
        <w:t>Atomic Commit ≠ Atomic Interpretation：已解析 evidence 可被保留用于 clarification continuation。</w:t>
      </w:r>
    </w:p>
    <w:p>
      <w:pPr>
        <w:pStyle w:val="Heading1"/>
      </w:pPr>
      <w:r>
        <w:t>8. Pending Clarification Seam</w:t>
      </w:r>
    </w:p>
    <w:p>
      <w:r>
        <w:t>本 Unit 只实现 PendingPatchInterpretation 的 seam/projection，不实现完整跨请求 lifecycle。它可保存 base Requirement identity/version、resolved evidence、unresolved issue/ambiguity 与 metadata；不得保存 authoritative PatchSet、新 RequirementState 或最终 Domain write authority。</w:t>
      </w:r>
    </w:p>
    <w:p>
      <w:pPr>
        <w:pStyle w:val="ListBullet"/>
      </w:pPr>
      <w:r>
        <w:t>PARTIALLY_RESOLVED 不得产生 partial commit。</w:t>
      </w:r>
    </w:p>
    <w:p>
      <w:pPr>
        <w:pStyle w:val="ListBullet"/>
      </w:pPr>
      <w:r>
        <w:t>完整 persistence、session merge、clarification UX、过期清理不属于 U6H-A。</w:t>
      </w:r>
    </w:p>
    <w:p>
      <w:pPr>
        <w:pStyle w:val="ListBullet"/>
      </w:pPr>
      <w:r>
        <w:t>若后续实现跨请求 continuation，必须保留 base-version stale guard；不得自动 rebase。</w:t>
      </w:r>
    </w:p>
    <w:p>
      <w:pPr>
        <w:pStyle w:val="Heading1"/>
      </w:pPr>
      <w:r>
        <w:t>9. SemanticIR → Existing PatchRequirementProposal Builder</w:t>
      </w:r>
    </w:p>
    <w:p>
      <w:pPr>
        <w:pStyle w:val="Heading2"/>
      </w:pPr>
      <w:r>
        <w:t>9.1 SET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IR 条件</w:t>
            </w:r>
          </w:p>
        </w:tc>
        <w:tc>
          <w:tcPr>
            <w:tcW w:type="dxa" w:w="3360"/>
            <w:shd w:fill="D9EAF7"/>
          </w:tcPr>
          <w:p>
            <w:r>
              <w:t>Proposal-level 映射</w:t>
            </w:r>
          </w:p>
        </w:tc>
        <w:tc>
          <w:tcPr>
            <w:tcW w:type="dxa" w:w="3360"/>
            <w:shd w:fill="D9EAF7"/>
          </w:tcPr>
          <w:p>
            <w:r>
              <w:t>约束</w:t>
            </w:r>
          </w:p>
        </w:tc>
      </w:tr>
      <w:tr>
        <w:tc>
          <w:tcPr>
            <w:tcW w:type="dxa" w:w="3360"/>
            <w:vAlign w:val="center"/>
          </w:tcPr>
          <w:p>
            <w:r>
              <w:t>SET + 当前无对应 semantic item</w:t>
            </w:r>
          </w:p>
        </w:tc>
        <w:tc>
          <w:tcPr>
            <w:tcW w:type="dxa" w:w="3360"/>
            <w:vAlign w:val="center"/>
          </w:tcPr>
          <w:p>
            <w:r>
              <w:t>ADD</w:t>
            </w:r>
          </w:p>
        </w:tc>
        <w:tc>
          <w:tcPr>
            <w:tcW w:type="dxa" w:w="3360"/>
            <w:vAlign w:val="center"/>
          </w:tcPr>
          <w:p>
            <w:r>
              <w:t>新 Domain identity 仍由 M3 创建</w:t>
            </w:r>
          </w:p>
        </w:tc>
      </w:tr>
      <w:tr>
        <w:tc>
          <w:tcPr>
            <w:tcW w:type="dxa" w:w="3360"/>
            <w:vAlign w:val="center"/>
          </w:tcPr>
          <w:p>
            <w:r>
              <w:t>SET + 唯一同类型 existing item</w:t>
            </w:r>
          </w:p>
        </w:tc>
        <w:tc>
          <w:tcPr>
            <w:tcW w:type="dxa" w:w="3360"/>
            <w:vAlign w:val="center"/>
          </w:tcPr>
          <w:p>
            <w:r>
              <w:t>REPLACE</w:t>
            </w:r>
          </w:p>
        </w:tc>
        <w:tc>
          <w:tcPr>
            <w:tcW w:type="dxa" w:w="3360"/>
            <w:vAlign w:val="center"/>
          </w:tcPr>
          <w:p>
            <w:r>
              <w:t>M3 重新验证 target/完整 item</w:t>
            </w:r>
          </w:p>
        </w:tc>
      </w:tr>
      <w:tr>
        <w:tc>
          <w:tcPr>
            <w:tcW w:type="dxa" w:w="3360"/>
            <w:vAlign w:val="center"/>
          </w:tcPr>
          <w:p>
            <w:r>
              <w:t>SET + 多个候选</w:t>
            </w:r>
          </w:p>
        </w:tc>
        <w:tc>
          <w:tcPr>
            <w:tcW w:type="dxa" w:w="3360"/>
            <w:vAlign w:val="center"/>
          </w:tcPr>
          <w:p>
            <w:r>
              <w:t>不构造 proposal</w:t>
            </w:r>
          </w:p>
        </w:tc>
        <w:tc>
          <w:tcPr>
            <w:tcW w:type="dxa" w:w="3360"/>
            <w:vAlign w:val="center"/>
          </w:tcPr>
          <w:p>
            <w:r>
              <w:t>CLARIFICATION_REQUIRED</w:t>
            </w:r>
          </w:p>
        </w:tc>
      </w:tr>
      <w:tr>
        <w:tc>
          <w:tcPr>
            <w:tcW w:type="dxa" w:w="3360"/>
            <w:vAlign w:val="center"/>
          </w:tcPr>
          <w:p>
            <w:r>
              <w:t>SET + incompatible type</w:t>
            </w:r>
          </w:p>
        </w:tc>
        <w:tc>
          <w:tcPr>
            <w:tcW w:type="dxa" w:w="3360"/>
            <w:vAlign w:val="center"/>
          </w:tcPr>
          <w:p>
            <w:r>
              <w:t>不构造非法 REPLACE</w:t>
            </w:r>
          </w:p>
        </w:tc>
        <w:tc>
          <w:tcPr>
            <w:tcW w:type="dxa" w:w="3360"/>
            <w:vAlign w:val="center"/>
          </w:tcPr>
          <w:p>
            <w:r>
              <w:t>INVALID 或合法 Hard↔Soft 转换路径</w:t>
            </w:r>
          </w:p>
        </w:tc>
      </w:tr>
    </w:tbl>
    <w:p>
      <w:pPr>
        <w:pStyle w:val="Heading2"/>
      </w:pPr>
      <w:r>
        <w:t>9.2 REMOVE / CLEAR</w:t>
      </w:r>
    </w:p>
    <w:p>
      <w:pPr>
        <w:pStyle w:val="ListBullet"/>
      </w:pPr>
      <w:r>
        <w:t>REMOVE 只删除唯一 resolved existing target；NOT_FOUND / AMBIGUOUS / TYPE_MISMATCH 不静默转 NO_OP。</w:t>
      </w:r>
    </w:p>
    <w:p>
      <w:pPr>
        <w:pStyle w:val="ListBullet"/>
      </w:pPr>
      <w:r>
        <w:t>CLEAR 只允许既有 Contract 已批准的有限 typed semantic scope/collection；禁止 JSONPath、regex、predicate DSL、通用 selector。</w:t>
      </w:r>
    </w:p>
    <w:p>
      <w:pPr>
        <w:pStyle w:val="ListBullet"/>
      </w:pPr>
      <w:r>
        <w:t>用户表达单个明确删除时优先 REMOVE，不扩大为 CLEAR。</w:t>
      </w:r>
    </w:p>
    <w:p>
      <w:pPr>
        <w:pStyle w:val="Heading2"/>
      </w:pPr>
      <w:r>
        <w:t>9.3 Hard ↔ Soft</w:t>
      </w:r>
    </w:p>
    <w:p>
      <w:r>
        <w:t>Hard Constraint 与 Soft Preference 是不同 typed Domain items。跨类型 REPLACE 禁止。Hard→Soft 与 Soft→Hard 必须映射为 atomic REMOVE(existing typed item) + ADD(new typed item)。任一 operation 失败则整个 Patch 不生效。</w:t>
      </w:r>
    </w:p>
    <w:p>
      <w:r>
        <w:t>已有 target + importance=UNSPECIFIED 默认保持当前 Hard/Soft 类型；新增 target + UNSPECIFIED 不设置全局默认，只允许 target-specific deterministic semantics 明确推出，否则 clarification。</w:t>
      </w:r>
    </w:p>
    <w:p>
      <w:pPr>
        <w:pStyle w:val="Heading2"/>
      </w:pPr>
      <w:r>
        <w:t>9.4 Target Identity Dual Guard</w:t>
      </w:r>
    </w:p>
    <w:p>
      <w:pPr>
        <w:pStyle w:val="ListBullet"/>
      </w:pPr>
      <w:r>
        <w:t>Hybrid 只输出 semantic target/reference evidence，不创建 authoritative IDs。</w:t>
      </w:r>
    </w:p>
    <w:p>
      <w:pPr>
        <w:pStyle w:val="ListBullet"/>
      </w:pPr>
      <w:r>
        <w:t>Builder 可在 current Requirement projection 中做 deterministic pre-resolution，并在唯一时携带 proposal-level reference。</w:t>
      </w:r>
    </w:p>
    <w:p>
      <w:pPr>
        <w:pStyle w:val="ListBullet"/>
      </w:pPr>
      <w:r>
        <w:t>M3 Target Resolver 必须再次针对当前 authoritative RequirementState 验证；Hybrid pre-resolution 不取代最终 gate。</w:t>
      </w:r>
    </w:p>
    <w:p>
      <w:pPr>
        <w:pStyle w:val="Heading1"/>
      </w:pPr>
      <w:r>
        <w:t>10. Allowed Scope</w:t>
      </w:r>
    </w:p>
    <w:p>
      <w:pPr>
        <w:pStyle w:val="ListBullet"/>
      </w:pPr>
      <w:r>
        <w:t>Patch interpretation/application seam 内新增或调整 deterministic evidence、IR、consolidation、routing、proposal builder。</w:t>
      </w:r>
    </w:p>
    <w:p>
      <w:pPr>
        <w:pStyle w:val="ListBullet"/>
      </w:pPr>
      <w:r>
        <w:t>必要的 Application-side typed semantic contracts 与 export。</w:t>
      </w:r>
    </w:p>
    <w:p>
      <w:pPr>
        <w:pStyle w:val="ListBullet"/>
      </w:pPr>
      <w:r>
        <w:t>focused unit/integration fixtures、architecture/safety guards。</w:t>
      </w:r>
    </w:p>
    <w:p>
      <w:pPr>
        <w:pStyle w:val="ListBullet"/>
      </w:pPr>
      <w:r>
        <w:t>与 existing PatchRequirementProposal / M3 pipeline 的最小 integration。</w:t>
      </w:r>
    </w:p>
    <w:p>
      <w:pPr>
        <w:pStyle w:val="ListBullet"/>
      </w:pPr>
      <w:r>
        <w:t>为 U6H-C 保留 resolver-required seam，但不得实现 Real Resolver。</w:t>
      </w:r>
    </w:p>
    <w:p>
      <w:pPr>
        <w:pStyle w:val="ListBullet"/>
      </w:pPr>
      <w:r>
        <w:t>必要的非生产 test helpers / fixtures。</w:t>
      </w:r>
    </w:p>
    <w:p>
      <w:pPr>
        <w:pStyle w:val="Heading1"/>
      </w:pPr>
      <w:r>
        <w:t>11. Forbidden Scope</w:t>
      </w:r>
    </w:p>
    <w:p>
      <w:pPr>
        <w:pStyle w:val="ListBullet"/>
      </w:pPr>
      <w:r>
        <w:t>不得修改 M2 Requirement Domain Contract；不得复制/替换 M3 authoritative PatchSet/Commit pipeline。</w:t>
      </w:r>
    </w:p>
    <w:p>
      <w:pPr>
        <w:pStyle w:val="ListBullet"/>
      </w:pPr>
      <w:r>
        <w:t>不得修改 M7 SemanticDiff / ImpactDecision / ExecutionPlan / Publication Guard correctness。</w:t>
      </w:r>
    </w:p>
    <w:p>
      <w:pPr>
        <w:pStyle w:val="ListBullet"/>
      </w:pPr>
      <w:r>
        <w:t>不得调用 DeepSeek/任何 Real LLM；不得要求 API Key；不得修改 Runtime Prompt、model ID、thinking mode 或 DeepSeek config。</w:t>
      </w:r>
    </w:p>
    <w:p>
      <w:pPr>
        <w:pStyle w:val="ListBullet"/>
      </w:pPr>
      <w:r>
        <w:t>不得进入 Explanation、M9 Real Flight Provider、M10 PostgreSQL、M11 frontend lifecycle。</w:t>
      </w:r>
    </w:p>
    <w:p>
      <w:pPr>
        <w:pStyle w:val="ListBullet"/>
      </w:pPr>
      <w:r>
        <w:t>不得引入 Encoder/ML/NLP framework；默认禁止新增 jieba/HanLP/transformers/torch 等 production dependency。</w:t>
      </w:r>
    </w:p>
    <w:p>
      <w:pPr>
        <w:pStyle w:val="ListBullet"/>
      </w:pPr>
      <w:r>
        <w:t>不得建设 generic rule engine、generic semantic DSL 或大范围无关重构。</w:t>
      </w:r>
    </w:p>
    <w:p>
      <w:pPr>
        <w:pStyle w:val="ListBullet"/>
      </w:pPr>
      <w:r>
        <w:t>不得为让测试变绿而修改固定 Regression expected semantics、弱化 P0 gate、扩大 architecture allowlist。</w:t>
      </w:r>
    </w:p>
    <w:p>
      <w:pPr>
        <w:pStyle w:val="ListBullet"/>
      </w:pPr>
      <w:r>
        <w:t>不得创建新的 authoritative Domain ID、RequirementVersion、RequirementState 或直接 commit API。</w:t>
      </w:r>
    </w:p>
    <w:p>
      <w:pPr>
        <w:pStyle w:val="Heading1"/>
      </w:pPr>
      <w:r>
        <w:t>12. Type Stability /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建议 Public Application Contract</w:t>
            </w:r>
          </w:p>
        </w:tc>
        <w:tc>
          <w:tcPr>
            <w:tcW w:type="dxa" w:w="5040"/>
            <w:shd w:fill="D9EAF7"/>
          </w:tcPr>
          <w:p>
            <w:r>
              <w:t>Implementation-private</w:t>
            </w:r>
          </w:p>
        </w:tc>
      </w:tr>
      <w:tr>
        <w:tc>
          <w:tcPr>
            <w:tcW w:type="dxa" w:w="5040"/>
            <w:vAlign w:val="center"/>
          </w:tcPr>
          <w:p>
            <w:r>
              <w:t>SemanticEvidence</w:t>
            </w:r>
          </w:p>
        </w:tc>
        <w:tc>
          <w:tcPr>
            <w:tcW w:type="dxa" w:w="5040"/>
            <w:vAlign w:val="center"/>
          </w:tcPr>
          <w:p>
            <w:r>
              <w:t>ExtractedToken</w:t>
            </w:r>
          </w:p>
        </w:tc>
      </w:tr>
      <w:tr>
        <w:tc>
          <w:tcPr>
            <w:tcW w:type="dxa" w:w="5040"/>
            <w:vAlign w:val="center"/>
          </w:tcPr>
          <w:p>
            <w:r>
              <w:t>PatchSemanticIR</w:t>
            </w:r>
          </w:p>
        </w:tc>
        <w:tc>
          <w:tcPr>
            <w:tcW w:type="dxa" w:w="5040"/>
            <w:vAlign w:val="center"/>
          </w:tcPr>
          <w:p>
            <w:r>
              <w:t>PatternMatch</w:t>
            </w:r>
          </w:p>
        </w:tc>
      </w:tr>
      <w:tr>
        <w:tc>
          <w:tcPr>
            <w:tcW w:type="dxa" w:w="5040"/>
            <w:vAlign w:val="center"/>
          </w:tcPr>
          <w:p>
            <w:r>
              <w:t>SemanticMutation</w:t>
            </w:r>
          </w:p>
        </w:tc>
        <w:tc>
          <w:tcPr>
            <w:tcW w:type="dxa" w:w="5040"/>
            <w:vAlign w:val="center"/>
          </w:tcPr>
          <w:p>
            <w:r>
              <w:t>CorrectionCandidate</w:t>
            </w:r>
          </w:p>
        </w:tc>
      </w:tr>
      <w:tr>
        <w:tc>
          <w:tcPr>
            <w:tcW w:type="dxa" w:w="5040"/>
            <w:vAlign w:val="center"/>
          </w:tcPr>
          <w:p>
            <w:r>
              <w:t>SemanticAssertion</w:t>
            </w:r>
          </w:p>
        </w:tc>
        <w:tc>
          <w:tcPr>
            <w:tcW w:type="dxa" w:w="5040"/>
            <w:vAlign w:val="center"/>
          </w:tcPr>
          <w:p>
            <w:r>
              <w:t>RuleMatch / score</w:t>
            </w:r>
          </w:p>
        </w:tc>
      </w:tr>
      <w:tr>
        <w:tc>
          <w:tcPr>
            <w:tcW w:type="dxa" w:w="5040"/>
            <w:vAlign w:val="center"/>
          </w:tcPr>
          <w:p>
            <w:r>
              <w:t>ResolutionDisposition</w:t>
            </w:r>
          </w:p>
        </w:tc>
        <w:tc>
          <w:tcPr>
            <w:tcW w:type="dxa" w:w="5040"/>
            <w:vAlign w:val="center"/>
          </w:tcPr>
          <w:p>
            <w:r>
              <w:t>regex/pattern registry internals</w:t>
            </w:r>
          </w:p>
        </w:tc>
      </w:tr>
      <w:tr>
        <w:tc>
          <w:tcPr>
            <w:tcW w:type="dxa" w:w="5040"/>
            <w:vAlign w:val="center"/>
          </w:tcPr>
          <w:p>
            <w:r>
              <w:t>SemanticAmbiguity / unresolved issue</w:t>
            </w:r>
          </w:p>
        </w:tc>
        <w:tc>
          <w:tcPr>
            <w:tcW w:type="dxa" w:w="5040"/>
            <w:vAlign w:val="center"/>
          </w:tcPr>
          <w:p>
            <w:r>
              <w:t>temporary parser helper DTOs</w:t>
            </w:r>
          </w:p>
        </w:tc>
      </w:tr>
    </w:tbl>
    <w:p>
      <w:r>
        <w:t>Existing PatchRequirementProposal、PatchSet、RequirementState、ConstraintId/PreferenceId、RequirementVersion 必须复用既有定义，不得在 Hybrid 模块复制。</w:t>
      </w:r>
    </w:p>
    <w:p>
      <w:pPr>
        <w:pStyle w:val="Heading1"/>
      </w:pPr>
      <w:r>
        <w:t>13. Required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层</w:t>
            </w:r>
          </w:p>
        </w:tc>
        <w:tc>
          <w:tcPr>
            <w:tcW w:type="dxa" w:w="3360"/>
            <w:shd w:fill="D9EAF7"/>
          </w:tcPr>
          <w:p>
            <w:r>
              <w:t>范围</w:t>
            </w:r>
          </w:p>
        </w:tc>
        <w:tc>
          <w:tcPr>
            <w:tcW w:type="dxa" w:w="3360"/>
            <w:shd w:fill="D9EAF7"/>
          </w:tcPr>
          <w:p>
            <w:r>
              <w:t>最低要求</w:t>
            </w:r>
          </w:p>
        </w:tc>
      </w:tr>
      <w:tr>
        <w:tc>
          <w:tcPr>
            <w:tcW w:type="dxa" w:w="3360"/>
            <w:vAlign w:val="center"/>
          </w:tcPr>
          <w:p>
            <w:r>
              <w:t>T1 Extractor Unit</w:t>
            </w:r>
          </w:p>
        </w:tc>
        <w:tc>
          <w:tcPr>
            <w:tcW w:type="dxa" w:w="3360"/>
            <w:vAlign w:val="center"/>
          </w:tcPr>
          <w:p>
            <w:r>
              <w:t>User text → SemanticEvidence</w:t>
            </w:r>
          </w:p>
        </w:tc>
        <w:tc>
          <w:tcPr>
            <w:tcW w:type="dxa" w:w="3360"/>
            <w:vAlign w:val="center"/>
          </w:tcPr>
          <w:p>
            <w:r>
              <w:t>evidence kind/text/id/provenance；不产生 Domain authority</w:t>
            </w:r>
          </w:p>
        </w:tc>
      </w:tr>
      <w:tr>
        <w:tc>
          <w:tcPr>
            <w:tcW w:type="dxa" w:w="3360"/>
            <w:vAlign w:val="center"/>
          </w:tcPr>
          <w:p>
            <w:r>
              <w:t>T2 Interpreter / Consolidator</w:t>
            </w:r>
          </w:p>
        </w:tc>
        <w:tc>
          <w:tcPr>
            <w:tcW w:type="dxa" w:w="3360"/>
            <w:vAlign w:val="center"/>
          </w:tcPr>
          <w:p>
            <w:r>
              <w:t>Evidence → Mutation/Assertion → disposition</w:t>
            </w:r>
          </w:p>
        </w:tc>
        <w:tc>
          <w:tcPr>
            <w:tcW w:type="dxa" w:w="3360"/>
            <w:vAlign w:val="center"/>
          </w:tcPr>
          <w:p>
            <w:r>
              <w:t>D/C/L；correction；ambiguity；conflict；preservation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T3 Builder / M3 Integration</w:t>
            </w:r>
          </w:p>
        </w:tc>
        <w:tc>
          <w:tcPr>
            <w:tcW w:type="dxa" w:w="3360"/>
            <w:vAlign w:val="center"/>
          </w:tcPr>
          <w:p>
            <w:r>
              <w:t>Resolved IR → Proposal → M3 outcome</w:t>
            </w:r>
          </w:p>
        </w:tc>
        <w:tc>
          <w:tcPr>
            <w:tcW w:type="dxa" w:w="3360"/>
            <w:vAlign w:val="center"/>
          </w:tcPr>
          <w:p>
            <w:r>
              <w:t>ADD/REPLACE/REMOVE/CLEAR；Hard↔Soft；atomicity；canonical no-op</w:t>
            </w:r>
          </w:p>
        </w:tc>
      </w:tr>
      <w:tr>
        <w:tc>
          <w:tcPr>
            <w:tcW w:type="dxa" w:w="3360"/>
            <w:vAlign w:val="center"/>
          </w:tcPr>
          <w:p>
            <w:r>
              <w:t>T4 Negative Architecture / Safety</w:t>
            </w:r>
          </w:p>
        </w:tc>
        <w:tc>
          <w:tcPr>
            <w:tcW w:type="dxa" w:w="3360"/>
            <w:vAlign w:val="center"/>
          </w:tcPr>
          <w:p>
            <w:r>
              <w:t>Forbidden dependency/authority</w:t>
            </w:r>
          </w:p>
        </w:tc>
        <w:tc>
          <w:tcPr>
            <w:tcW w:type="dxa" w:w="3360"/>
            <w:vAlign w:val="center"/>
          </w:tcPr>
          <w:p>
            <w:r>
              <w:t>no Real LLM；no direct commit；no Domain ID/version creation；partial/ambiguous cannot commit</w:t>
            </w:r>
          </w:p>
        </w:tc>
      </w:tr>
    </w:tbl>
    <w:p>
      <w:r>
        <w:t>普通 CI 必须能够离线运行。U6H-A 不增加任何真实 Cloud smoke/eval 依赖。</w:t>
      </w:r>
    </w:p>
    <w:p>
      <w:pPr>
        <w:pStyle w:val="Heading1"/>
      </w:pPr>
      <w:r>
        <w:t>14. Golden Scenarios A01～A16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GS</w:t>
            </w:r>
          </w:p>
        </w:tc>
        <w:tc>
          <w:tcPr>
            <w:tcW w:type="dxa" w:w="2520"/>
            <w:shd w:fill="D9EAF7"/>
          </w:tcPr>
          <w:p>
            <w:r>
              <w:t>User Patch</w:t>
            </w:r>
          </w:p>
        </w:tc>
        <w:tc>
          <w:tcPr>
            <w:tcW w:type="dxa" w:w="2520"/>
            <w:shd w:fill="D9EAF7"/>
          </w:tcPr>
          <w:p>
            <w:r>
              <w:t>Class</w:t>
            </w:r>
          </w:p>
        </w:tc>
        <w:tc>
          <w:tcPr>
            <w:tcW w:type="dxa" w:w="2520"/>
            <w:shd w:fill="D9EAF7"/>
          </w:tcPr>
          <w:p>
            <w:r>
              <w:t>Expected</w:t>
            </w:r>
          </w:p>
        </w:tc>
      </w:tr>
      <w:tr>
        <w:tc>
          <w:tcPr>
            <w:tcW w:type="dxa" w:w="2520"/>
            <w:vAlign w:val="center"/>
          </w:tcPr>
          <w:p>
            <w:r>
              <w:t>A01</w:t>
            </w:r>
          </w:p>
        </w:tc>
        <w:tc>
          <w:tcPr>
            <w:tcW w:type="dxa" w:w="2520"/>
            <w:vAlign w:val="center"/>
          </w:tcPr>
          <w:p>
            <w:r>
              <w:t>预算改到1200</w:t>
            </w:r>
          </w:p>
        </w:tc>
        <w:tc>
          <w:tcPr>
            <w:tcW w:type="dxa" w:w="2520"/>
            <w:vAlign w:val="center"/>
          </w:tcPr>
          <w:p>
            <w:r>
              <w:t>D</w:t>
            </w:r>
          </w:p>
        </w:tc>
        <w:tc>
          <w:tcPr>
            <w:tcW w:type="dxa" w:w="2520"/>
            <w:vAlign w:val="center"/>
          </w:tcPr>
          <w:p>
            <w:r>
              <w:t>SET → ADD/REPLACE；只改 MAX_PRICE</w:t>
            </w:r>
          </w:p>
        </w:tc>
      </w:tr>
      <w:tr>
        <w:tc>
          <w:tcPr>
            <w:tcW w:type="dxa" w:w="2520"/>
            <w:vAlign w:val="center"/>
          </w:tcPr>
          <w:p>
            <w:r>
              <w:t>A02</w:t>
            </w:r>
          </w:p>
        </w:tc>
        <w:tc>
          <w:tcPr>
            <w:tcW w:type="dxa" w:w="2520"/>
            <w:vAlign w:val="center"/>
          </w:tcPr>
          <w:p>
            <w:r>
              <w:t>不要超过1200</w:t>
            </w:r>
          </w:p>
        </w:tc>
        <w:tc>
          <w:tcPr>
            <w:tcW w:type="dxa" w:w="2520"/>
            <w:vAlign w:val="center"/>
          </w:tcPr>
          <w:p>
            <w:r>
              <w:t>D</w:t>
            </w:r>
          </w:p>
        </w:tc>
        <w:tc>
          <w:tcPr>
            <w:tcW w:type="dxa" w:w="2520"/>
            <w:vAlign w:val="center"/>
          </w:tcPr>
          <w:p>
            <w:r>
              <w:t>MAX_PRICE + LTE + HARD evidence</w:t>
            </w:r>
          </w:p>
        </w:tc>
      </w:tr>
      <w:tr>
        <w:tc>
          <w:tcPr>
            <w:tcW w:type="dxa" w:w="2520"/>
            <w:vAlign w:val="center"/>
          </w:tcPr>
          <w:p>
            <w:r>
              <w:t>A03</w:t>
            </w:r>
          </w:p>
        </w:tc>
        <w:tc>
          <w:tcPr>
            <w:tcW w:type="dxa" w:w="2520"/>
            <w:vAlign w:val="center"/>
          </w:tcPr>
          <w:p>
            <w:r>
              <w:t>预算还是1500</w:t>
            </w:r>
          </w:p>
        </w:tc>
        <w:tc>
          <w:tcPr>
            <w:tcW w:type="dxa" w:w="2520"/>
            <w:vAlign w:val="center"/>
          </w:tcPr>
          <w:p>
            <w:r>
              <w:t>D</w:t>
            </w:r>
          </w:p>
        </w:tc>
        <w:tc>
          <w:tcPr>
            <w:tcW w:type="dxa" w:w="2520"/>
            <w:vAlign w:val="center"/>
          </w:tcPr>
          <w:p>
            <w:r>
              <w:t>preservation/current assertion；canonical no-op 由 M3 判断</w:t>
            </w:r>
          </w:p>
        </w:tc>
      </w:tr>
      <w:tr>
        <w:tc>
          <w:tcPr>
            <w:tcW w:type="dxa" w:w="2520"/>
            <w:vAlign w:val="center"/>
          </w:tcPr>
          <w:p>
            <w:r>
              <w:t>A04</w:t>
            </w:r>
          </w:p>
        </w:tc>
        <w:tc>
          <w:tcPr>
            <w:tcW w:type="dxa" w:w="2520"/>
            <w:vAlign w:val="center"/>
          </w:tcPr>
          <w:p>
            <w:r>
              <w:t>取消预算限制</w:t>
            </w:r>
          </w:p>
        </w:tc>
        <w:tc>
          <w:tcPr>
            <w:tcW w:type="dxa" w:w="2520"/>
            <w:vAlign w:val="center"/>
          </w:tcPr>
          <w:p>
            <w:r>
              <w:t>D</w:t>
            </w:r>
          </w:p>
        </w:tc>
        <w:tc>
          <w:tcPr>
            <w:tcW w:type="dxa" w:w="2520"/>
            <w:vAlign w:val="center"/>
          </w:tcPr>
          <w:p>
            <w:r>
              <w:t>REMOVE unique price constraint</w:t>
            </w:r>
          </w:p>
        </w:tc>
      </w:tr>
      <w:tr>
        <w:tc>
          <w:tcPr>
            <w:tcW w:type="dxa" w:w="2520"/>
            <w:vAlign w:val="center"/>
          </w:tcPr>
          <w:p>
            <w:r>
              <w:t>A05</w:t>
            </w:r>
          </w:p>
        </w:tc>
        <w:tc>
          <w:tcPr>
            <w:tcW w:type="dxa" w:w="2520"/>
            <w:vAlign w:val="center"/>
          </w:tcPr>
          <w:p>
            <w:r>
              <w:t>必须直飞</w:t>
            </w:r>
          </w:p>
        </w:tc>
        <w:tc>
          <w:tcPr>
            <w:tcW w:type="dxa" w:w="2520"/>
            <w:vAlign w:val="center"/>
          </w:tcPr>
          <w:p>
            <w:r>
              <w:t>D</w:t>
            </w:r>
          </w:p>
        </w:tc>
        <w:tc>
          <w:tcPr>
            <w:tcW w:type="dxa" w:w="2520"/>
            <w:vAlign w:val="center"/>
          </w:tcPr>
          <w:p>
            <w:r>
              <w:t>DIRECT_FLIGHT HARD</w:t>
            </w:r>
          </w:p>
        </w:tc>
      </w:tr>
      <w:tr>
        <w:tc>
          <w:tcPr>
            <w:tcW w:type="dxa" w:w="2520"/>
            <w:vAlign w:val="center"/>
          </w:tcPr>
          <w:p>
            <w:r>
              <w:t>A06</w:t>
            </w:r>
          </w:p>
        </w:tc>
        <w:tc>
          <w:tcPr>
            <w:tcW w:type="dxa" w:w="2520"/>
            <w:vAlign w:val="center"/>
          </w:tcPr>
          <w:p>
            <w:r>
              <w:t>最好直飞</w:t>
            </w:r>
          </w:p>
        </w:tc>
        <w:tc>
          <w:tcPr>
            <w:tcW w:type="dxa" w:w="2520"/>
            <w:vAlign w:val="center"/>
          </w:tcPr>
          <w:p>
            <w:r>
              <w:t>D</w:t>
            </w:r>
          </w:p>
        </w:tc>
        <w:tc>
          <w:tcPr>
            <w:tcW w:type="dxa" w:w="2520"/>
            <w:vAlign w:val="center"/>
          </w:tcPr>
          <w:p>
            <w:r>
              <w:t>DIRECT_FLIGHT SOFT</w:t>
            </w:r>
          </w:p>
        </w:tc>
      </w:tr>
      <w:tr>
        <w:tc>
          <w:tcPr>
            <w:tcW w:type="dxa" w:w="2520"/>
            <w:vAlign w:val="center"/>
          </w:tcPr>
          <w:p>
            <w:r>
              <w:t>A07</w:t>
            </w:r>
          </w:p>
        </w:tc>
        <w:tc>
          <w:tcPr>
            <w:tcW w:type="dxa" w:w="2520"/>
            <w:vAlign w:val="center"/>
          </w:tcPr>
          <w:p>
            <w:r>
              <w:t>直飞不用必须，最好就行</w:t>
            </w:r>
          </w:p>
        </w:tc>
        <w:tc>
          <w:tcPr>
            <w:tcW w:type="dxa" w:w="2520"/>
            <w:vAlign w:val="center"/>
          </w:tcPr>
          <w:p>
            <w:r>
              <w:t>D</w:t>
            </w:r>
          </w:p>
        </w:tc>
        <w:tc>
          <w:tcPr>
            <w:tcW w:type="dxa" w:w="2520"/>
            <w:vAlign w:val="center"/>
          </w:tcPr>
          <w:p>
            <w:r>
              <w:t>atomic Hard→Soft REMOVE+ADD</w:t>
            </w:r>
          </w:p>
        </w:tc>
      </w:tr>
      <w:tr>
        <w:tc>
          <w:tcPr>
            <w:tcW w:type="dxa" w:w="2520"/>
            <w:vAlign w:val="center"/>
          </w:tcPr>
          <w:p>
            <w:r>
              <w:t>A08</w:t>
            </w:r>
          </w:p>
        </w:tc>
        <w:tc>
          <w:tcPr>
            <w:tcW w:type="dxa" w:w="2520"/>
            <w:vAlign w:val="center"/>
          </w:tcPr>
          <w:p>
            <w:r>
              <w:t>1500……不对，1200</w:t>
            </w:r>
          </w:p>
        </w:tc>
        <w:tc>
          <w:tcPr>
            <w:tcW w:type="dxa" w:w="2520"/>
            <w:vAlign w:val="center"/>
          </w:tcPr>
          <w:p>
            <w:r>
              <w:t>D</w:t>
            </w:r>
          </w:p>
        </w:tc>
        <w:tc>
          <w:tcPr>
            <w:tcW w:type="dxa" w:w="2520"/>
            <w:vAlign w:val="center"/>
          </w:tcPr>
          <w:p>
            <w:r>
              <w:t>explicit correction collapse</w:t>
            </w:r>
          </w:p>
        </w:tc>
      </w:tr>
      <w:tr>
        <w:tc>
          <w:tcPr>
            <w:tcW w:type="dxa" w:w="2520"/>
            <w:vAlign w:val="center"/>
          </w:tcPr>
          <w:p>
            <w:r>
              <w:t>A09</w:t>
            </w:r>
          </w:p>
        </w:tc>
        <w:tc>
          <w:tcPr>
            <w:tcW w:type="dxa" w:w="2520"/>
            <w:vAlign w:val="center"/>
          </w:tcPr>
          <w:p>
            <w:r>
              <w:t>预算1200，必须直飞</w:t>
            </w:r>
          </w:p>
        </w:tc>
        <w:tc>
          <w:tcPr>
            <w:tcW w:type="dxa" w:w="2520"/>
            <w:vAlign w:val="center"/>
          </w:tcPr>
          <w:p>
            <w:r>
              <w:t>D</w:t>
            </w:r>
          </w:p>
        </w:tc>
        <w:tc>
          <w:tcPr>
            <w:tcW w:type="dxa" w:w="2520"/>
            <w:vAlign w:val="center"/>
          </w:tcPr>
          <w:p>
            <w:r>
              <w:t>multi-mutation；one message transaction</w:t>
            </w:r>
          </w:p>
        </w:tc>
      </w:tr>
      <w:tr>
        <w:tc>
          <w:tcPr>
            <w:tcW w:type="dxa" w:w="2520"/>
            <w:vAlign w:val="center"/>
          </w:tcPr>
          <w:p>
            <w:r>
              <w:t>A10</w:t>
            </w:r>
          </w:p>
        </w:tc>
        <w:tc>
          <w:tcPr>
            <w:tcW w:type="dxa" w:w="2520"/>
            <w:vAlign w:val="center"/>
          </w:tcPr>
          <w:p>
            <w:r>
              <w:t>预算稍微放宽一点</w:t>
            </w:r>
          </w:p>
        </w:tc>
        <w:tc>
          <w:tcPr>
            <w:tcW w:type="dxa" w:w="2520"/>
            <w:vAlign w:val="center"/>
          </w:tcPr>
          <w:p>
            <w:r>
              <w:t>C</w:t>
            </w:r>
          </w:p>
        </w:tc>
        <w:tc>
          <w:tcPr>
            <w:tcW w:type="dxa" w:w="2520"/>
            <w:vAlign w:val="center"/>
          </w:tcPr>
          <w:p>
            <w:r>
              <w:t>missing exact value；clarification；不得猜金额</w:t>
            </w:r>
          </w:p>
        </w:tc>
      </w:tr>
      <w:tr>
        <w:tc>
          <w:tcPr>
            <w:tcW w:type="dxa" w:w="2520"/>
            <w:vAlign w:val="center"/>
          </w:tcPr>
          <w:p>
            <w:r>
              <w:t>A11</w:t>
            </w:r>
          </w:p>
        </w:tc>
        <w:tc>
          <w:tcPr>
            <w:tcW w:type="dxa" w:w="2520"/>
            <w:vAlign w:val="center"/>
          </w:tcPr>
          <w:p>
            <w:r>
              <w:t>把那个限制删掉</w:t>
            </w:r>
          </w:p>
        </w:tc>
        <w:tc>
          <w:tcPr>
            <w:tcW w:type="dxa" w:w="2520"/>
            <w:vAlign w:val="center"/>
          </w:tcPr>
          <w:p>
            <w:r>
              <w:t>C</w:t>
            </w:r>
          </w:p>
        </w:tc>
        <w:tc>
          <w:tcPr>
            <w:tcW w:type="dxa" w:w="2520"/>
            <w:vAlign w:val="center"/>
          </w:tcPr>
          <w:p>
            <w:r>
              <w:t>多个 target 时 clarification</w:t>
            </w:r>
          </w:p>
        </w:tc>
      </w:tr>
      <w:tr>
        <w:tc>
          <w:tcPr>
            <w:tcW w:type="dxa" w:w="2520"/>
            <w:vAlign w:val="center"/>
          </w:tcPr>
          <w:p>
            <w:r>
              <w:t>A12</w:t>
            </w:r>
          </w:p>
        </w:tc>
        <w:tc>
          <w:tcPr>
            <w:tcW w:type="dxa" w:w="2520"/>
            <w:vAlign w:val="center"/>
          </w:tcPr>
          <w:p>
            <w:r>
              <w:t>1200或者1500都行</w:t>
            </w:r>
          </w:p>
        </w:tc>
        <w:tc>
          <w:tcPr>
            <w:tcW w:type="dxa" w:w="2520"/>
            <w:vAlign w:val="center"/>
          </w:tcPr>
          <w:p>
            <w:r>
              <w:t>C</w:t>
            </w:r>
          </w:p>
        </w:tc>
        <w:tc>
          <w:tcPr>
            <w:tcW w:type="dxa" w:w="2520"/>
            <w:vAlign w:val="center"/>
          </w:tcPr>
          <w:p>
            <w:r>
              <w:t>alternative unsupported/ambiguous；不得任选</w:t>
            </w:r>
          </w:p>
        </w:tc>
      </w:tr>
      <w:tr>
        <w:tc>
          <w:tcPr>
            <w:tcW w:type="dxa" w:w="2520"/>
            <w:vAlign w:val="center"/>
          </w:tcPr>
          <w:p>
            <w:r>
              <w:t>A13</w:t>
            </w:r>
          </w:p>
        </w:tc>
        <w:tc>
          <w:tcPr>
            <w:tcW w:type="dxa" w:w="2520"/>
            <w:vAlign w:val="center"/>
          </w:tcPr>
          <w:p>
            <w:r>
              <w:t>直飞不用那么严格，如果转一次能便宜很多也可以</w:t>
            </w:r>
          </w:p>
        </w:tc>
        <w:tc>
          <w:tcPr>
            <w:tcW w:type="dxa" w:w="2520"/>
            <w:vAlign w:val="center"/>
          </w:tcPr>
          <w:p>
            <w:r>
              <w:t>L</w:t>
            </w:r>
          </w:p>
        </w:tc>
        <w:tc>
          <w:tcPr>
            <w:tcW w:type="dxa" w:w="2520"/>
            <w:vAlign w:val="center"/>
          </w:tcPr>
          <w:p>
            <w:r>
              <w:t>SEMANTIC_RESOLVER_REQUIRED</w:t>
            </w:r>
          </w:p>
        </w:tc>
      </w:tr>
      <w:tr>
        <w:tc>
          <w:tcPr>
            <w:tcW w:type="dxa" w:w="2520"/>
            <w:vAlign w:val="center"/>
          </w:tcPr>
          <w:p>
            <w:r>
              <w:t>A14</w:t>
            </w:r>
          </w:p>
        </w:tc>
        <w:tc>
          <w:tcPr>
            <w:tcW w:type="dxa" w:w="2520"/>
            <w:vAlign w:val="center"/>
          </w:tcPr>
          <w:p>
            <w:r>
              <w:t>价格别卡那么死，直飞还是更重要</w:t>
            </w:r>
          </w:p>
        </w:tc>
        <w:tc>
          <w:tcPr>
            <w:tcW w:type="dxa" w:w="2520"/>
            <w:vAlign w:val="center"/>
          </w:tcPr>
          <w:p>
            <w:r>
              <w:t>L</w:t>
            </w:r>
          </w:p>
        </w:tc>
        <w:tc>
          <w:tcPr>
            <w:tcW w:type="dxa" w:w="2520"/>
            <w:vAlign w:val="center"/>
          </w:tcPr>
          <w:p>
            <w:r>
              <w:t>SEMANTIC_RESOLVER_REQUIRED</w:t>
            </w:r>
          </w:p>
        </w:tc>
      </w:tr>
      <w:tr>
        <w:tc>
          <w:tcPr>
            <w:tcW w:type="dxa" w:w="2520"/>
            <w:vAlign w:val="center"/>
          </w:tcPr>
          <w:p>
            <w:r>
              <w:t>A15</w:t>
            </w:r>
          </w:p>
        </w:tc>
        <w:tc>
          <w:tcPr>
            <w:tcW w:type="dxa" w:w="2520"/>
            <w:vAlign w:val="center"/>
          </w:tcPr>
          <w:p>
            <w:r>
              <w:t>预算改1200，日期改下周那个时间</w:t>
            </w:r>
          </w:p>
        </w:tc>
        <w:tc>
          <w:tcPr>
            <w:tcW w:type="dxa" w:w="2520"/>
            <w:vAlign w:val="center"/>
          </w:tcPr>
          <w:p>
            <w:r>
              <w:t>C/partial</w:t>
            </w:r>
          </w:p>
        </w:tc>
        <w:tc>
          <w:tcPr>
            <w:tcW w:type="dxa" w:w="2520"/>
            <w:vAlign w:val="center"/>
          </w:tcPr>
          <w:p>
            <w:r>
              <w:t>保留 resolved evidence；no partial commit</w:t>
            </w:r>
          </w:p>
        </w:tc>
      </w:tr>
      <w:tr>
        <w:tc>
          <w:tcPr>
            <w:tcW w:type="dxa" w:w="2520"/>
            <w:vAlign w:val="center"/>
          </w:tcPr>
          <w:p>
            <w:r>
              <w:t>A16</w:t>
            </w:r>
          </w:p>
        </w:tc>
        <w:tc>
          <w:tcPr>
            <w:tcW w:type="dxa" w:w="2520"/>
            <w:vAlign w:val="center"/>
          </w:tcPr>
          <w:p>
            <w:r>
              <w:t>预算改1200，其他不变</w:t>
            </w:r>
          </w:p>
        </w:tc>
        <w:tc>
          <w:tcPr>
            <w:tcW w:type="dxa" w:w="2520"/>
            <w:vAlign w:val="center"/>
          </w:tcPr>
          <w:p>
            <w:r>
              <w:t>D</w:t>
            </w:r>
          </w:p>
        </w:tc>
        <w:tc>
          <w:tcPr>
            <w:tcW w:type="dxa" w:w="2520"/>
            <w:vAlign w:val="center"/>
          </w:tcPr>
          <w:p>
            <w:r>
              <w:t>mutation + preservation assertion；无 collateral mutation</w:t>
            </w:r>
          </w:p>
        </w:tc>
      </w:tr>
    </w:tbl>
    <w:p>
      <w:pPr>
        <w:pStyle w:val="Heading1"/>
      </w:pPr>
      <w:r>
        <w:t>15. P0 Negative Controls</w:t>
      </w:r>
    </w:p>
    <w:p>
      <w:pPr>
        <w:pStyle w:val="ListBullet"/>
      </w:pPr>
      <w:r>
        <w:t>Fabricated exact value：任何输入未给出精确金额/日期时不得构造精确 authoritative proposal。</w:t>
      </w:r>
    </w:p>
    <w:p>
      <w:pPr>
        <w:pStyle w:val="ListBullet"/>
      </w:pPr>
      <w:r>
        <w:t>Wrong target：ambiguous reference 不得猜 target。</w:t>
      </w:r>
    </w:p>
    <w:p>
      <w:pPr>
        <w:pStyle w:val="ListBullet"/>
      </w:pPr>
      <w:r>
        <w:t>Collateral mutation：只改预算不得重写路线、日期、直飞等未命中语义。</w:t>
      </w:r>
    </w:p>
    <w:p>
      <w:pPr>
        <w:pStyle w:val="ListBullet"/>
      </w:pPr>
      <w:r>
        <w:t>Hard/Soft inversion：明确“最好/必须”不得反转；跨类型转换必须 atomic REMOVE+ADD。</w:t>
      </w:r>
    </w:p>
    <w:p>
      <w:pPr>
        <w:pStyle w:val="ListBullet"/>
      </w:pPr>
      <w:r>
        <w:t>Partial commit：多 mutation 中一个 unresolved 时不得提交已解析部分。</w:t>
      </w:r>
    </w:p>
    <w:p>
      <w:pPr>
        <w:pStyle w:val="ListBullet"/>
      </w:pPr>
      <w:r>
        <w:t>Authority escape：Hybrid component 不得直接产生 PatchSet/RequirementVersion/RequirementState。</w:t>
      </w:r>
    </w:p>
    <w:p>
      <w:pPr>
        <w:pStyle w:val="ListBullet"/>
      </w:pPr>
      <w:r>
        <w:t>LLM escape：测试环境无 API key/网络时仍必须全绿；代码路径不得暗中调用 Real LLM。</w:t>
      </w:r>
    </w:p>
    <w:p>
      <w:pPr>
        <w:pStyle w:val="ListBullet"/>
      </w:pPr>
      <w:r>
        <w:t>Regression tampering：不得通过修改 golden expected outcome 迁就实现。</w:t>
      </w:r>
    </w:p>
    <w:p>
      <w:pPr>
        <w:pStyle w:val="Heading1"/>
      </w:pPr>
      <w:r>
        <w:t>16. Exit Gate G1～G16</w:t>
      </w:r>
    </w:p>
    <w:p>
      <w:pPr>
        <w:pStyle w:val="ListNumber"/>
      </w:pPr>
      <w:r>
        <w:t>G1 PatchSemanticIR typed contract implemented</w:t>
      </w:r>
    </w:p>
    <w:p>
      <w:pPr>
        <w:pStyle w:val="ListNumber"/>
      </w:pPr>
      <w:r>
        <w:t>G2 Evidence-ID-first provenance implemented</w:t>
      </w:r>
    </w:p>
    <w:p>
      <w:pPr>
        <w:pStyle w:val="ListNumber"/>
      </w:pPr>
      <w:r>
        <w:t>G3 Deterministic core Patch cases PASS</w:t>
      </w:r>
    </w:p>
    <w:p>
      <w:pPr>
        <w:pStyle w:val="ListNumber"/>
      </w:pPr>
      <w:r>
        <w:t>G4 Mutation Consolidation / explicit correction PASS</w:t>
      </w:r>
    </w:p>
    <w:p>
      <w:pPr>
        <w:pStyle w:val="ListNumber"/>
      </w:pPr>
      <w:r>
        <w:t>G5 D/C/L routing classification PASS</w:t>
      </w:r>
    </w:p>
    <w:p>
      <w:pPr>
        <w:pStyle w:val="ListNumber"/>
      </w:pPr>
      <w:r>
        <w:t>G6 Ambiguity / insufficient-value safety PASS</w:t>
      </w:r>
    </w:p>
    <w:p>
      <w:pPr>
        <w:pStyle w:val="ListNumber"/>
      </w:pPr>
      <w:r>
        <w:t>G7 Mutation Minimality / preservation PASS</w:t>
      </w:r>
    </w:p>
    <w:p>
      <w:pPr>
        <w:pStyle w:val="ListNumber"/>
      </w:pPr>
      <w:r>
        <w:t>G8 Hard↔Soft atomic conversion PASS</w:t>
      </w:r>
    </w:p>
    <w:p>
      <w:pPr>
        <w:pStyle w:val="ListNumber"/>
      </w:pPr>
      <w:r>
        <w:t>G9 Multi-mutation message atomicity PASS</w:t>
      </w:r>
    </w:p>
    <w:p>
      <w:pPr>
        <w:pStyle w:val="ListNumber"/>
      </w:pPr>
      <w:r>
        <w:t>G10 Existing M3 Proposal/Commit Authority preserved</w:t>
      </w:r>
    </w:p>
    <w:p>
      <w:pPr>
        <w:pStyle w:val="ListNumber"/>
      </w:pPr>
      <w:r>
        <w:t>G11 No partial commit from partially resolved interpretation</w:t>
      </w:r>
    </w:p>
    <w:p>
      <w:pPr>
        <w:pStyle w:val="ListNumber"/>
      </w:pPr>
      <w:r>
        <w:t>G12 No new Domain identity/version authority in Hybrid</w:t>
      </w:r>
    </w:p>
    <w:p>
      <w:pPr>
        <w:pStyle w:val="ListNumber"/>
      </w:pPr>
      <w:r>
        <w:t>G13 Real LLM zero-call / zero-credential PASS</w:t>
      </w:r>
    </w:p>
    <w:p>
      <w:pPr>
        <w:pStyle w:val="ListNumber"/>
      </w:pPr>
      <w:r>
        <w:t>G14 Existing relevant M3/M7 regression PASS</w:t>
      </w:r>
    </w:p>
    <w:p>
      <w:pPr>
        <w:pStyle w:val="ListNumber"/>
      </w:pPr>
      <w:r>
        <w:t>G15 Architecture forbidden-dependency tests PASS</w:t>
      </w:r>
    </w:p>
    <w:p>
      <w:pPr>
        <w:pStyle w:val="ListNumber"/>
      </w:pPr>
      <w:r>
        <w:t>G16 Contract Amendment = NONE</w:t>
      </w:r>
    </w:p>
    <w:p>
      <w:r>
        <w:t>Aggregate Exit Gate：G1～G16 必须全部 PASS。任何 P0 negative control failure、Real LLM dependency、M3 Authority bypass 或 Contract Amendment REQUIRED 均阻止 U6H-A closure。</w:t>
      </w:r>
    </w:p>
    <w:p>
      <w:pPr>
        <w:pStyle w:val="Heading1"/>
      </w:pPr>
      <w:r>
        <w:t>17. Definition of Done</w:t>
      </w:r>
    </w:p>
    <w:p>
      <w:pPr>
        <w:pStyle w:val="ListBullet"/>
      </w:pPr>
      <w:r>
        <w:t>实现与 tests 只覆盖本 Unit logical change boundary。</w:t>
      </w:r>
    </w:p>
    <w:p>
      <w:pPr>
        <w:pStyle w:val="ListBullet"/>
      </w:pPr>
      <w:r>
        <w:t>所有新增 stable semantic types 有明确 ownership、immutability/validation 语义与 focused tests。</w:t>
      </w:r>
    </w:p>
    <w:p>
      <w:pPr>
        <w:pStyle w:val="ListBullet"/>
      </w:pPr>
      <w:r>
        <w:t>A01～A16 按适用层级被机器化；D/C/L expected outcome 不因实现困难改变。</w:t>
      </w:r>
    </w:p>
    <w:p>
      <w:pPr>
        <w:pStyle w:val="ListBullet"/>
      </w:pPr>
      <w:r>
        <w:t>现有 M3/M7 relevant regression 与 architecture gates 通过。</w:t>
      </w:r>
    </w:p>
    <w:p>
      <w:pPr>
        <w:pStyle w:val="ListBullet"/>
      </w:pPr>
      <w:r>
        <w:t>不新增 Real LLM runtime dependency / credential requirement。</w:t>
      </w:r>
    </w:p>
    <w:p>
      <w:pPr>
        <w:pStyle w:val="ListBullet"/>
      </w:pPr>
      <w:r>
        <w:t>代码 diff 完成 self-review；无 debug artifact、临时 fixture、secret 或 execution report 进入 Git。</w:t>
      </w:r>
    </w:p>
    <w:p>
      <w:pPr>
        <w:pStyle w:val="ListBullet"/>
      </w:pPr>
      <w:r>
        <w:t>若 Repository 统一 CI 命令存在，必须运行并记录结果。</w:t>
      </w:r>
    </w:p>
    <w:p>
      <w:pPr>
        <w:pStyle w:val="Heading1"/>
      </w:pPr>
      <w:r>
        <w:t>18. Contract Amendment Stop Conditions</w:t>
      </w:r>
    </w:p>
    <w:p>
      <w:r>
        <w:t>出现以下任一事实必须 STOP，不得由 Codex 自行决定：</w:t>
      </w:r>
    </w:p>
    <w:p>
      <w:pPr>
        <w:pStyle w:val="ListBullet"/>
      </w:pPr>
      <w:r>
        <w:t>现有 PatchRequirementProposal 无法表达 U6H-A 必要 proposal-level semantics，且需要非 additive Contract 变化。</w:t>
      </w:r>
    </w:p>
    <w:p>
      <w:pPr>
        <w:pStyle w:val="ListBullet"/>
      </w:pPr>
      <w:r>
        <w:t>需要修改 M3 Patch operation legality、typed identity、atomic apply、semantic no-op 或 base-version/CAS 规则。</w:t>
      </w:r>
    </w:p>
    <w:p>
      <w:pPr>
        <w:pStyle w:val="ListBullet"/>
      </w:pPr>
      <w:r>
        <w:t>需要修改 M2 RequirementState / Constraint / Preference stable semantics。</w:t>
      </w:r>
    </w:p>
    <w:p>
      <w:pPr>
        <w:pStyle w:val="ListBullet"/>
      </w:pPr>
      <w:r>
        <w:t>需要新增/修改 Public WorkflowState、Public API 或 Architecture dependency rule 才能继续。</w:t>
      </w:r>
    </w:p>
    <w:p>
      <w:pPr>
        <w:pStyle w:val="ListBullet"/>
      </w:pPr>
      <w:r>
        <w:t>需要通过真实 LLM 才能让 D-class deterministic golden case 通过。</w:t>
      </w:r>
    </w:p>
    <w:p>
      <w:r>
        <w:t>标准流程：STOP → Evidence → Impact → Options → Recommended Amendment → Human Decision → Tests/Docs Update → Resume。</w:t>
      </w:r>
    </w:p>
    <w:p>
      <w:pPr>
        <w:pStyle w:val="Heading1"/>
      </w:pPr>
      <w:r>
        <w:t>19. Implementation Sequencing Guidance</w:t>
      </w:r>
    </w:p>
    <w:p>
      <w:pPr>
        <w:pStyle w:val="ListNumber"/>
      </w:pPr>
      <w:r>
        <w:t>Inspect Authority + repository current M3/M8 seams；先做 gap analysis，不凭本文猜目录。</w:t>
      </w:r>
    </w:p>
    <w:p>
      <w:pPr>
        <w:pStyle w:val="ListNumber"/>
      </w:pPr>
      <w:r>
        <w:t>先实现最小 SemanticEvidence / IR / disposition contracts 与 focused tests。</w:t>
      </w:r>
    </w:p>
    <w:p>
      <w:pPr>
        <w:pStyle w:val="ListNumber"/>
      </w:pPr>
      <w:r>
        <w:t>实现 extractor + deterministic interpreter；先使 D/C routing 通过。</w:t>
      </w:r>
    </w:p>
    <w:p>
      <w:pPr>
        <w:pStyle w:val="ListNumber"/>
      </w:pPr>
      <w:r>
        <w:t>实现 consolidator + correction / ambiguity / preservation tests。</w:t>
      </w:r>
    </w:p>
    <w:p>
      <w:pPr>
        <w:pStyle w:val="ListNumber"/>
      </w:pPr>
      <w:r>
        <w:t>实现 SemanticIRToPatchProposalBuilder，与 existing M3 proposal/transition 做最小 integration。</w:t>
      </w:r>
    </w:p>
    <w:p>
      <w:pPr>
        <w:pStyle w:val="ListNumber"/>
      </w:pPr>
      <w:r>
        <w:t>补齐 Hard↔Soft、multi-mutation atomicity、canonical no-op 与 negative controls。</w:t>
      </w:r>
    </w:p>
    <w:p>
      <w:pPr>
        <w:pStyle w:val="ListNumber"/>
      </w:pPr>
      <w:r>
        <w:t>执行 relevant architecture/regression/unified CI；确认 zero-call/zero-credential。</w:t>
      </w:r>
    </w:p>
    <w:p>
      <w:pPr>
        <w:pStyle w:val="ListNumber"/>
      </w:pPr>
      <w:r>
        <w:t>只有 G1～G16 全 PASS 才允许 closure。</w:t>
      </w:r>
    </w:p>
    <w:p>
      <w:pPr>
        <w:pStyle w:val="Heading1"/>
      </w:pPr>
      <w:r>
        <w:t>20. Repository / Document Governance</w:t>
      </w:r>
    </w:p>
    <w:p>
      <w:pPr>
        <w:pStyle w:val="ListBullet"/>
      </w:pPr>
      <w:r>
        <w:t>本 Specification 属于正式治理资产候选；用户将其放入 Repository 当前约定的 M8 milestone 路径后，Codex 应按 EXPECTED GOVERNANCE ARTIFACT 接纳并单独/清晰 commit。</w:t>
      </w:r>
    </w:p>
    <w:p>
      <w:pPr>
        <w:pStyle w:val="ListBullet"/>
      </w:pPr>
      <w:r>
        <w:t>具体路径必须以当前 DOCUMENT_AUTHORITY / project-docs convention 为准，不由 Prompt 凭空创造。</w:t>
      </w:r>
    </w:p>
    <w:p>
      <w:pPr>
        <w:pStyle w:val="ListBullet"/>
      </w:pPr>
      <w:r>
        <w:t>后续 Codex execution prompt 默认 Markdown，LOCAL-ONLY，不进入 Repository；Execution Report 同样默认不入库。</w:t>
      </w:r>
    </w:p>
    <w:p>
      <w:pPr>
        <w:pStyle w:val="ListBullet"/>
      </w:pPr>
      <w:r>
        <w:t>成功实施默认遵循项目 Git Governance：commit + push + remote verification + clean working tree；除非真实 blocker。</w:t>
      </w:r>
    </w:p>
    <w:p>
      <w:pPr>
        <w:pStyle w:val="Heading1"/>
      </w:pPr>
      <w:r>
        <w:t>21. Required Codex Final Evidence</w:t>
      </w:r>
    </w:p>
    <w:p>
      <w:r>
        <w:rPr>
          <w:rFonts w:ascii="Consolas" w:hAnsi="Consolas" w:eastAsia="Consolas"/>
          <w:sz w:val="17"/>
        </w:rPr>
        <w:t>Result: PASS / BLOCKED</w:t>
        <w:br/>
        <w:br/>
        <w:t>Document Intake:</w:t>
        <w:br/>
        <w:t>- pre-existing changes:</w:t>
        <w:br/>
        <w:t>- governance artifacts accepted:</w:t>
        <w:br/>
        <w:t>- local-only artifacts excluded:</w:t>
        <w:br/>
        <w:t>- unexpected changes:</w:t>
        <w:br/>
        <w:br/>
        <w:t>Authority / Preconditions:</w:t>
        <w:br/>
        <w:t>- Specification loaded:</w:t>
        <w:br/>
        <w:t>- M3/M7/M8 authority verified:</w:t>
        <w:br/>
        <w:t>- Contract Amendment required:</w:t>
        <w:br/>
        <w:br/>
        <w:t>Implementation:</w:t>
        <w:br/>
        <w:t>- files modified:</w:t>
        <w:br/>
        <w:t>- semantic contracts:</w:t>
        <w:br/>
        <w:t>- deterministic extractor/interpreter:</w:t>
        <w:br/>
        <w:t>- consolidator/router:</w:t>
        <w:br/>
        <w:t>- proposal builder integration:</w:t>
        <w:br/>
        <w:t>- quality gates weakened: YES/NO</w:t>
        <w:br/>
        <w:br/>
        <w:t>Validation:</w:t>
        <w:br/>
        <w:t>- A01-A16:</w:t>
        <w:br/>
        <w:t>- P0 negative controls:</w:t>
        <w:br/>
        <w:t>- focused tests:</w:t>
        <w:br/>
        <w:t>- architecture/contract gates:</w:t>
        <w:br/>
        <w:t>- M3/M7 regression:</w:t>
        <w:br/>
        <w:t>- unified CI command:</w:t>
        <w:br/>
        <w:t>- Real LLM calls observed: 0 / NOT 0</w:t>
        <w:br/>
        <w:t>- API credential required: NO / YES</w:t>
        <w:br/>
        <w:br/>
        <w:t>Exit Gate:</w:t>
        <w:br/>
        <w:t>- G1-G16:</w:t>
        <w:br/>
        <w:t>- Aggregate: PASS / FAIL</w:t>
        <w:br/>
        <w:br/>
        <w:t>Git:</w:t>
        <w:br/>
        <w:t>- commit:</w:t>
        <w:br/>
        <w:t>- HEAD:</w:t>
        <w:br/>
        <w:t>- branch / tracking:</w:t>
        <w:br/>
        <w:t>- push:</w:t>
        <w:br/>
        <w:t>- remote HEAD verified:</w:t>
        <w:br/>
        <w:t>- working tree clean:</w:t>
        <w:br/>
        <w:br/>
        <w:t>Blocker:</w:t>
        <w:br/>
        <w:t>- none / &lt;exact blocker&gt;</w:t>
      </w:r>
    </w:p>
    <w:p>
      <w:pPr>
        <w:pStyle w:val="Heading1"/>
      </w:pPr>
      <w:r>
        <w:t>22. Final Unit Status</w:t>
      </w:r>
    </w:p>
    <w:p>
      <w:r>
        <w:t>Specification Readiness：PASS。</w:t>
        <w:br/>
        <w:t>Implementation Status：NOT STARTED by this document。</w:t>
        <w:br/>
        <w:t>Contract Amendment：NONE。</w:t>
        <w:br/>
        <w:t>Next Unit after successful closure：M8-U6H-B Parser Hybrid Semantic Pipeline。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sz w:val="16"/>
      </w:rPr>
      <w:t>机票筛选 Agent · M8-U6H-A Patch Hybrid Semantic Pipeline Specification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