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机票筛选 Agent</w:t>
        <w:br/>
        <w:t>M9-FLIGGY-PROVIDER-INTEGRATION-CLOSURE-U1</w:t>
      </w:r>
    </w:p>
    <w:p>
      <w:pPr>
        <w:jc w:val="center"/>
      </w:pPr>
      <w:r>
        <w:rPr>
          <w:sz w:val="20"/>
        </w:rPr>
        <w:t>Provider-local Implementation Closure / Residual Gap Preservation / Integration Handoff Specification V1.0</w:t>
      </w:r>
    </w:p>
    <w:p>
      <w:pPr>
        <w:pStyle w:val="Heading1"/>
      </w:pPr>
      <w:r>
        <w:t>1. Unit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</w:tcPr>
          <w:p>
            <w:r>
              <w:t>Field</w:t>
            </w:r>
          </w:p>
        </w:tc>
        <w:tc>
          <w:tcPr>
            <w:tcW w:type="dxa" w:w="5170"/>
          </w:tcPr>
          <w:p>
            <w:r>
              <w:t>Value</w:t>
            </w:r>
          </w:p>
        </w:tc>
      </w:tr>
      <w:tr>
        <w:tc>
          <w:tcPr>
            <w:tcW w:type="dxa" w:w="5170"/>
          </w:tcPr>
          <w:p>
            <w:r>
              <w:t>Unit ID</w:t>
            </w:r>
          </w:p>
        </w:tc>
        <w:tc>
          <w:tcPr>
            <w:tcW w:type="dxa" w:w="5170"/>
          </w:tcPr>
          <w:p>
            <w:r>
              <w:t>M9-FLIGGY-PROVIDER-INTEGRATION-CLOSURE-U1</w:t>
            </w:r>
          </w:p>
        </w:tc>
      </w:tr>
      <w:tr>
        <w:tc>
          <w:tcPr>
            <w:tcW w:type="dxa" w:w="5170"/>
          </w:tcPr>
          <w:p>
            <w:r>
              <w:t>Type</w:t>
            </w:r>
          </w:p>
        </w:tc>
        <w:tc>
          <w:tcPr>
            <w:tcW w:type="dxa" w:w="5170"/>
          </w:tcPr>
          <w:p>
            <w:r>
              <w:t>Governance Closure / Integration Handoff Decision</w:t>
            </w:r>
          </w:p>
        </w:tc>
      </w:tr>
      <w:tr>
        <w:tc>
          <w:tcPr>
            <w:tcW w:type="dxa" w:w="5170"/>
          </w:tcPr>
          <w:p>
            <w:r>
              <w:t>Provider</w:t>
            </w:r>
          </w:p>
        </w:tc>
        <w:tc>
          <w:tcPr>
            <w:tcW w:type="dxa" w:w="5170"/>
          </w:tcPr>
          <w:p>
            <w:r>
              <w:t>FLIGGY</w:t>
            </w:r>
          </w:p>
        </w:tc>
      </w:tr>
      <w:tr>
        <w:tc>
          <w:tcPr>
            <w:tcW w:type="dxa" w:w="5170"/>
          </w:tcPr>
          <w:p>
            <w:r>
              <w:t>Implementation authority</w:t>
            </w:r>
          </w:p>
        </w:tc>
        <w:tc>
          <w:tcPr>
            <w:tcW w:type="dxa" w:w="5170"/>
          </w:tcPr>
          <w:p>
            <w:r>
              <w:t>NONE</w:t>
            </w:r>
          </w:p>
        </w:tc>
      </w:tr>
      <w:tr>
        <w:tc>
          <w:tcPr>
            <w:tcW w:type="dxa" w:w="5170"/>
          </w:tcPr>
          <w:p>
            <w:r>
              <w:t>Expected source-code change</w:t>
            </w:r>
          </w:p>
        </w:tc>
        <w:tc>
          <w:tcPr>
            <w:tcW w:type="dxa" w:w="5170"/>
          </w:tcPr>
          <w:p>
            <w:r>
              <w:t>NONE</w:t>
            </w:r>
          </w:p>
        </w:tc>
      </w:tr>
      <w:tr>
        <w:tc>
          <w:tcPr>
            <w:tcW w:type="dxa" w:w="5170"/>
          </w:tcPr>
          <w:p>
            <w:r>
              <w:t>Expected Contract Amendment</w:t>
            </w:r>
          </w:p>
        </w:tc>
        <w:tc>
          <w:tcPr>
            <w:tcW w:type="dxa" w:w="5170"/>
          </w:tcPr>
          <w:p>
            <w:r>
              <w:t>NONE</w:t>
            </w:r>
          </w:p>
        </w:tc>
      </w:tr>
      <w:tr>
        <w:tc>
          <w:tcPr>
            <w:tcW w:type="dxa" w:w="5170"/>
          </w:tcPr>
          <w:p>
            <w:r>
              <w:t>Precondition</w:t>
            </w:r>
          </w:p>
        </w:tc>
        <w:tc>
          <w:tcPr>
            <w:tcW w:type="dxa" w:w="5170"/>
          </w:tcPr>
          <w:p>
            <w:r>
              <w:t>M9-FLIGGY-LEVEL2-INTEGRATION-READINESS-AUDIT-U1 = PASS — integration-ready with preserved non-blocking gaps</w:t>
            </w:r>
          </w:p>
        </w:tc>
      </w:tr>
      <w:tr>
        <w:tc>
          <w:tcPr>
            <w:tcW w:type="dxa" w:w="5170"/>
          </w:tcPr>
          <w:p>
            <w:r>
              <w:t>Target closure state</w:t>
            </w:r>
          </w:p>
        </w:tc>
        <w:tc>
          <w:tcPr>
            <w:tcW w:type="dxa" w:w="5170"/>
          </w:tcPr>
          <w:p>
            <w:r>
              <w:t>PROVIDER_LOCAL_IMPLEMENTATION_CLOSED / INTEGRATION_HANDOFF_READY</w:t>
            </w:r>
          </w:p>
        </w:tc>
      </w:tr>
      <w:tr>
        <w:tc>
          <w:tcPr>
            <w:tcW w:type="dxa" w:w="5170"/>
          </w:tcPr>
          <w:p>
            <w:r>
              <w:t>Main merge authority</w:t>
            </w:r>
          </w:p>
        </w:tc>
        <w:tc>
          <w:tcPr>
            <w:tcW w:type="dxa" w:w="5170"/>
          </w:tcPr>
          <w:p>
            <w:r>
              <w:t>NONE</w:t>
            </w:r>
          </w:p>
        </w:tc>
      </w:tr>
      <w:tr>
        <w:tc>
          <w:tcPr>
            <w:tcW w:type="dxa" w:w="5170"/>
          </w:tcPr>
          <w:p>
            <w:r>
              <w:t>M9 overall closure authority</w:t>
            </w:r>
          </w:p>
        </w:tc>
        <w:tc>
          <w:tcPr>
            <w:tcW w:type="dxa" w:w="5170"/>
          </w:tcPr>
          <w:p>
            <w:r>
              <w:t>NONE</w:t>
            </w:r>
          </w:p>
        </w:tc>
      </w:tr>
    </w:tbl>
    <w:p>
      <w:pPr>
        <w:pStyle w:val="Heading1"/>
      </w:pPr>
      <w:r>
        <w:t>2. Goal</w:t>
      </w:r>
    </w:p>
    <w:p>
      <w:r>
        <w:t>正式关闭 M9 范围内 FLIGGY provider-local implementation 工作流，冻结当前已验证能力边界、保留 residual gaps 与 capability claim boundary，并形成可供后续 cross-provider / main integration decision 使用的正式 handoff package。</w:t>
      </w:r>
    </w:p>
    <w:p>
      <w:r>
        <w:t>本 Unit 不把 provider-local closure 等同于 main merge、M9 overall closure、production readiness 或 full live validation。</w:t>
      </w:r>
    </w:p>
    <w:p>
      <w:pPr>
        <w:pStyle w:val="Heading1"/>
      </w:pPr>
      <w:r>
        <w:t>3. Mandatory Predecessor Evidence</w:t>
      </w:r>
    </w:p>
    <w:p>
      <w:pPr>
        <w:pStyle w:val="ListBullet"/>
      </w:pPr>
      <w:r>
        <w:t>FLIGGY Level-1 acquisition/evidence、Mapper、Canonical Entry 已接受。</w:t>
      </w:r>
    </w:p>
    <w:p>
      <w:pPr>
        <w:pStyle w:val="ListBullet"/>
      </w:pPr>
      <w:r>
        <w:t>FLIGGY Level-2 Acquisition/Sanitization 已实现并验证。</w:t>
      </w:r>
    </w:p>
    <w:p>
      <w:pPr>
        <w:pStyle w:val="ListBullet"/>
      </w:pPr>
      <w:r>
        <w:t>LIVE-U1/R1 已完成 bounded live validation，结论为 preserved non-blocking provider evidence gap；不建议继续 live chasing。</w:t>
      </w:r>
    </w:p>
    <w:p>
      <w:pPr>
        <w:pStyle w:val="ListBullet"/>
      </w:pPr>
      <w:r>
        <w:t>Level-2 Mapping Audit 已确认 Evidence-only 字段边界与 Contract Amendment NONE。</w:t>
      </w:r>
    </w:p>
    <w:p>
      <w:pPr>
        <w:pStyle w:val="ListBullet"/>
      </w:pPr>
      <w:r>
        <w:t>Level-2 Mapper 已实现并通过 semantic review。</w:t>
      </w:r>
    </w:p>
    <w:p>
      <w:pPr>
        <w:pStyle w:val="ListBullet"/>
      </w:pPr>
      <w:r>
        <w:t>Level-2 Canonical Audit 已确认 existing canonical path sufficient，不需要 Level-2 专用 Canonical implementation。</w:t>
      </w:r>
    </w:p>
    <w:p>
      <w:pPr>
        <w:pStyle w:val="ListBullet"/>
      </w:pPr>
      <w:r>
        <w:t>Level-2 Aggregation Audit 已确认 existing conservative merger contract sufficient；commercial distinction gaps 可安全保留。</w:t>
      </w:r>
    </w:p>
    <w:p>
      <w:pPr>
        <w:pStyle w:val="ListBullet"/>
      </w:pPr>
      <w:r>
        <w:t>Level-2 Integration Readiness Audit 已确认 provider path integration-ready with preserved non-blocking gaps。</w:t>
      </w:r>
    </w:p>
    <w:p>
      <w:r>
        <w:t>Closure Execution 必须从当前 Repository Authority 与实际 Git 状态重新核对上述结论；历史提交号仅作为 evidence，不作为永远固定的 baseline。</w:t>
      </w:r>
    </w:p>
    <w:p>
      <w:pPr>
        <w:pStyle w:val="Heading1"/>
      </w:pPr>
      <w:r>
        <w:t>4. Closure Scope</w:t>
      </w:r>
    </w:p>
    <w:p>
      <w:r>
        <w:t>本 Closure 覆盖整个 FLIGGY M9 provider-local implementation，而不仅是 Level-2 helper。关闭范围包括：Browser Acquisition → Sanitized Evidence → L1/L2 Mapper → Existing Mapped Contract → Existing Canonical Entry/CommonNormalizer → Existing Conservative Equivalence/Candidate Merger compatibility。</w:t>
      </w:r>
    </w:p>
    <w:p>
      <w:pPr>
        <w:pStyle w:val="ListBullet"/>
      </w:pPr>
      <w:r>
        <w:t>Closure 之后原则上停止新增 FLIGGY provider-local feature Unit。</w:t>
      </w:r>
    </w:p>
    <w:p>
      <w:pPr>
        <w:pStyle w:val="ListBullet"/>
      </w:pPr>
      <w:r>
        <w:t>只有 integration regression、明确 P0/P1 defect、正式 Contract Amendment 或后续人工重新授权，才允许重新打开 provider-local implementation。</w:t>
      </w:r>
    </w:p>
    <w:p>
      <w:pPr>
        <w:pStyle w:val="ListBullet"/>
      </w:pPr>
      <w:r>
        <w:t>Provider-local closure 不要求 CTRIP 同步完成，也不修改 CTRIP。</w:t>
      </w:r>
    </w:p>
    <w:p>
      <w:pPr>
        <w:pStyle w:val="Heading1"/>
      </w:pPr>
      <w:r>
        <w:t>5. Accepted Capability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</w:tcPr>
          <w:p>
            <w:r>
              <w:t>Capability</w:t>
            </w:r>
          </w:p>
        </w:tc>
        <w:tc>
          <w:tcPr>
            <w:tcW w:type="dxa" w:w="5170"/>
          </w:tcPr>
          <w:p>
            <w:r>
              <w:t>Required closure status</w:t>
            </w:r>
          </w:p>
        </w:tc>
      </w:tr>
      <w:tr>
        <w:tc>
          <w:tcPr>
            <w:tcW w:type="dxa" w:w="5170"/>
          </w:tcPr>
          <w:p>
            <w:r>
              <w:t>Browser acquisition foundation</w:t>
            </w:r>
          </w:p>
        </w:tc>
        <w:tc>
          <w:tcPr>
            <w:tcW w:type="dxa" w:w="5170"/>
          </w:tcPr>
          <w:p>
            <w:r>
              <w:t>ACCEPTED</w:t>
            </w:r>
          </w:p>
        </w:tc>
      </w:tr>
      <w:tr>
        <w:tc>
          <w:tcPr>
            <w:tcW w:type="dxa" w:w="5170"/>
          </w:tcPr>
          <w:p>
            <w:r>
              <w:t>Level-1 rendered-DOM evidence semantics</w:t>
            </w:r>
          </w:p>
        </w:tc>
        <w:tc>
          <w:tcPr>
            <w:tcW w:type="dxa" w:w="5170"/>
          </w:tcPr>
          <w:p>
            <w:r>
              <w:t>ACCEPTED</w:t>
            </w:r>
          </w:p>
        </w:tc>
      </w:tr>
      <w:tr>
        <w:tc>
          <w:tcPr>
            <w:tcW w:type="dxa" w:w="5170"/>
          </w:tcPr>
          <w:p>
            <w:r>
              <w:t>Level-1 Mapper</w:t>
            </w:r>
          </w:p>
        </w:tc>
        <w:tc>
          <w:tcPr>
            <w:tcW w:type="dxa" w:w="5170"/>
          </w:tcPr>
          <w:p>
            <w:r>
              <w:t>IMPLEMENTED / VERIFIED</w:t>
            </w:r>
          </w:p>
        </w:tc>
      </w:tr>
      <w:tr>
        <w:tc>
          <w:tcPr>
            <w:tcW w:type="dxa" w:w="5170"/>
          </w:tcPr>
          <w:p>
            <w:r>
              <w:t>Level-1 Canonical Entry</w:t>
            </w:r>
          </w:p>
        </w:tc>
        <w:tc>
          <w:tcPr>
            <w:tcW w:type="dxa" w:w="5170"/>
          </w:tcPr>
          <w:p>
            <w:r>
              <w:t>IMPLEMENTED / VERIFIED</w:t>
            </w:r>
          </w:p>
        </w:tc>
      </w:tr>
      <w:tr>
        <w:tc>
          <w:tcPr>
            <w:tcW w:type="dxa" w:w="5170"/>
          </w:tcPr>
          <w:p>
            <w:r>
              <w:t>Level-2 expanded-offer acquisition/sanitization</w:t>
            </w:r>
          </w:p>
        </w:tc>
        <w:tc>
          <w:tcPr>
            <w:tcW w:type="dxa" w:w="5170"/>
          </w:tcPr>
          <w:p>
            <w:r>
              <w:t>IMPLEMENTED / VERIFIED / OFFLINE-EVIDENCE-BACKED</w:t>
            </w:r>
          </w:p>
        </w:tc>
      </w:tr>
      <w:tr>
        <w:tc>
          <w:tcPr>
            <w:tcW w:type="dxa" w:w="5170"/>
          </w:tcPr>
          <w:p>
            <w:r>
              <w:t>Level-2 bounded live validation</w:t>
            </w:r>
          </w:p>
        </w:tc>
        <w:tc>
          <w:tcPr>
            <w:tcW w:type="dxa" w:w="5170"/>
          </w:tcPr>
          <w:p>
            <w:r>
              <w:t>COMPLETED / LIVE GAP PRESERVED</w:t>
            </w:r>
          </w:p>
        </w:tc>
      </w:tr>
      <w:tr>
        <w:tc>
          <w:tcPr>
            <w:tcW w:type="dxa" w:w="5170"/>
          </w:tcPr>
          <w:p>
            <w:r>
              <w:t>Level-2 Mapper</w:t>
            </w:r>
          </w:p>
        </w:tc>
        <w:tc>
          <w:tcPr>
            <w:tcW w:type="dxa" w:w="5170"/>
          </w:tcPr>
          <w:p>
            <w:r>
              <w:t>IMPLEMENTED / VERIFIED / OFFLINE-EVIDENCE-BACKED / LIVE GAP PRESERVED</w:t>
            </w:r>
          </w:p>
        </w:tc>
      </w:tr>
      <w:tr>
        <w:tc>
          <w:tcPr>
            <w:tcW w:type="dxa" w:w="5170"/>
          </w:tcPr>
          <w:p>
            <w:r>
              <w:t>Level-2 Canonical compatibility</w:t>
            </w:r>
          </w:p>
        </w:tc>
        <w:tc>
          <w:tcPr>
            <w:tcW w:type="dxa" w:w="5170"/>
          </w:tcPr>
          <w:p>
            <w:r>
              <w:t>VERIFIED — EXISTING CANONICAL PATH REUSED</w:t>
            </w:r>
          </w:p>
        </w:tc>
      </w:tr>
      <w:tr>
        <w:tc>
          <w:tcPr>
            <w:tcW w:type="dxa" w:w="5170"/>
          </w:tcPr>
          <w:p>
            <w:r>
              <w:t>Level-2 aggregation/merger compatibility</w:t>
            </w:r>
          </w:p>
        </w:tc>
        <w:tc>
          <w:tcPr>
            <w:tcW w:type="dxa" w:w="5170"/>
          </w:tcPr>
          <w:p>
            <w:r>
              <w:t>VERIFIED — EXISTING CONSERVATIVE MERGER REUSED</w:t>
            </w:r>
          </w:p>
        </w:tc>
      </w:tr>
      <w:tr>
        <w:tc>
          <w:tcPr>
            <w:tcW w:type="dxa" w:w="5170"/>
          </w:tcPr>
          <w:p>
            <w:r>
              <w:t>End-to-end provider path readiness</w:t>
            </w:r>
          </w:p>
        </w:tc>
        <w:tc>
          <w:tcPr>
            <w:tcW w:type="dxa" w:w="5170"/>
          </w:tcPr>
          <w:p>
            <w:r>
              <w:t>INTEGRATION-READY WITH PRESERVED NON-BLOCKING GAPS</w:t>
            </w:r>
          </w:p>
        </w:tc>
      </w:tr>
    </w:tbl>
    <w:p>
      <w:r>
        <w:t>Reuse 是正式设计结论，不得把“没有 level2_canonical.py / level2_merger.py”描述成缺失实现。</w:t>
      </w:r>
    </w:p>
    <w:p>
      <w:pPr>
        <w:pStyle w:val="Heading1"/>
      </w:pPr>
      <w:r>
        <w:t>6. Residual Gap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</w:tcPr>
          <w:p>
            <w:r>
              <w:t>Gap</w:t>
            </w:r>
          </w:p>
        </w:tc>
        <w:tc>
          <w:tcPr>
            <w:tcW w:type="dxa" w:w="5170"/>
          </w:tcPr>
          <w:p>
            <w:r>
              <w:t>Required closure classification</w:t>
            </w:r>
          </w:p>
        </w:tc>
      </w:tr>
      <w:tr>
        <w:tc>
          <w:tcPr>
            <w:tcW w:type="dxa" w:w="5170"/>
          </w:tcPr>
          <w:p>
            <w:r>
              <w:t>Deterministic L1 targeting → automated L2 live evidence</w:t>
            </w:r>
          </w:p>
        </w:tc>
        <w:tc>
          <w:tcPr>
            <w:tcW w:type="dxa" w:w="5170"/>
          </w:tcPr>
          <w:p>
            <w:r>
              <w:t>NON-BLOCKING / P2; LIVE GAP PRESERVED</w:t>
            </w:r>
          </w:p>
        </w:tc>
      </w:tr>
      <w:tr>
        <w:tc>
          <w:tcPr>
            <w:tcW w:type="dxa" w:w="5170"/>
          </w:tcPr>
          <w:p>
            <w:r>
              <w:t>Full automated Level-2 live validation</w:t>
            </w:r>
          </w:p>
        </w:tc>
        <w:tc>
          <w:tcPr>
            <w:tcW w:type="dxa" w:w="5170"/>
          </w:tcPr>
          <w:p>
            <w:r>
              <w:t>NOT CLAIMED / NON-BLOCKING</w:t>
            </w:r>
          </w:p>
        </w:tc>
      </w:tr>
      <w:tr>
        <w:tc>
          <w:tcPr>
            <w:tcW w:type="dxa" w:w="5170"/>
          </w:tcPr>
          <w:p>
            <w:r>
              <w:t>Seller / merchant distinction</w:t>
            </w:r>
          </w:p>
        </w:tc>
        <w:tc>
          <w:tcPr>
            <w:tcW w:type="dxa" w:w="5170"/>
          </w:tcPr>
          <w:p>
            <w:r>
              <w:t>NON-BLOCKING / P2 / downstream commercial distinction</w:t>
            </w:r>
          </w:p>
        </w:tc>
      </w:tr>
      <w:tr>
        <w:tc>
          <w:tcPr>
            <w:tcW w:type="dxa" w:w="5170"/>
          </w:tcPr>
          <w:p>
            <w:r>
              <w:t>Booking / purchase channel</w:t>
            </w:r>
          </w:p>
        </w:tc>
        <w:tc>
          <w:tcPr>
            <w:tcW w:type="dxa" w:w="5170"/>
          </w:tcPr>
          <w:p>
            <w:r>
              <w:t>NON-BLOCKING / P2 / downstream actionability</w:t>
            </w:r>
          </w:p>
        </w:tc>
      </w:tr>
      <w:tr>
        <w:tc>
          <w:tcPr>
            <w:tcW w:type="dxa" w:w="5170"/>
          </w:tcPr>
          <w:p>
            <w:r>
              <w:t>Fare/cabin product distinction</w:t>
            </w:r>
          </w:p>
        </w:tc>
        <w:tc>
          <w:tcPr>
            <w:tcW w:type="dxa" w:w="5170"/>
          </w:tcPr>
          <w:p>
            <w:r>
              <w:t>NON-BLOCKING / P2 / downstream</w:t>
            </w:r>
          </w:p>
        </w:tc>
      </w:tr>
      <w:tr>
        <w:tc>
          <w:tcPr>
            <w:tcW w:type="dxa" w:w="5170"/>
          </w:tcPr>
          <w:p>
            <w:r>
              <w:t>Complex refund/change rules</w:t>
            </w:r>
          </w:p>
        </w:tc>
        <w:tc>
          <w:tcPr>
            <w:tcW w:type="dxa" w:w="5170"/>
          </w:tcPr>
          <w:p>
            <w:r>
              <w:t>NON-BLOCKING / P2 / downstream</w:t>
            </w:r>
          </w:p>
        </w:tc>
      </w:tr>
      <w:tr>
        <w:tc>
          <w:tcPr>
            <w:tcW w:type="dxa" w:w="5170"/>
          </w:tcPr>
          <w:p>
            <w:r>
              <w:t>Baggage commercial distinction</w:t>
            </w:r>
          </w:p>
        </w:tc>
        <w:tc>
          <w:tcPr>
            <w:tcW w:type="dxa" w:w="5170"/>
          </w:tcPr>
          <w:p>
            <w:r>
              <w:t>NON-BLOCKING / P2 / downstream</w:t>
            </w:r>
          </w:p>
        </w:tc>
      </w:tr>
      <w:tr>
        <w:tc>
          <w:tcPr>
            <w:tcW w:type="dxa" w:w="5170"/>
          </w:tcPr>
          <w:p>
            <w:r>
              <w:t>Availability / urgency wording</w:t>
            </w:r>
          </w:p>
        </w:tc>
        <w:tc>
          <w:tcPr>
            <w:tcW w:type="dxa" w:w="5170"/>
          </w:tcPr>
          <w:p>
            <w:r>
              <w:t>NON-BLOCKING / P2 / volatile evidence</w:t>
            </w:r>
          </w:p>
        </w:tc>
      </w:tr>
      <w:tr>
        <w:tc>
          <w:tcPr>
            <w:tcW w:type="dxa" w:w="5170"/>
          </w:tcPr>
          <w:p>
            <w:r>
              <w:t>Pre-existing unrelated Ruff debt</w:t>
            </w:r>
          </w:p>
        </w:tc>
        <w:tc>
          <w:tcPr>
            <w:tcW w:type="dxa" w:w="5170"/>
          </w:tcPr>
          <w:p>
            <w:r>
              <w:t>OUT OF SCOPE / NON-BLOCKING</w:t>
            </w:r>
          </w:p>
        </w:tc>
      </w:tr>
    </w:tbl>
    <w:p>
      <w:r>
        <w:t>Closure Artifact 必须保留这些 gap，不能因 closure 而删除、淡化或升级成已验证能力。</w:t>
      </w:r>
    </w:p>
    <w:p>
      <w:pPr>
        <w:pStyle w:val="Heading1"/>
      </w:pPr>
      <w:r>
        <w:t>7. Capability Claim Boundary</w:t>
      </w:r>
    </w:p>
    <w:p>
      <w:pPr>
        <w:pStyle w:val="Heading2"/>
      </w:pPr>
      <w:r>
        <w:t>7.1 Claims permitted after closure</w:t>
      </w:r>
    </w:p>
    <w:p>
      <w:pPr>
        <w:pStyle w:val="ListBullet"/>
      </w:pPr>
      <w:r>
        <w:t>FLIGGY Browser Acquisition foundation implemented.</w:t>
      </w:r>
    </w:p>
    <w:p>
      <w:pPr>
        <w:pStyle w:val="ListBullet"/>
      </w:pPr>
      <w:r>
        <w:t>FLIGGY Level-1 provider path validated within accepted evidence.</w:t>
      </w:r>
    </w:p>
    <w:p>
      <w:pPr>
        <w:pStyle w:val="ListBullet"/>
      </w:pPr>
      <w:r>
        <w:t>FLIGGY Level-2 acquisition/sanitization implemented and offline-evidence-backed.</w:t>
      </w:r>
    </w:p>
    <w:p>
      <w:pPr>
        <w:pStyle w:val="ListBullet"/>
      </w:pPr>
      <w:r>
        <w:t>FLIGGY Level-2 mapping implemented and verified.</w:t>
      </w:r>
    </w:p>
    <w:p>
      <w:pPr>
        <w:pStyle w:val="ListBullet"/>
      </w:pPr>
      <w:r>
        <w:t>Existing Canonical path compatibility verified; dedicated L2 canonical implementation not required.</w:t>
      </w:r>
    </w:p>
    <w:p>
      <w:pPr>
        <w:pStyle w:val="ListBullet"/>
      </w:pPr>
      <w:r>
        <w:t>Existing conservative equivalence/Candidate Merger compatibility verified.</w:t>
      </w:r>
    </w:p>
    <w:p>
      <w:pPr>
        <w:pStyle w:val="ListBullet"/>
      </w:pPr>
      <w:r>
        <w:t>FLIGGY provider-local path is integration-ready with preserved non-blocking gaps.</w:t>
      </w:r>
    </w:p>
    <w:p>
      <w:pPr>
        <w:pStyle w:val="Heading2"/>
      </w:pPr>
      <w:r>
        <w:t>7.2 Claims explicitly forbidden</w:t>
      </w:r>
    </w:p>
    <w:p>
      <w:pPr>
        <w:pStyle w:val="ListBullet"/>
      </w:pPr>
      <w:r>
        <w:t>FLIGGY Level-2 is fully live validated.</w:t>
      </w:r>
    </w:p>
    <w:p>
      <w:pPr>
        <w:pStyle w:val="ListBullet"/>
      </w:pPr>
      <w:r>
        <w:t>All seller/commercial offers are captured.</w:t>
      </w:r>
    </w:p>
    <w:p>
      <w:pPr>
        <w:pStyle w:val="ListBullet"/>
      </w:pPr>
      <w:r>
        <w:t>Observed offers represent complete market coverage.</w:t>
      </w:r>
    </w:p>
    <w:p>
      <w:pPr>
        <w:pStyle w:val="ListBullet"/>
      </w:pPr>
      <w:r>
        <w:t>All seller/fare/refund/baggage/availability distinctions are canonicalized.</w:t>
      </w:r>
    </w:p>
    <w:p>
      <w:pPr>
        <w:pStyle w:val="ListBullet"/>
      </w:pPr>
      <w:r>
        <w:t>Real-time inventory is complete or authoritative.</w:t>
      </w:r>
    </w:p>
    <w:p>
      <w:pPr>
        <w:pStyle w:val="ListBullet"/>
      </w:pPr>
      <w:r>
        <w:t>Purchase path is production-ready.</w:t>
      </w:r>
    </w:p>
    <w:p>
      <w:pPr>
        <w:pStyle w:val="ListBullet"/>
      </w:pPr>
      <w:r>
        <w:t>Provider-local closure means main integration, production readiness, or M9 overall closure.</w:t>
      </w:r>
    </w:p>
    <w:p>
      <w:pPr>
        <w:pStyle w:val="Heading1"/>
      </w:pPr>
      <w:r>
        <w:t>8. Closure Gates</w:t>
      </w:r>
    </w:p>
    <w:p>
      <w:pPr>
        <w:pStyle w:val="Heading2"/>
      </w:pPr>
      <w:r>
        <w:t>FLI-CLOSE-01 — Authority continuity</w:t>
      </w:r>
    </w:p>
    <w:p>
      <w:r>
        <w:t>Predecessor authority chain complete and conflict-free.</w:t>
      </w:r>
    </w:p>
    <w:p>
      <w:pPr>
        <w:pStyle w:val="Heading2"/>
      </w:pPr>
      <w:r>
        <w:t>FLI-CLOSE-02 — Capability ledger</w:t>
      </w:r>
    </w:p>
    <w:p>
      <w:r>
        <w:t>All accepted provider-local capabilities are explicitly recorded.</w:t>
      </w:r>
    </w:p>
    <w:p>
      <w:pPr>
        <w:pStyle w:val="Heading2"/>
      </w:pPr>
      <w:r>
        <w:t>FLI-CLOSE-03 — L1 preservation</w:t>
      </w:r>
    </w:p>
    <w:p>
      <w:r>
        <w:t>Accepted L1 acquisition/mapping/canonical semantics remain intact.</w:t>
      </w:r>
    </w:p>
    <w:p>
      <w:pPr>
        <w:pStyle w:val="Heading2"/>
      </w:pPr>
      <w:r>
        <w:t>FLI-CLOSE-04 — L2 preservation</w:t>
      </w:r>
    </w:p>
    <w:p>
      <w:r>
        <w:t>Accepted L2 acquisition/sanitization/mapping semantics remain intact.</w:t>
      </w:r>
    </w:p>
    <w:p>
      <w:pPr>
        <w:pStyle w:val="Heading2"/>
      </w:pPr>
      <w:r>
        <w:t>FLI-CLOSE-05 — Canonical reuse</w:t>
      </w:r>
    </w:p>
    <w:p>
      <w:r>
        <w:t>Existing Canonical reuse is recorded as an intentional verified design result.</w:t>
      </w:r>
    </w:p>
    <w:p>
      <w:pPr>
        <w:pStyle w:val="Heading2"/>
      </w:pPr>
      <w:r>
        <w:t>FLI-CLOSE-06 — Merger reuse</w:t>
      </w:r>
    </w:p>
    <w:p>
      <w:r>
        <w:t>Existing conservative Merger reuse is recorded; no FLIGGY-specific merger is required.</w:t>
      </w:r>
    </w:p>
    <w:p>
      <w:pPr>
        <w:pStyle w:val="Heading2"/>
      </w:pPr>
      <w:r>
        <w:t>FLI-CLOSE-07 — Live claim discipline</w:t>
      </w:r>
    </w:p>
    <w:p>
      <w:r>
        <w:t>LIVE-R1 gap is preserved; no claim inflation to full live validation.</w:t>
      </w:r>
    </w:p>
    <w:p>
      <w:pPr>
        <w:pStyle w:val="Heading2"/>
      </w:pPr>
      <w:r>
        <w:t>FLI-CLOSE-08 — Commercial gap preservation</w:t>
      </w:r>
    </w:p>
    <w:p>
      <w:r>
        <w:t>Seller/product/rules/baggage/availability gaps are frozen as P2/downstream where supported.</w:t>
      </w:r>
    </w:p>
    <w:p>
      <w:pPr>
        <w:pStyle w:val="Heading2"/>
      </w:pPr>
      <w:r>
        <w:t>FLI-CLOSE-09 — No P0/P1 blocker</w:t>
      </w:r>
    </w:p>
    <w:p>
      <w:r>
        <w:t>No unresolved provider-local P0/P1 blocker remains.</w:t>
      </w:r>
    </w:p>
    <w:p>
      <w:pPr>
        <w:pStyle w:val="Heading2"/>
      </w:pPr>
      <w:r>
        <w:t>FLI-CLOSE-10 — Contract preservation</w:t>
      </w:r>
    </w:p>
    <w:p>
      <w:r>
        <w:t>Contract Amendment remains NONE.</w:t>
      </w:r>
    </w:p>
    <w:p>
      <w:pPr>
        <w:pStyle w:val="Heading2"/>
      </w:pPr>
      <w:r>
        <w:t>FLI-CLOSE-11 — Provider-local scope closure</w:t>
      </w:r>
    </w:p>
    <w:p>
      <w:r>
        <w:t>No further FLIGGY provider-local implementation Unit is justified before integration decision.</w:t>
      </w:r>
    </w:p>
    <w:p>
      <w:pPr>
        <w:pStyle w:val="Heading2"/>
      </w:pPr>
      <w:r>
        <w:t>FLI-CLOSE-12 — Handoff sufficiency</w:t>
      </w:r>
    </w:p>
    <w:p>
      <w:r>
        <w:t>Closure Artifact contains enough capability/gap/evidence state for future cross-provider/main integration review.</w:t>
      </w:r>
    </w:p>
    <w:p>
      <w:pPr>
        <w:pStyle w:val="Heading1"/>
      </w:pPr>
      <w:r>
        <w:t>9. Closure Artifact Contract</w:t>
      </w:r>
    </w:p>
    <w:p>
      <w:r>
        <w:t>Closure Execution 必须创建并纳入 Repository Authority 的正式 DOCX：`机票筛选Agent_M9_FLIGGY_Provider_Integration_Closure_V1.0.docx`。该 Artifact 不是 LOCAL-ONLY Execution Report。</w:t>
      </w:r>
    </w:p>
    <w:p>
      <w:pPr>
        <w:pStyle w:val="ListBullet"/>
      </w:pPr>
      <w:r>
        <w:t>必须包含：Closure Decision、Accepted Capability Ledger、Residual Gap Ledger、Capability Claim Boundary、Validation Evidence、Git Baseline、Integration Handoff State、Reopen Conditions。</w:t>
      </w:r>
    </w:p>
    <w:p>
      <w:pPr>
        <w:pStyle w:val="ListBullet"/>
      </w:pPr>
      <w:r>
        <w:t>必须明确 evidence basis：OFFLINE-EVIDENCE-BACKED / LIVE GAP PRESERVED，并单独指出哪些 Level-1 evidence 是 LIVE-OBSERVED。</w:t>
      </w:r>
    </w:p>
    <w:p>
      <w:pPr>
        <w:pStyle w:val="ListBullet"/>
      </w:pPr>
      <w:r>
        <w:t>必须明确 no new L2 Canonical / no new L2 Candidate Merger / no provider-local CandidateSnapshot / no further live probe recommended。</w:t>
      </w:r>
    </w:p>
    <w:p>
      <w:pPr>
        <w:pStyle w:val="ListBullet"/>
      </w:pPr>
      <w:r>
        <w:t>必须明确 main merge NOT AUTHORIZED、M9 overall closure NOT AUTHORIZED。</w:t>
      </w:r>
    </w:p>
    <w:p>
      <w:pPr>
        <w:pStyle w:val="ListBullet"/>
      </w:pPr>
      <w:r>
        <w:t>普通 Codex execution report 仍为 LOCAL-ONLY，不进入仓库。</w:t>
      </w:r>
    </w:p>
    <w:p>
      <w:pPr>
        <w:pStyle w:val="Heading1"/>
      </w:pPr>
      <w:r>
        <w:t>10. Reopen Conditions</w:t>
      </w:r>
    </w:p>
    <w:p>
      <w:pPr>
        <w:pStyle w:val="ListBullet"/>
      </w:pPr>
      <w:r>
        <w:t>Integration regression 显示当前 FLIGGY provider path 与 shared integration contract 不兼容。</w:t>
      </w:r>
    </w:p>
    <w:p>
      <w:pPr>
        <w:pStyle w:val="ListBullet"/>
      </w:pPr>
      <w:r>
        <w:t>发现明确 provider-local P0/P1 defect，会产生错误 business truth、source splicing、price semantics corruption 或 provenance loss。</w:t>
      </w:r>
    </w:p>
    <w:p>
      <w:pPr>
        <w:pStyle w:val="ListBullet"/>
      </w:pPr>
      <w:r>
        <w:t>正式 Contract Amendment 改变 FLIGGY 必须遵守的 shared contract。</w:t>
      </w:r>
    </w:p>
    <w:p>
      <w:pPr>
        <w:pStyle w:val="ListBullet"/>
      </w:pPr>
      <w:r>
        <w:t>后续阶段由人工明确授权重新打开某个 provider-local capability。</w:t>
      </w:r>
    </w:p>
    <w:p>
      <w:r>
        <w:t>P2 commercial distinction gap 或已知 live gap 本身不构成自动 reopen 条件。</w:t>
      </w:r>
    </w:p>
    <w:p>
      <w:pPr>
        <w:pStyle w:val="Heading1"/>
      </w:pPr>
      <w:r>
        <w:t>11. Git / Governance Completion</w:t>
      </w:r>
    </w:p>
    <w:p>
      <w:pPr>
        <w:pStyle w:val="ListBullet"/>
      </w:pPr>
      <w:r>
        <w:t>Closure Specification 的 Document Acceptance 先完成 governance-only commit/push。</w:t>
      </w:r>
    </w:p>
    <w:p>
      <w:pPr>
        <w:pStyle w:val="ListBullet"/>
      </w:pPr>
      <w:r>
        <w:t>Closure Execution 在 provider branch 上生成 Closure Artifact、更新 Repository Authority/active mirror，并做 closure-only commit/push。</w:t>
      </w:r>
    </w:p>
    <w:p>
      <w:pPr>
        <w:pStyle w:val="ListBullet"/>
      </w:pPr>
      <w:r>
        <w:t>不得修改业务源码/tests；若出现意外源码变化，STOP。</w:t>
      </w:r>
    </w:p>
    <w:p>
      <w:pPr>
        <w:pStyle w:val="ListBullet"/>
      </w:pPr>
      <w:r>
        <w:t>不得 merge main；不得触碰 CTRIP branch；不得 reset/rebase/force push。</w:t>
      </w:r>
    </w:p>
    <w:p>
      <w:pPr>
        <w:pStyle w:val="ListBullet"/>
      </w:pPr>
      <w:r>
        <w:t>最终必须验证 provider remote 与 local HEAD 对齐、working tree clean。</w:t>
      </w:r>
    </w:p>
    <w:p>
      <w:pPr>
        <w:pStyle w:val="Heading1"/>
      </w:pPr>
      <w:r>
        <w:t>12. Required Verdict</w:t>
      </w:r>
    </w:p>
    <w:p>
      <w:pPr>
        <w:pStyle w:val="ListBullet"/>
      </w:pPr>
      <w:r>
        <w:t>`PASS — PROVIDER_LOCAL_IMPLEMENTATION_CLOSED / INTEGRATION_HANDOFF_READY`</w:t>
      </w:r>
    </w:p>
    <w:p>
      <w:pPr>
        <w:pStyle w:val="ListBullet"/>
      </w:pPr>
      <w:r>
        <w:t>`BLOCKED — CLOSURE PRECONDITION NOT SATISFIED`</w:t>
      </w:r>
    </w:p>
    <w:p>
      <w:pPr>
        <w:pStyle w:val="ListBullet"/>
      </w:pPr>
      <w:r>
        <w:t>`CONTRACT AMENDMENT PROPOSAL REQUIRED`</w:t>
      </w:r>
    </w:p>
    <w:p>
      <w:r>
        <w:t>Residual non-blocking/P2 gaps 已经被 readiness audit 接受，因此 Closure 不使用 PARTIAL PASS。若前置证据仍成立且无新 blocker，应形成明确 closure decision。</w:t>
      </w:r>
    </w:p>
    <w:p>
      <w:pPr>
        <w:pStyle w:val="Heading1"/>
      </w:pPr>
      <w:r>
        <w:t>13. Exit Boundary</w:t>
      </w:r>
    </w:p>
    <w:p>
      <w:r>
        <w:t>Closure PASS 后，FLIGGY provider-local feature development 原则上冻结。下一步只能由人工单独授权 cross-provider integration、main integration 或更高层 M9 closure review。Closure Unit 自身不得执行 main merge，也不得要求 CTRIP 为了 FLIGGY closure 同步完成。</w:t>
      </w:r>
    </w:p>
    <w:sectPr w:rsidR="00FC693F" w:rsidRPr="0006063C" w:rsidSect="00034616">
      <w:pgSz w:w="12240" w:h="15840"/>
      <w:pgMar w:top="835" w:right="950" w:bottom="835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