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0"/>
        </w:rPr>
        <w:t>Flight Agent M9-BP5-CTRIP-U2</w:t>
      </w:r>
    </w:p>
    <w:p>
      <w:pPr>
        <w:spacing w:after="200"/>
      </w:pPr>
      <w:r>
        <w:rPr>
          <w:rFonts w:ascii="Calibri" w:hAnsi="Calibri"/>
          <w:color w:val="1F4D78"/>
          <w:sz w:val="28"/>
        </w:rPr>
        <w:t>CTRIP Manual-Browser Evidence Capture / Assisted Acquisition Prototype Specification V0.1</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b/>
                <w:sz w:val="20"/>
              </w:rPr>
              <w:t>Status</w:t>
            </w:r>
          </w:p>
        </w:tc>
        <w:tc>
          <w:tcPr>
            <w:tcW w:type="dxa" w:w="6660"/>
            <w:vAlign w:val="center"/>
            <w:tcMar>
              <w:top w:w="80" w:type="dxa"/>
              <w:start w:w="120" w:type="dxa"/>
              <w:bottom w:w="80" w:type="dxa"/>
              <w:end w:w="120" w:type="dxa"/>
            </w:tcMar>
          </w:tcPr>
          <w:p>
            <w:r>
              <w:rPr>
                <w:rFonts w:ascii="Calibri" w:hAnsi="Calibri"/>
                <w:sz w:val="20"/>
              </w:rPr>
              <w:t>Formal Implementation Unit Specification / Governance Authority</w:t>
            </w:r>
          </w:p>
        </w:tc>
      </w:tr>
      <w:tr>
        <w:tc>
          <w:tcPr>
            <w:tcW w:type="dxa" w:w="2700"/>
            <w:vAlign w:val="center"/>
            <w:tcMar>
              <w:top w:w="80" w:type="dxa"/>
              <w:start w:w="120" w:type="dxa"/>
              <w:bottom w:w="80" w:type="dxa"/>
              <w:end w:w="120" w:type="dxa"/>
            </w:tcMar>
            <w:shd w:fill="F2F4F7"/>
          </w:tcPr>
          <w:p>
            <w:r>
              <w:rPr>
                <w:rFonts w:ascii="Calibri" w:hAnsi="Calibri"/>
                <w:b/>
                <w:sz w:val="20"/>
              </w:rPr>
              <w:t>Project</w:t>
            </w:r>
          </w:p>
        </w:tc>
        <w:tc>
          <w:tcPr>
            <w:tcW w:type="dxa" w:w="6660"/>
            <w:vAlign w:val="center"/>
            <w:tcMar>
              <w:top w:w="80" w:type="dxa"/>
              <w:start w:w="120" w:type="dxa"/>
              <w:bottom w:w="80" w:type="dxa"/>
              <w:end w:w="120" w:type="dxa"/>
            </w:tcMar>
          </w:tcPr>
          <w:p>
            <w:r>
              <w:rPr>
                <w:rFonts w:ascii="Calibri" w:hAnsi="Calibri"/>
                <w:sz w:val="20"/>
              </w:rPr>
              <w:t>Flight Agent</w:t>
            </w:r>
          </w:p>
        </w:tc>
      </w:tr>
      <w:tr>
        <w:tc>
          <w:tcPr>
            <w:tcW w:type="dxa" w:w="2700"/>
            <w:vAlign w:val="center"/>
            <w:tcMar>
              <w:top w:w="80" w:type="dxa"/>
              <w:start w:w="120" w:type="dxa"/>
              <w:bottom w:w="80" w:type="dxa"/>
              <w:end w:w="120" w:type="dxa"/>
            </w:tcMar>
            <w:shd w:fill="F2F4F7"/>
          </w:tcPr>
          <w:p>
            <w:r>
              <w:rPr>
                <w:rFonts w:ascii="Calibri" w:hAnsi="Calibri"/>
                <w:b/>
                <w:sz w:val="20"/>
              </w:rPr>
              <w:t>Milestone</w:t>
            </w:r>
          </w:p>
        </w:tc>
        <w:tc>
          <w:tcPr>
            <w:tcW w:type="dxa" w:w="6660"/>
            <w:vAlign w:val="center"/>
            <w:tcMar>
              <w:top w:w="80" w:type="dxa"/>
              <w:start w:w="120" w:type="dxa"/>
              <w:bottom w:w="80" w:type="dxa"/>
              <w:end w:w="120" w:type="dxa"/>
            </w:tcMar>
          </w:tcPr>
          <w:p>
            <w:r>
              <w:rPr>
                <w:rFonts w:ascii="Calibri" w:hAnsi="Calibri"/>
                <w:sz w:val="20"/>
              </w:rPr>
              <w:t>M9 - Real Shopping Provider Implementation</w:t>
            </w:r>
          </w:p>
        </w:tc>
      </w:tr>
      <w:tr>
        <w:tc>
          <w:tcPr>
            <w:tcW w:type="dxa" w:w="2700"/>
            <w:vAlign w:val="center"/>
            <w:tcMar>
              <w:top w:w="80" w:type="dxa"/>
              <w:start w:w="120" w:type="dxa"/>
              <w:bottom w:w="80" w:type="dxa"/>
              <w:end w:w="120" w:type="dxa"/>
            </w:tcMar>
            <w:shd w:fill="F2F4F7"/>
          </w:tcPr>
          <w:p>
            <w:r>
              <w:rPr>
                <w:rFonts w:ascii="Calibri" w:hAnsi="Calibri"/>
                <w:b/>
                <w:sz w:val="20"/>
              </w:rPr>
              <w:t>Track</w:t>
            </w:r>
          </w:p>
        </w:tc>
        <w:tc>
          <w:tcPr>
            <w:tcW w:type="dxa" w:w="6660"/>
            <w:vAlign w:val="center"/>
            <w:tcMar>
              <w:top w:w="80" w:type="dxa"/>
              <w:start w:w="120" w:type="dxa"/>
              <w:bottom w:w="80" w:type="dxa"/>
              <w:end w:w="120" w:type="dxa"/>
            </w:tcMar>
          </w:tcPr>
          <w:p>
            <w:r>
              <w:rPr>
                <w:rFonts w:ascii="Calibri" w:hAnsi="Calibri"/>
                <w:sz w:val="20"/>
              </w:rPr>
              <w:t>CTRIP Browser Acquisition</w:t>
            </w:r>
          </w:p>
        </w:tc>
      </w:tr>
      <w:tr>
        <w:tc>
          <w:tcPr>
            <w:tcW w:type="dxa" w:w="2700"/>
            <w:vAlign w:val="center"/>
            <w:tcMar>
              <w:top w:w="80" w:type="dxa"/>
              <w:start w:w="120" w:type="dxa"/>
              <w:bottom w:w="80" w:type="dxa"/>
              <w:end w:w="120" w:type="dxa"/>
            </w:tcMar>
            <w:shd w:fill="F2F4F7"/>
          </w:tcPr>
          <w:p>
            <w:r>
              <w:rPr>
                <w:rFonts w:ascii="Calibri" w:hAnsi="Calibri"/>
                <w:b/>
                <w:sz w:val="20"/>
              </w:rPr>
              <w:t>Unit</w:t>
            </w:r>
          </w:p>
        </w:tc>
        <w:tc>
          <w:tcPr>
            <w:tcW w:type="dxa" w:w="6660"/>
            <w:vAlign w:val="center"/>
            <w:tcMar>
              <w:top w:w="80" w:type="dxa"/>
              <w:start w:w="120" w:type="dxa"/>
              <w:bottom w:w="80" w:type="dxa"/>
              <w:end w:w="120" w:type="dxa"/>
            </w:tcMar>
          </w:tcPr>
          <w:p>
            <w:r>
              <w:rPr>
                <w:rFonts w:ascii="Calibri" w:hAnsi="Calibri"/>
                <w:sz w:val="20"/>
              </w:rPr>
              <w:t>M9-BP5-CTRIP-U2</w:t>
            </w:r>
          </w:p>
        </w:tc>
      </w:tr>
      <w:tr>
        <w:tc>
          <w:tcPr>
            <w:tcW w:type="dxa" w:w="2700"/>
            <w:vAlign w:val="center"/>
            <w:tcMar>
              <w:top w:w="80" w:type="dxa"/>
              <w:start w:w="120" w:type="dxa"/>
              <w:bottom w:w="80" w:type="dxa"/>
              <w:end w:w="120" w:type="dxa"/>
            </w:tcMar>
            <w:shd w:fill="F2F4F7"/>
          </w:tcPr>
          <w:p>
            <w:r>
              <w:rPr>
                <w:rFonts w:ascii="Calibri" w:hAnsi="Calibri"/>
                <w:b/>
                <w:sz w:val="20"/>
              </w:rPr>
              <w:t>Task Type</w:t>
            </w:r>
          </w:p>
        </w:tc>
        <w:tc>
          <w:tcPr>
            <w:tcW w:type="dxa" w:w="6660"/>
            <w:vAlign w:val="center"/>
            <w:tcMar>
              <w:top w:w="80" w:type="dxa"/>
              <w:start w:w="120" w:type="dxa"/>
              <w:bottom w:w="80" w:type="dxa"/>
              <w:end w:w="120" w:type="dxa"/>
            </w:tcMar>
          </w:tcPr>
          <w:p>
            <w:r>
              <w:rPr>
                <w:rFonts w:ascii="Calibri" w:hAnsi="Calibri"/>
                <w:sz w:val="20"/>
              </w:rPr>
              <w:t>Governance / Authority Establishment</w:t>
            </w:r>
          </w:p>
        </w:tc>
      </w:tr>
      <w:tr>
        <w:tc>
          <w:tcPr>
            <w:tcW w:type="dxa" w:w="2700"/>
            <w:vAlign w:val="center"/>
            <w:tcMar>
              <w:top w:w="80" w:type="dxa"/>
              <w:start w:w="120" w:type="dxa"/>
              <w:bottom w:w="80" w:type="dxa"/>
              <w:end w:w="120" w:type="dxa"/>
            </w:tcMar>
            <w:shd w:fill="F2F4F7"/>
          </w:tcPr>
          <w:p>
            <w:r>
              <w:rPr>
                <w:rFonts w:ascii="Calibri" w:hAnsi="Calibri"/>
                <w:b/>
                <w:sz w:val="20"/>
              </w:rPr>
              <w:t>Implementation Status</w:t>
            </w:r>
          </w:p>
        </w:tc>
        <w:tc>
          <w:tcPr>
            <w:tcW w:type="dxa" w:w="6660"/>
            <w:vAlign w:val="center"/>
            <w:tcMar>
              <w:top w:w="80" w:type="dxa"/>
              <w:start w:w="120" w:type="dxa"/>
              <w:bottom w:w="80" w:type="dxa"/>
              <w:end w:w="120" w:type="dxa"/>
            </w:tcMar>
          </w:tcPr>
          <w:p>
            <w:r>
              <w:rPr>
                <w:rFonts w:ascii="Calibri" w:hAnsi="Calibri"/>
                <w:sz w:val="20"/>
              </w:rPr>
              <w:t>AUTHORIZED AFTER GOVERNANCE COMMIT / NOT IMPLEMENTED BY THIS DOCUMENT</w:t>
            </w:r>
          </w:p>
        </w:tc>
      </w:tr>
      <w:tr>
        <w:tc>
          <w:tcPr>
            <w:tcW w:type="dxa" w:w="2700"/>
            <w:vAlign w:val="center"/>
            <w:tcMar>
              <w:top w:w="80" w:type="dxa"/>
              <w:start w:w="120" w:type="dxa"/>
              <w:bottom w:w="80" w:type="dxa"/>
              <w:end w:w="120" w:type="dxa"/>
            </w:tcMar>
            <w:shd w:fill="F2F4F7"/>
          </w:tcPr>
          <w:p>
            <w:r>
              <w:rPr>
                <w:rFonts w:ascii="Calibri" w:hAnsi="Calibri"/>
                <w:b/>
                <w:sz w:val="20"/>
              </w:rPr>
              <w:t>Provider Identity</w:t>
            </w:r>
          </w:p>
        </w:tc>
        <w:tc>
          <w:tcPr>
            <w:tcW w:type="dxa" w:w="6660"/>
            <w:vAlign w:val="center"/>
            <w:tcMar>
              <w:top w:w="80" w:type="dxa"/>
              <w:start w:w="120" w:type="dxa"/>
              <w:bottom w:w="80" w:type="dxa"/>
              <w:end w:w="120" w:type="dxa"/>
            </w:tcMar>
          </w:tcPr>
          <w:p>
            <w:r>
              <w:rPr>
                <w:rFonts w:ascii="Calibri" w:hAnsi="Calibri"/>
                <w:sz w:val="20"/>
              </w:rPr>
              <w:t>CTRIP</w:t>
            </w:r>
          </w:p>
        </w:tc>
      </w:tr>
      <w:tr>
        <w:tc>
          <w:tcPr>
            <w:tcW w:type="dxa" w:w="2700"/>
            <w:vAlign w:val="center"/>
            <w:tcMar>
              <w:top w:w="80" w:type="dxa"/>
              <w:start w:w="120" w:type="dxa"/>
              <w:bottom w:w="80" w:type="dxa"/>
              <w:end w:w="120" w:type="dxa"/>
            </w:tcMar>
            <w:shd w:fill="F2F4F7"/>
          </w:tcPr>
          <w:p>
            <w:r>
              <w:rPr>
                <w:rFonts w:ascii="Calibri" w:hAnsi="Calibri"/>
                <w:b/>
                <w:sz w:val="20"/>
              </w:rPr>
              <w:t>Acquisition Strategy</w:t>
            </w:r>
          </w:p>
        </w:tc>
        <w:tc>
          <w:tcPr>
            <w:tcW w:type="dxa" w:w="6660"/>
            <w:vAlign w:val="center"/>
            <w:tcMar>
              <w:top w:w="80" w:type="dxa"/>
              <w:start w:w="120" w:type="dxa"/>
              <w:bottom w:w="80" w:type="dxa"/>
              <w:end w:w="120" w:type="dxa"/>
            </w:tcMar>
          </w:tcPr>
          <w:p>
            <w:r>
              <w:rPr>
                <w:rFonts w:ascii="Calibri" w:hAnsi="Calibri"/>
                <w:sz w:val="20"/>
              </w:rPr>
              <w:t>BROWSER_ASSISTED, a bounded subtype of Browser Acquisition</w:t>
            </w:r>
          </w:p>
        </w:tc>
      </w:tr>
    </w:tbl>
    <w:p>
      <w:pPr>
        <w:pStyle w:val="Heading1"/>
      </w:pPr>
      <w:r>
        <w:t>1. Background / Motivation</w:t>
      </w:r>
    </w:p>
    <w:p>
      <w:r>
        <w:t>CTRIP-U1 implemented a bounded automated Browser probe through Playwright. Local Playwright launch succeeded, but the live CTRIP public page returned access protection identified as whaleguard block and was correctly classified as ACCESS_CHALLENGE. Manual human verification indicates that normal user-driven Chrome access and consumer flight search remain available. This document establishes formal authority for a bounded assisted-acquisition prototype that receives or observes evidence already produced by a human-controlled browser without attempting anti-bot evasion.</w:t>
      </w:r>
    </w:p>
    <w:p>
      <w:pPr>
        <w:pStyle w:val="Heading1"/>
      </w:pPr>
      <w:r>
        <w:t>2. Authority and Relationship to M9 / CTRIP-U1</w:t>
      </w:r>
    </w:p>
    <w:p>
      <w:pPr>
        <w:pStyle w:val="ListBullet"/>
      </w:pPr>
      <w:r>
        <w:t>Upstream authority remains docs/DOCUMENT_AUTHORITY.md, project-docs/DOCUMENT_AUTHORITY_updated.md, and the M9 Real Shopping Provider Implementation Specification V0.1.</w:t>
      </w:r>
    </w:p>
    <w:p>
      <w:pPr>
        <w:pStyle w:val="ListBullet"/>
      </w:pPr>
      <w:r>
        <w:t>CTRIP-U1 remains the authority and implementation evidence for the bounded automated CTRIP browser offer probe.</w:t>
      </w:r>
    </w:p>
    <w:p>
      <w:pPr>
        <w:pStyle w:val="ListBullet"/>
      </w:pPr>
      <w:r>
        <w:t>CTRIP-U2 is additive governance for assisted acquisition only; it does not supersede CTRIP-U1.</w:t>
      </w:r>
    </w:p>
    <w:p>
      <w:pPr>
        <w:pStyle w:val="ListBullet"/>
      </w:pPr>
      <w:r>
        <w:t>M9 remains OPEN / IN PROGRESS and this document does not select CTRIP as the final first Provider.</w:t>
      </w:r>
    </w:p>
    <w:p>
      <w:pPr>
        <w:pStyle w:val="Heading1"/>
      </w:pPr>
      <w:r>
        <w:t>3. Problem Statement</w:t>
      </w:r>
    </w:p>
    <w:p>
      <w:r>
        <w:t>Automated browser navigation is blocked by provider access protection, while manual normal browsing can still produce rich shopping evidence. The project needs a safe way to test ingestion of already-produced browser evidence without bypassing access protection or converting observed internal requests into a direct API integration.</w:t>
      </w:r>
    </w:p>
    <w:p>
      <w:pPr>
        <w:pStyle w:val="Heading1"/>
      </w:pPr>
      <w:r>
        <w:t>4. Goals</w:t>
      </w:r>
    </w:p>
    <w:p>
      <w:pPr>
        <w:pStyle w:val="ListBullet"/>
      </w:pPr>
      <w:r>
        <w:t>Authorize a bounded prototype for manual-browser evidence capture and assisted local ingestion.</w:t>
      </w:r>
    </w:p>
    <w:p>
      <w:pPr>
        <w:pStyle w:val="ListBullet"/>
      </w:pPr>
      <w:r>
        <w:t>Preserve CTRIP as provider identity and Browser Acquisition as the governing acquisition family.</w:t>
      </w:r>
    </w:p>
    <w:p>
      <w:pPr>
        <w:pStyle w:val="ListBullet"/>
      </w:pPr>
      <w:r>
        <w:t>Permit sanitized JSON evidence import, validation, parsing, classification, and mapping feasibility assessment.</w:t>
      </w:r>
    </w:p>
    <w:p>
      <w:pPr>
        <w:pStyle w:val="ListBullet"/>
      </w:pPr>
      <w:r>
        <w:t>Support Level-1 batchSearch-like evidence and optionally Level-2 post-selection evidence when manually captured.</w:t>
      </w:r>
    </w:p>
    <w:p>
      <w:pPr>
        <w:pStyle w:val="ListBullet"/>
      </w:pPr>
      <w:r>
        <w:t>Require deterministic offline tests and evidence minimization before any implementation is accepted.</w:t>
      </w:r>
    </w:p>
    <w:p>
      <w:pPr>
        <w:pStyle w:val="Heading1"/>
      </w:pPr>
      <w:r>
        <w:t>5. Non-goals</w:t>
      </w:r>
    </w:p>
    <w:p>
      <w:pPr>
        <w:pStyle w:val="ListBullet"/>
      </w:pPr>
      <w:r>
        <w:t>No production CTRIP FlightProvider Adapter or final Mapper.</w:t>
      </w:r>
    </w:p>
    <w:p>
      <w:pPr>
        <w:pStyle w:val="ListBullet"/>
      </w:pPr>
      <w:r>
        <w:t>No canonical Domain Offer, FlightSegment, Itinerary, ProviderSearchResult, CandidateSnapshot, Coverage, Freshness, PurchaseAccess, ranking, or decision redesign.</w:t>
      </w:r>
    </w:p>
    <w:p>
      <w:pPr>
        <w:pStyle w:val="ListBullet"/>
      </w:pPr>
      <w:r>
        <w:t>No checkout, login automation, passenger data entry, payment, order submission, or purchase action.</w:t>
      </w:r>
    </w:p>
    <w:p>
      <w:pPr>
        <w:pStyle w:val="ListBullet"/>
      </w:pPr>
      <w:r>
        <w:t>No anti-bot bypass, stealth automation, private signature reverse engineering, or direct replay of observed CTRIP internal endpoints.</w:t>
      </w:r>
    </w:p>
    <w:p>
      <w:pPr>
        <w:pStyle w:val="Heading1"/>
      </w:pPr>
      <w:r>
        <w:t>6. Definitions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b/>
                <w:sz w:val="20"/>
              </w:rPr>
              <w:t>Assisted Acquisition</w:t>
            </w:r>
          </w:p>
        </w:tc>
        <w:tc>
          <w:tcPr>
            <w:tcW w:type="dxa" w:w="6660"/>
            <w:vAlign w:val="center"/>
            <w:tcMar>
              <w:top w:w="80" w:type="dxa"/>
              <w:start w:w="120" w:type="dxa"/>
              <w:bottom w:w="80" w:type="dxa"/>
              <w:end w:w="120" w:type="dxa"/>
            </w:tcMar>
          </w:tcPr>
          <w:p>
            <w:r>
              <w:rPr>
                <w:rFonts w:ascii="Calibri" w:hAnsi="Calibri"/>
                <w:sz w:val="20"/>
              </w:rPr>
              <w:t>A bounded Browser Acquisition subtype where a human operates the browser and project code imports or observes already-produced evidence.</w:t>
            </w:r>
          </w:p>
        </w:tc>
      </w:tr>
      <w:tr>
        <w:tc>
          <w:tcPr>
            <w:tcW w:type="dxa" w:w="2700"/>
            <w:vAlign w:val="center"/>
            <w:tcMar>
              <w:top w:w="80" w:type="dxa"/>
              <w:start w:w="120" w:type="dxa"/>
              <w:bottom w:w="80" w:type="dxa"/>
              <w:end w:w="120" w:type="dxa"/>
            </w:tcMar>
            <w:shd w:fill="F2F4F7"/>
          </w:tcPr>
          <w:p>
            <w:r>
              <w:rPr>
                <w:rFonts w:ascii="Calibri" w:hAnsi="Calibri"/>
                <w:b/>
                <w:sz w:val="20"/>
              </w:rPr>
              <w:t>Manual Export / Local Import</w:t>
            </w:r>
          </w:p>
        </w:tc>
        <w:tc>
          <w:tcPr>
            <w:tcW w:type="dxa" w:w="6660"/>
            <w:vAlign w:val="center"/>
            <w:tcMar>
              <w:top w:w="80" w:type="dxa"/>
              <w:start w:w="120" w:type="dxa"/>
              <w:bottom w:w="80" w:type="dxa"/>
              <w:end w:w="120" w:type="dxa"/>
            </w:tcMar>
          </w:tcPr>
          <w:p>
            <w:r>
              <w:rPr>
                <w:rFonts w:ascii="Calibri" w:hAnsi="Calibri"/>
                <w:sz w:val="20"/>
              </w:rPr>
              <w:t>The preferred mode: the user manually captures a sanitized response body or selected JSON payload and imports it locally.</w:t>
            </w:r>
          </w:p>
        </w:tc>
      </w:tr>
      <w:tr>
        <w:tc>
          <w:tcPr>
            <w:tcW w:type="dxa" w:w="2700"/>
            <w:vAlign w:val="center"/>
            <w:tcMar>
              <w:top w:w="80" w:type="dxa"/>
              <w:start w:w="120" w:type="dxa"/>
              <w:bottom w:w="80" w:type="dxa"/>
              <w:end w:w="120" w:type="dxa"/>
            </w:tcMar>
            <w:shd w:fill="F2F4F7"/>
          </w:tcPr>
          <w:p>
            <w:r>
              <w:rPr>
                <w:rFonts w:ascii="Calibri" w:hAnsi="Calibri"/>
                <w:b/>
                <w:sz w:val="20"/>
              </w:rPr>
              <w:t>Read-Only Browser Observation</w:t>
            </w:r>
          </w:p>
        </w:tc>
        <w:tc>
          <w:tcPr>
            <w:tcW w:type="dxa" w:w="6660"/>
            <w:vAlign w:val="center"/>
            <w:tcMar>
              <w:top w:w="80" w:type="dxa"/>
              <w:start w:w="120" w:type="dxa"/>
              <w:bottom w:w="80" w:type="dxa"/>
              <w:end w:w="120" w:type="dxa"/>
            </w:tcMar>
          </w:tcPr>
          <w:p>
            <w:r>
              <w:rPr>
                <w:rFonts w:ascii="Calibri" w:hAnsi="Calibri"/>
                <w:sz w:val="20"/>
              </w:rPr>
              <w:t>A secondary mode where project code may observe an already user-controlled browser session without navigation, click, search, mutation, stealth, or persistence.</w:t>
            </w:r>
          </w:p>
        </w:tc>
      </w:tr>
      <w:tr>
        <w:tc>
          <w:tcPr>
            <w:tcW w:type="dxa" w:w="2700"/>
            <w:vAlign w:val="center"/>
            <w:tcMar>
              <w:top w:w="80" w:type="dxa"/>
              <w:start w:w="120" w:type="dxa"/>
              <w:bottom w:w="80" w:type="dxa"/>
              <w:end w:w="120" w:type="dxa"/>
            </w:tcMar>
            <w:shd w:fill="F2F4F7"/>
          </w:tcPr>
          <w:p>
            <w:r>
              <w:rPr>
                <w:rFonts w:ascii="Calibri" w:hAnsi="Calibri"/>
                <w:b/>
                <w:sz w:val="20"/>
              </w:rPr>
              <w:t>Evidence Label</w:t>
            </w:r>
          </w:p>
        </w:tc>
        <w:tc>
          <w:tcPr>
            <w:tcW w:type="dxa" w:w="6660"/>
            <w:vAlign w:val="center"/>
            <w:tcMar>
              <w:top w:w="80" w:type="dxa"/>
              <w:start w:w="120" w:type="dxa"/>
              <w:bottom w:w="80" w:type="dxa"/>
              <w:end w:w="120" w:type="dxa"/>
            </w:tcMar>
          </w:tcPr>
          <w:p>
            <w:r>
              <w:rPr>
                <w:rFonts w:ascii="Calibri" w:hAnsi="Calibri"/>
                <w:sz w:val="20"/>
              </w:rPr>
              <w:t>A request or payload label such as batchSearch used only to identify browser-originated evidence, not a public API contract.</w:t>
            </w:r>
          </w:p>
        </w:tc>
      </w:tr>
    </w:tbl>
    <w:p>
      <w:pPr>
        <w:pStyle w:val="Heading1"/>
      </w:pPr>
      <w:r>
        <w:t>7. Provider vs Acquisition Identity</w:t>
      </w:r>
    </w:p>
    <w:p>
      <w:r>
        <w:t>ProviderIdentity remains CTRIP. AcquisitionStrategy is BROWSER_ASSISTED, or the closest provider-neutral equivalent under Browser Acquisition. Assisted Acquisition is not a new Provider and must not introduce terminology that conflicts with M9 acquisition abstractions.</w:t>
      </w:r>
    </w:p>
    <w:p>
      <w:pPr>
        <w:pStyle w:val="Heading1"/>
      </w:pPr>
      <w:r>
        <w:t>8. Assisted Acquisition Architecture</w:t>
      </w:r>
    </w:p>
    <w:p>
      <w:pPr>
        <w:pStyle w:val="ListNumber"/>
      </w:pPr>
      <w:r>
        <w:t>A user performs normal CTRIP search or booking-selection interaction in a normal browser.</w:t>
      </w:r>
    </w:p>
    <w:p>
      <w:pPr>
        <w:pStyle w:val="ListNumber"/>
      </w:pPr>
      <w:r>
        <w:t>The browser receives or renders provider evidence through the normal consumer path.</w:t>
      </w:r>
    </w:p>
    <w:p>
      <w:pPr>
        <w:pStyle w:val="ListNumber"/>
      </w:pPr>
      <w:r>
        <w:t>Only selected, sanitized evidence is exported or observed after it already exists in the user-controlled browser.</w:t>
      </w:r>
    </w:p>
    <w:p>
      <w:pPr>
        <w:pStyle w:val="ListNumber"/>
      </w:pPr>
      <w:r>
        <w:t>Project-local code validates, sanitizes, parses, classifies, and summarizes provider-specific raw evidence.</w:t>
      </w:r>
    </w:p>
    <w:p>
      <w:pPr>
        <w:pStyle w:val="ListNumber"/>
      </w:pPr>
      <w:r>
        <w:t>The result is a probe/evidence report and mapping feasibility assessment, not canonical Domain output.</w:t>
      </w:r>
    </w:p>
    <w:p>
      <w:pPr>
        <w:pStyle w:val="Heading1"/>
      </w:pPr>
      <w:r>
        <w:t>9. Allowed Capture Modes</w:t>
      </w:r>
    </w:p>
    <w:p>
      <w:pPr>
        <w:pStyle w:val="Heading2"/>
      </w:pPr>
      <w:r>
        <w:t>Mode A - Manual Export / Local Import</w:t>
      </w:r>
    </w:p>
    <w:p>
      <w:r>
        <w:t>Mode A is the preferred first implementation path. It requires no browser attachment and no automation. The user manually saves or copies a sanitized JSON response body or selected business payload to a local file, and project tooling imports, validates, sanitizes, parses, and summarizes it.</w:t>
      </w:r>
    </w:p>
    <w:p>
      <w:pPr>
        <w:pStyle w:val="Heading2"/>
      </w:pPr>
      <w:r>
        <w:t>Mode B - Read-Only Browser Observation</w:t>
      </w:r>
    </w:p>
    <w:p>
      <w:r>
        <w:t>Mode B is allowed only as a secondary bounded experiment if implementation review finds it technically safe and necessary. The browser must be launched and controlled by the user. Project code must not navigate, click, search, mutate page state, inject stealth logic, persist cookies/tokens, export browser storage, or automate login/booking.</w:t>
      </w:r>
    </w:p>
    <w:p>
      <w:pPr>
        <w:pStyle w:val="Heading1"/>
      </w:pPr>
      <w:r>
        <w:t>10. Evidence Contract</w:t>
      </w:r>
    </w:p>
    <w:p>
      <w:pPr>
        <w:pStyle w:val="ListBullet"/>
      </w:pPr>
      <w:r>
        <w:t>Permitted input includes JSON response bodies, selected JSON objects, structured text exports, and synthetic or strongly sanitized fixtures.</w:t>
      </w:r>
    </w:p>
    <w:p>
      <w:pPr>
        <w:pStyle w:val="ListBullet"/>
      </w:pPr>
      <w:r>
        <w:t>Allowed metadata includes provider identity, route/date, acquisition timestamp, request label, sanitized source label, and non-sensitive browser-observation metadata.</w:t>
      </w:r>
    </w:p>
    <w:p>
      <w:pPr>
        <w:pStyle w:val="ListBullet"/>
      </w:pPr>
      <w:r>
        <w:t>Forbidden input includes Cookie, Set-Cookie, Authorization, session tokens, CSRF tokens, saved passwords, account identity, full HAR, browser profile, storage dumps, payment/order data, and passenger PII.</w:t>
      </w:r>
    </w:p>
    <w:p>
      <w:pPr>
        <w:pStyle w:val="ListBullet"/>
      </w:pPr>
      <w:r>
        <w:t>Evidence generated by browser requests such as batchSearch is browser-originated evidence only and must not be promoted to a direct client or public API dependency.</w:t>
      </w:r>
    </w:p>
    <w:p>
      <w:pPr>
        <w:pStyle w:val="Heading1"/>
      </w:pPr>
      <w:r>
        <w:t>11. Sanitization / Security Contract</w:t>
      </w:r>
    </w:p>
    <w:p>
      <w:pPr>
        <w:pStyle w:val="ListBullet"/>
      </w:pPr>
      <w:r>
        <w:t>Evidence ingestion must fail closed when sensitive material is detected and cannot be safely removed or classified.</w:t>
      </w:r>
    </w:p>
    <w:p>
      <w:pPr>
        <w:pStyle w:val="ListBullet"/>
      </w:pPr>
      <w:r>
        <w:t>Live raw evidence defaults to LOCAL-ONLY and must not be committed unless separately approved as a sanitized formal fixture.</w:t>
      </w:r>
    </w:p>
    <w:p>
      <w:pPr>
        <w:pStyle w:val="ListBullet"/>
      </w:pPr>
      <w:r>
        <w:t>Sanitization must reject or remove cookie-like fields, authorization headers, token/session fields, CSRF fields, sensitive request headers, account identifiers, browser storage dumps, personal data, and payment/order data.</w:t>
      </w:r>
    </w:p>
    <w:p>
      <w:pPr>
        <w:pStyle w:val="ListBullet"/>
      </w:pPr>
      <w:r>
        <w:t>No full HAR may be accepted or committed without a future explicit governance action.</w:t>
      </w:r>
    </w:p>
    <w:p>
      <w:pPr>
        <w:pStyle w:val="Heading1"/>
      </w:pPr>
      <w:r>
        <w:t>12. Level-1 / Level-2 Evidence Model</w:t>
      </w:r>
    </w:p>
    <w:p>
      <w:pPr>
        <w:pStyle w:val="Heading2"/>
      </w:pPr>
      <w:r>
        <w:t>Level-1</w:t>
      </w:r>
    </w:p>
    <w:p>
      <w:r>
        <w:t>Level-1 evidence includes itinerary identity, segment structure, carrier, flight number, airports, datetimes, terminals, aircraft, duration, stop or transfer information, summary priceList seams, and offer-like product information observed in search result evidence.</w:t>
      </w:r>
    </w:p>
    <w:p>
      <w:pPr>
        <w:pStyle w:val="Heading2"/>
      </w:pPr>
      <w:r>
        <w:t>Level-2</w:t>
      </w:r>
    </w:p>
    <w:p>
      <w:r>
        <w:t>Level-2 evidence may include richer product identity, seller or supplier, cabin or fare, concrete price, baggage, refund/change rules, restrictions, inventory or availability, booking identity, and PurchaseAccess evidence after a normal user booking-selection action. CTRIP-U2 must not require Level-2 to exist. Missing data remains UNKNOWN.</w:t>
      </w:r>
    </w:p>
    <w:p>
      <w:pPr>
        <w:pStyle w:val="Heading1"/>
      </w:pPr>
      <w:r>
        <w:t>13. Canonical Mapping Boundary</w:t>
      </w:r>
    </w:p>
    <w:p>
      <w:r>
        <w:t>CTRIP-U2 may assess mapping feasibility using CONFIRMED, PARTIAL, UNKNOWN, or NOT_APPLICABLE. It must not construct authoritative FlightSegment, Itinerary, Offer, ProviderSearchResult, PurchaseAccess, Coverage, Freshness, CandidateSnapshot, Requirement, ranking, or decision objects. CTRIP raw nesting must not redefine Canonical Domain. Price remains an Offer-level concept under existing Domain authority.</w:t>
      </w:r>
    </w:p>
    <w:p>
      <w:pPr>
        <w:pStyle w:val="Heading1"/>
      </w:pPr>
      <w:r>
        <w:t>14. Allowed Scope</w:t>
      </w:r>
    </w:p>
    <w:p>
      <w:pPr>
        <w:pStyle w:val="ListBullet"/>
      </w:pPr>
      <w:r>
        <w:t>CTRIP assisted-acquisition evidence ingestion, validation, sanitization, provider-specific parser, classification, local CLI/helper tooling, synthetic or strongly sanitized fixtures, deterministic tests, local-only runtime artifacts, and mapping feasibility assessment.</w:t>
      </w:r>
    </w:p>
    <w:p>
      <w:pPr>
        <w:pStyle w:val="ListBullet"/>
      </w:pPr>
      <w:r>
        <w:t>Read-only observation of an already user-controlled browser session only under the Mode B constraints above.</w:t>
      </w:r>
    </w:p>
    <w:p>
      <w:pPr>
        <w:pStyle w:val="Heading1"/>
      </w:pPr>
      <w:r>
        <w:t>15. Forbidden Scope</w:t>
      </w:r>
    </w:p>
    <w:p>
      <w:pPr>
        <w:pStyle w:val="ListBullet"/>
      </w:pPr>
      <w:r>
        <w:t>Playwright stealth, webdriver masking, fingerprint spoofing, anti-detection patches, proxy/IP rotation for evasion, CAPTCHA/slider/whaleguard bypass, access-control circumvention, private signature reverse engineering, direct HTTPX/requests replay of CTRIP internal endpoints, importing cookies into an automated client, session/token persistence, full HAR persistence, automated login or booking, order submission, passenger entry, payment, production CTRIP Adapter, production final Mapper, Domain redesign, broad refactor, unrelated Fliggy changes, and source/test/script changes in this governance task.</w:t>
      </w:r>
    </w:p>
    <w:p>
      <w:pPr>
        <w:pStyle w:val="Heading1"/>
      </w:pPr>
      <w:r>
        <w:t>16. Test / Validation Requirements</w:t>
      </w:r>
    </w:p>
    <w:p>
      <w:pPr>
        <w:pStyle w:val="ListBullet"/>
      </w:pPr>
      <w:r>
        <w:t>Valid sanitized batchSearch import.</w:t>
      </w:r>
    </w:p>
    <w:p>
      <w:pPr>
        <w:pStyle w:val="ListBullet"/>
      </w:pPr>
      <w:r>
        <w:t>Itinerary, segment, and priceList extraction.</w:t>
      </w:r>
    </w:p>
    <w:p>
      <w:pPr>
        <w:pStyle w:val="ListBullet"/>
      </w:pPr>
      <w:r>
        <w:t>Missing field preservation.</w:t>
      </w:r>
    </w:p>
    <w:p>
      <w:pPr>
        <w:pStyle w:val="ListBullet"/>
      </w:pPr>
      <w:r>
        <w:t>Unsafe evidence rejection for Cookie, Authorization, Set-Cookie, session, token, and csrf fields using synthetic values only.</w:t>
      </w:r>
    </w:p>
    <w:p>
      <w:pPr>
        <w:pStyle w:val="ListBullet"/>
      </w:pPr>
      <w:r>
        <w:t>Malformed input rejection.</w:t>
      </w:r>
    </w:p>
    <w:p>
      <w:pPr>
        <w:pStyle w:val="ListBullet"/>
      </w:pPr>
      <w:r>
        <w:t>Level-1 classification and Level-2 classification when a fixture exists.</w:t>
      </w:r>
    </w:p>
    <w:p>
      <w:pPr>
        <w:pStyle w:val="ListBullet"/>
      </w:pPr>
      <w:r>
        <w:t>No Canonical authority creation and no network access.</w:t>
      </w:r>
    </w:p>
    <w:p>
      <w:pPr>
        <w:pStyle w:val="ListBullet"/>
      </w:pPr>
      <w:r>
        <w:t>Existing CTRIP probe regression, provider regression, and architecture gates remain green where relevant.</w:t>
      </w:r>
    </w:p>
    <w:p>
      <w:pPr>
        <w:pStyle w:val="Heading1"/>
      </w:pPr>
      <w:r>
        <w:t>17. Contract Amendment STOP Conditions</w:t>
      </w:r>
    </w:p>
    <w:p>
      <w:pPr>
        <w:pStyle w:val="ListBullet"/>
      </w:pPr>
      <w:r>
        <w:t>STOP if implementation requires changing FlightSegment, Itinerary, Offer, ProviderSearchResult, Coverage, Freshness, PurchaseAccess, CandidateSnapshot, Requirement Pipeline, ranking, decision semantics, security rules, or architecture dependency direction.</w:t>
      </w:r>
    </w:p>
    <w:p>
      <w:pPr>
        <w:pStyle w:val="ListBullet"/>
      </w:pPr>
      <w:r>
        <w:t>STOP if evidence cannot be represented as provider-specific raw evidence without canonical redesign.</w:t>
      </w:r>
    </w:p>
    <w:p>
      <w:pPr>
        <w:pStyle w:val="ListBullet"/>
      </w:pPr>
      <w:r>
        <w:t>STOP if a proposed implementation requires anti-bot bypass, direct internal endpoint replay, authentication automation, checkout, or sensitive browser-state persistence.</w:t>
      </w:r>
    </w:p>
    <w:p>
      <w:pPr>
        <w:pStyle w:val="Heading1"/>
      </w:pPr>
      <w:r>
        <w:t>18. Exit Gates</w:t>
      </w:r>
    </w:p>
    <w:tbl>
      <w:tblPr>
        <w:tblStyle w:val="TableGrid"/>
        <w:tblW w:type="dxa" w:w="9360"/>
        <w:jc w:val="left"/>
        <w:tblLayout w:type="fixed"/>
        <w:tblLook w:firstColumn="1" w:firstRow="1" w:lastColumn="0" w:lastRow="0" w:noHBand="0" w:noVBand="1" w:val="04A0"/>
        <w:tblInd w:w="120" w:type="dxa"/>
      </w:tblPr>
      <w:tblGrid>
        <w:gridCol w:w="900"/>
        <w:gridCol w:w="2200"/>
        <w:gridCol w:w="6260"/>
      </w:tblGrid>
      <w:tr>
        <w:tc>
          <w:tcPr>
            <w:tcW w:type="dxa" w:w="900"/>
            <w:shd w:fill="F2F4F7"/>
            <w:vAlign w:val="center"/>
            <w:tcMar>
              <w:top w:w="80" w:type="dxa"/>
              <w:start w:w="120" w:type="dxa"/>
              <w:bottom w:w="80" w:type="dxa"/>
              <w:end w:w="120" w:type="dxa"/>
            </w:tcMar>
          </w:tcPr>
          <w:p>
            <w:r>
              <w:rPr>
                <w:b/>
              </w:rPr>
              <w:t>Gate</w:t>
            </w:r>
          </w:p>
        </w:tc>
        <w:tc>
          <w:tcPr>
            <w:tcW w:type="dxa" w:w="2200"/>
            <w:shd w:fill="F2F4F7"/>
            <w:vAlign w:val="center"/>
            <w:tcMar>
              <w:top w:w="80" w:type="dxa"/>
              <w:start w:w="120" w:type="dxa"/>
              <w:bottom w:w="80" w:type="dxa"/>
              <w:end w:w="120" w:type="dxa"/>
            </w:tcMar>
          </w:tcPr>
          <w:p>
            <w:r>
              <w:rPr>
                <w:b/>
              </w:rPr>
              <w:t>Name</w:t>
            </w:r>
          </w:p>
        </w:tc>
        <w:tc>
          <w:tcPr>
            <w:tcW w:type="dxa" w:w="6260"/>
            <w:shd w:fill="F2F4F7"/>
            <w:vAlign w:val="center"/>
            <w:tcMar>
              <w:top w:w="80" w:type="dxa"/>
              <w:start w:w="120" w:type="dxa"/>
              <w:bottom w:w="80" w:type="dxa"/>
              <w:end w:w="120" w:type="dxa"/>
            </w:tcMar>
          </w:tcPr>
          <w:p>
            <w:r>
              <w:rPr>
                <w:b/>
              </w:rPr>
              <w:t>Requirement</w:t>
            </w:r>
          </w:p>
        </w:tc>
      </w:tr>
      <w:tr>
        <w:tc>
          <w:tcPr>
            <w:tcW w:type="dxa" w:w="900"/>
            <w:vAlign w:val="center"/>
            <w:tcMar>
              <w:top w:w="80" w:type="dxa"/>
              <w:start w:w="120" w:type="dxa"/>
              <w:bottom w:w="80" w:type="dxa"/>
              <w:end w:w="120" w:type="dxa"/>
            </w:tcMar>
          </w:tcPr>
          <w:p>
            <w:r>
              <w:t>G1</w:t>
            </w:r>
          </w:p>
        </w:tc>
        <w:tc>
          <w:tcPr>
            <w:tcW w:type="dxa" w:w="2200"/>
            <w:vAlign w:val="center"/>
            <w:tcMar>
              <w:top w:w="80" w:type="dxa"/>
              <w:start w:w="120" w:type="dxa"/>
              <w:bottom w:w="80" w:type="dxa"/>
              <w:end w:w="120" w:type="dxa"/>
            </w:tcMar>
          </w:tcPr>
          <w:p>
            <w:r>
              <w:t>Authority clarity</w:t>
            </w:r>
          </w:p>
        </w:tc>
        <w:tc>
          <w:tcPr>
            <w:tcW w:type="dxa" w:w="6260"/>
            <w:vAlign w:val="center"/>
            <w:tcMar>
              <w:top w:w="80" w:type="dxa"/>
              <w:start w:w="120" w:type="dxa"/>
              <w:bottom w:w="80" w:type="dxa"/>
              <w:end w:w="120" w:type="dxa"/>
            </w:tcMar>
          </w:tcPr>
          <w:p>
            <w:r>
              <w:t>CTRIP-U2 is explicitly registered as an authorized bounded assisted-acquisition prototype.</w:t>
            </w:r>
          </w:p>
        </w:tc>
      </w:tr>
      <w:tr>
        <w:tc>
          <w:tcPr>
            <w:tcW w:type="dxa" w:w="900"/>
            <w:vAlign w:val="center"/>
            <w:tcMar>
              <w:top w:w="80" w:type="dxa"/>
              <w:start w:w="120" w:type="dxa"/>
              <w:bottom w:w="80" w:type="dxa"/>
              <w:end w:w="120" w:type="dxa"/>
            </w:tcMar>
          </w:tcPr>
          <w:p>
            <w:r>
              <w:t>G2</w:t>
            </w:r>
          </w:p>
        </w:tc>
        <w:tc>
          <w:tcPr>
            <w:tcW w:type="dxa" w:w="2200"/>
            <w:vAlign w:val="center"/>
            <w:tcMar>
              <w:top w:w="80" w:type="dxa"/>
              <w:start w:w="120" w:type="dxa"/>
              <w:bottom w:w="80" w:type="dxa"/>
              <w:end w:w="120" w:type="dxa"/>
            </w:tcMar>
          </w:tcPr>
          <w:p>
            <w:r>
              <w:t>Provider identity preserved</w:t>
            </w:r>
          </w:p>
        </w:tc>
        <w:tc>
          <w:tcPr>
            <w:tcW w:type="dxa" w:w="6260"/>
            <w:vAlign w:val="center"/>
            <w:tcMar>
              <w:top w:w="80" w:type="dxa"/>
              <w:start w:w="120" w:type="dxa"/>
              <w:bottom w:w="80" w:type="dxa"/>
              <w:end w:w="120" w:type="dxa"/>
            </w:tcMar>
          </w:tcPr>
          <w:p>
            <w:r>
              <w:t>CTRIP remains the Provider; assisted acquisition is an acquisition strategy under Browser Acquisition.</w:t>
            </w:r>
          </w:p>
        </w:tc>
      </w:tr>
      <w:tr>
        <w:tc>
          <w:tcPr>
            <w:tcW w:type="dxa" w:w="900"/>
            <w:vAlign w:val="center"/>
            <w:tcMar>
              <w:top w:w="80" w:type="dxa"/>
              <w:start w:w="120" w:type="dxa"/>
              <w:bottom w:w="80" w:type="dxa"/>
              <w:end w:w="120" w:type="dxa"/>
            </w:tcMar>
          </w:tcPr>
          <w:p>
            <w:r>
              <w:t>G3</w:t>
            </w:r>
          </w:p>
        </w:tc>
        <w:tc>
          <w:tcPr>
            <w:tcW w:type="dxa" w:w="2200"/>
            <w:vAlign w:val="center"/>
            <w:tcMar>
              <w:top w:w="80" w:type="dxa"/>
              <w:start w:w="120" w:type="dxa"/>
              <w:bottom w:w="80" w:type="dxa"/>
              <w:end w:w="120" w:type="dxa"/>
            </w:tcMar>
          </w:tcPr>
          <w:p>
            <w:r>
              <w:t>No anti-bot bypass</w:t>
            </w:r>
          </w:p>
        </w:tc>
        <w:tc>
          <w:tcPr>
            <w:tcW w:type="dxa" w:w="6260"/>
            <w:vAlign w:val="center"/>
            <w:tcMar>
              <w:top w:w="80" w:type="dxa"/>
              <w:start w:w="120" w:type="dxa"/>
              <w:bottom w:w="80" w:type="dxa"/>
              <w:end w:w="120" w:type="dxa"/>
            </w:tcMar>
          </w:tcPr>
          <w:p>
            <w:r>
              <w:t>The specification forbids evasion, circumvention, stealth, fingerprint spoofing, proxy rotation, CAPTCHA/slider bypass, and whaleguard bypass.</w:t>
            </w:r>
          </w:p>
        </w:tc>
      </w:tr>
      <w:tr>
        <w:tc>
          <w:tcPr>
            <w:tcW w:type="dxa" w:w="900"/>
            <w:vAlign w:val="center"/>
            <w:tcMar>
              <w:top w:w="80" w:type="dxa"/>
              <w:start w:w="120" w:type="dxa"/>
              <w:bottom w:w="80" w:type="dxa"/>
              <w:end w:w="120" w:type="dxa"/>
            </w:tcMar>
          </w:tcPr>
          <w:p>
            <w:r>
              <w:t>G4</w:t>
            </w:r>
          </w:p>
        </w:tc>
        <w:tc>
          <w:tcPr>
            <w:tcW w:type="dxa" w:w="2200"/>
            <w:vAlign w:val="center"/>
            <w:tcMar>
              <w:top w:w="80" w:type="dxa"/>
              <w:start w:w="120" w:type="dxa"/>
              <w:bottom w:w="80" w:type="dxa"/>
              <w:end w:w="120" w:type="dxa"/>
            </w:tcMar>
          </w:tcPr>
          <w:p>
            <w:r>
              <w:t>Evidence minimization</w:t>
            </w:r>
          </w:p>
        </w:tc>
        <w:tc>
          <w:tcPr>
            <w:tcW w:type="dxa" w:w="6260"/>
            <w:vAlign w:val="center"/>
            <w:tcMar>
              <w:top w:w="80" w:type="dxa"/>
              <w:start w:w="120" w:type="dxa"/>
              <w:bottom w:w="80" w:type="dxa"/>
              <w:end w:w="120" w:type="dxa"/>
            </w:tcMar>
          </w:tcPr>
          <w:p>
            <w:r>
              <w:t>Cookie, auth, session, token, browser profile, storage dumps, payment/order, passenger PII, and full HAR material are prohibited.</w:t>
            </w:r>
          </w:p>
        </w:tc>
      </w:tr>
      <w:tr>
        <w:tc>
          <w:tcPr>
            <w:tcW w:type="dxa" w:w="900"/>
            <w:vAlign w:val="center"/>
            <w:tcMar>
              <w:top w:w="80" w:type="dxa"/>
              <w:start w:w="120" w:type="dxa"/>
              <w:bottom w:w="80" w:type="dxa"/>
              <w:end w:w="120" w:type="dxa"/>
            </w:tcMar>
          </w:tcPr>
          <w:p>
            <w:r>
              <w:t>G5</w:t>
            </w:r>
          </w:p>
        </w:tc>
        <w:tc>
          <w:tcPr>
            <w:tcW w:type="dxa" w:w="2200"/>
            <w:vAlign w:val="center"/>
            <w:tcMar>
              <w:top w:w="80" w:type="dxa"/>
              <w:start w:w="120" w:type="dxa"/>
              <w:bottom w:w="80" w:type="dxa"/>
              <w:end w:w="120" w:type="dxa"/>
            </w:tcMar>
          </w:tcPr>
          <w:p>
            <w:r>
              <w:t>Domain authority preserved</w:t>
            </w:r>
          </w:p>
        </w:tc>
        <w:tc>
          <w:tcPr>
            <w:tcW w:type="dxa" w:w="6260"/>
            <w:vAlign w:val="center"/>
            <w:tcMar>
              <w:top w:w="80" w:type="dxa"/>
              <w:start w:w="120" w:type="dxa"/>
              <w:bottom w:w="80" w:type="dxa"/>
              <w:end w:w="120" w:type="dxa"/>
            </w:tcMar>
          </w:tcPr>
          <w:p>
            <w:r>
              <w:t>No Canonical Domain, Provider Port, Public API, CandidateSnapshot, ranking, or decision semantics are redesigned.</w:t>
            </w:r>
          </w:p>
        </w:tc>
      </w:tr>
      <w:tr>
        <w:tc>
          <w:tcPr>
            <w:tcW w:type="dxa" w:w="900"/>
            <w:vAlign w:val="center"/>
            <w:tcMar>
              <w:top w:w="80" w:type="dxa"/>
              <w:start w:w="120" w:type="dxa"/>
              <w:bottom w:w="80" w:type="dxa"/>
              <w:end w:w="120" w:type="dxa"/>
            </w:tcMar>
          </w:tcPr>
          <w:p>
            <w:r>
              <w:t>G6</w:t>
            </w:r>
          </w:p>
        </w:tc>
        <w:tc>
          <w:tcPr>
            <w:tcW w:type="dxa" w:w="2200"/>
            <w:vAlign w:val="center"/>
            <w:tcMar>
              <w:top w:w="80" w:type="dxa"/>
              <w:start w:w="120" w:type="dxa"/>
              <w:bottom w:w="80" w:type="dxa"/>
              <w:end w:w="120" w:type="dxa"/>
            </w:tcMar>
          </w:tcPr>
          <w:p>
            <w:r>
              <w:t>Manual export path authorized</w:t>
            </w:r>
          </w:p>
        </w:tc>
        <w:tc>
          <w:tcPr>
            <w:tcW w:type="dxa" w:w="6260"/>
            <w:vAlign w:val="center"/>
            <w:tcMar>
              <w:top w:w="80" w:type="dxa"/>
              <w:start w:w="120" w:type="dxa"/>
              <w:bottom w:w="80" w:type="dxa"/>
              <w:end w:w="120" w:type="dxa"/>
            </w:tcMar>
          </w:tcPr>
          <w:p>
            <w:r>
              <w:t>Manual sanitized response-body export and local import are explicitly permitted as the preferred path.</w:t>
            </w:r>
          </w:p>
        </w:tc>
      </w:tr>
      <w:tr>
        <w:tc>
          <w:tcPr>
            <w:tcW w:type="dxa" w:w="900"/>
            <w:vAlign w:val="center"/>
            <w:tcMar>
              <w:top w:w="80" w:type="dxa"/>
              <w:start w:w="120" w:type="dxa"/>
              <w:bottom w:w="80" w:type="dxa"/>
              <w:end w:w="120" w:type="dxa"/>
            </w:tcMar>
          </w:tcPr>
          <w:p>
            <w:r>
              <w:t>G7</w:t>
            </w:r>
          </w:p>
        </w:tc>
        <w:tc>
          <w:tcPr>
            <w:tcW w:type="dxa" w:w="2200"/>
            <w:vAlign w:val="center"/>
            <w:tcMar>
              <w:top w:w="80" w:type="dxa"/>
              <w:start w:w="120" w:type="dxa"/>
              <w:bottom w:w="80" w:type="dxa"/>
              <w:end w:w="120" w:type="dxa"/>
            </w:tcMar>
          </w:tcPr>
          <w:p>
            <w:r>
              <w:t>Read-only mode bounded</w:t>
            </w:r>
          </w:p>
        </w:tc>
        <w:tc>
          <w:tcPr>
            <w:tcW w:type="dxa" w:w="6260"/>
            <w:vAlign w:val="center"/>
            <w:tcMar>
              <w:top w:w="80" w:type="dxa"/>
              <w:start w:w="120" w:type="dxa"/>
              <w:bottom w:w="80" w:type="dxa"/>
              <w:end w:w="120" w:type="dxa"/>
            </w:tcMar>
          </w:tcPr>
          <w:p>
            <w:r>
              <w:t>Any browser observation experiment must be user-controlled, read-only, non-mutating, and non-persistent.</w:t>
            </w:r>
          </w:p>
        </w:tc>
      </w:tr>
      <w:tr>
        <w:tc>
          <w:tcPr>
            <w:tcW w:type="dxa" w:w="900"/>
            <w:vAlign w:val="center"/>
            <w:tcMar>
              <w:top w:w="80" w:type="dxa"/>
              <w:start w:w="120" w:type="dxa"/>
              <w:bottom w:w="80" w:type="dxa"/>
              <w:end w:w="120" w:type="dxa"/>
            </w:tcMar>
          </w:tcPr>
          <w:p>
            <w:r>
              <w:t>G8</w:t>
            </w:r>
          </w:p>
        </w:tc>
        <w:tc>
          <w:tcPr>
            <w:tcW w:type="dxa" w:w="2200"/>
            <w:vAlign w:val="center"/>
            <w:tcMar>
              <w:top w:w="80" w:type="dxa"/>
              <w:start w:w="120" w:type="dxa"/>
              <w:bottom w:w="80" w:type="dxa"/>
              <w:end w:w="120" w:type="dxa"/>
            </w:tcMar>
          </w:tcPr>
          <w:p>
            <w:r>
              <w:t>Offline CI</w:t>
            </w:r>
          </w:p>
        </w:tc>
        <w:tc>
          <w:tcPr>
            <w:tcW w:type="dxa" w:w="6260"/>
            <w:vAlign w:val="center"/>
            <w:tcMar>
              <w:top w:w="80" w:type="dxa"/>
              <w:start w:w="120" w:type="dxa"/>
              <w:bottom w:w="80" w:type="dxa"/>
              <w:end w:w="120" w:type="dxa"/>
            </w:tcMar>
          </w:tcPr>
          <w:p>
            <w:r>
              <w:t>Implementation validation must use deterministic synthetic or strongly sanitized fixtures and must not depend on live CTRIP.</w:t>
            </w:r>
          </w:p>
        </w:tc>
      </w:tr>
      <w:tr>
        <w:tc>
          <w:tcPr>
            <w:tcW w:type="dxa" w:w="900"/>
            <w:vAlign w:val="center"/>
            <w:tcMar>
              <w:top w:w="80" w:type="dxa"/>
              <w:start w:w="120" w:type="dxa"/>
              <w:bottom w:w="80" w:type="dxa"/>
              <w:end w:w="120" w:type="dxa"/>
            </w:tcMar>
          </w:tcPr>
          <w:p>
            <w:r>
              <w:t>G9</w:t>
            </w:r>
          </w:p>
        </w:tc>
        <w:tc>
          <w:tcPr>
            <w:tcW w:type="dxa" w:w="2200"/>
            <w:vAlign w:val="center"/>
            <w:tcMar>
              <w:top w:w="80" w:type="dxa"/>
              <w:start w:w="120" w:type="dxa"/>
              <w:bottom w:w="80" w:type="dxa"/>
              <w:end w:w="120" w:type="dxa"/>
            </w:tcMar>
          </w:tcPr>
          <w:p>
            <w:r>
              <w:t>Implementation eligibility</w:t>
            </w:r>
          </w:p>
        </w:tc>
        <w:tc>
          <w:tcPr>
            <w:tcW w:type="dxa" w:w="6260"/>
            <w:vAlign w:val="center"/>
            <w:tcMar>
              <w:top w:w="80" w:type="dxa"/>
              <w:start w:w="120" w:type="dxa"/>
              <w:bottom w:w="80" w:type="dxa"/>
              <w:end w:w="120" w:type="dxa"/>
            </w:tcMar>
          </w:tcPr>
          <w:p>
            <w:r>
              <w:t>After this governance change is committed, CTRIP-U2 implementation may proceed under this authority.</w:t>
            </w:r>
          </w:p>
        </w:tc>
      </w:tr>
    </w:tbl>
    <w:p>
      <w:pPr>
        <w:pStyle w:val="Heading1"/>
      </w:pPr>
      <w:r>
        <w:t>19. Git / Repository Governance Expectations</w:t>
      </w:r>
    </w:p>
    <w:p>
      <w:pPr>
        <w:pStyle w:val="ListBullet"/>
      </w:pPr>
      <w:r>
        <w:t>Each CTRIP-U2 implementation prompt must begin with fetch, branch, HEAD, origin/main, divergence, tracking, and dirty-tree classification.</w:t>
      </w:r>
    </w:p>
    <w:p>
      <w:pPr>
        <w:pStyle w:val="ListBullet"/>
      </w:pPr>
      <w:r>
        <w:t>No implementation may overwrite unrelated collaborator work or push main.</w:t>
      </w:r>
    </w:p>
    <w:p>
      <w:pPr>
        <w:pStyle w:val="ListBullet"/>
      </w:pPr>
      <w:r>
        <w:t>Implementation changes must be committed and pushed only after focused validation, self-review, remote HEAD verification, and clean working tree confirmation.</w:t>
      </w:r>
    </w:p>
    <w:p>
      <w:pPr>
        <w:pStyle w:val="Heading1"/>
      </w:pPr>
      <w:r>
        <w:t>20. Follow-on Implementation Eligibility</w:t>
      </w:r>
    </w:p>
    <w:p>
      <w:r>
        <w:t>After this specification and the authority registries are committed, CTRIP-U2 implementation is eligible to proceed. The follow-on task may implement Mode A alone if sufficient. It may choose Mode B only after a bounded technical and security review confirms that read-only observation can be done without browser control, page mutation, stealth, credential capture, session export, or sensitive persistence.</w:t>
      </w:r>
    </w:p>
    <w:p>
      <w:r>
        <w:t>Closure note: This governance task creates authority only. It does not implement CTRIP-U2 source code, does not modify production/provider behavior, does not close M9, and does not select CTRIP as the final first Provider.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Agent M9-BP5-CTRIP-U2 Assisted Acquisition Specification V0.1</dc:title>
  <dc:subject>CTRIP manual-browser evidence capture / assisted acquisition prototype authority</dc:subject>
  <dc:creator>python-docx</dc:creator>
  <cp:keywords>Flight Agent, M9, CTRIP, Browser Acquisition, Assisted Acquisition, Governance</cp:keywords>
  <dc:description>Governance-only authority establishment; no implementation.</dc:description>
  <cp:lastModifiedBy/>
  <cp:revision>1</cp:revision>
  <dcterms:created xsi:type="dcterms:W3CDTF">2013-12-23T23:15:00Z</dcterms:created>
  <dcterms:modified xsi:type="dcterms:W3CDTF">2013-12-23T23:15:00Z</dcterms:modified>
  <cp:category/>
</cp:coreProperties>
</file>