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M9-FLIGGY-BROWSER-ACQUISITION-RECOVERY-U1</w:t>
      </w:r>
    </w:p>
    <w:p>
      <w:pPr>
        <w:jc w:val="center"/>
      </w:pPr>
      <w:r>
        <w:rPr>
          <w:sz w:val="20"/>
        </w:rPr>
        <w:t>Result-Context Handoff and Route-Date Evidence Matching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Browser Acquisition Recovery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DIAG-U1 PASS — RESULT_TRANSITION / SEARCH_SUBMIT_NO_TRANSITION</w:t>
            </w:r>
          </w:p>
        </w:tc>
      </w:tr>
      <w:tr>
        <w:tc>
          <w:tcPr>
            <w:tcW w:type="dxa" w:w="5184"/>
          </w:tcPr>
          <w:p>
            <w:r>
              <w:t>Last successful stage</w:t>
            </w:r>
          </w:p>
        </w:tc>
        <w:tc>
          <w:tcPr>
            <w:tcW w:type="dxa" w:w="5184"/>
          </w:tcPr>
          <w:p>
            <w:r>
              <w:t>SEARCH_SUBMIT</w:t>
            </w:r>
          </w:p>
        </w:tc>
      </w:tr>
      <w:tr>
        <w:tc>
          <w:tcPr>
            <w:tcW w:type="dxa" w:w="5184"/>
          </w:tcPr>
          <w:p>
            <w:r>
              <w:t>Diagnosed selection reason</w:t>
            </w:r>
          </w:p>
        </w:tc>
        <w:tc>
          <w:tcPr>
            <w:tcW w:type="dxa" w:w="5184"/>
          </w:tcPr>
          <w:p>
            <w:r>
              <w:t>no_deterministic_result_context</w:t>
            </w:r>
          </w:p>
        </w:tc>
      </w:tr>
      <w:tr>
        <w:tc>
          <w:tcPr>
            <w:tcW w:type="dxa" w:w="5184"/>
          </w:tcPr>
          <w:p>
            <w:r>
              <w:t>Repair target</w:t>
            </w:r>
          </w:p>
        </w:tc>
        <w:tc>
          <w:tcPr>
            <w:tcW w:type="dxa" w:w="5184"/>
          </w:tcPr>
          <w:p>
            <w:r>
              <w:t>Search Submit → Result Context Handoff / Route-Date Evidence Matching</w:t>
            </w:r>
          </w:p>
        </w:tc>
      </w:tr>
      <w:tr>
        <w:tc>
          <w:tcPr>
            <w:tcW w:type="dxa" w:w="5184"/>
          </w:tcPr>
          <w:p>
            <w:r>
              <w:t>Shared 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  <w:tr>
        <w:tc>
          <w:tcPr>
            <w:tcW w:type="dxa" w:w="5184"/>
          </w:tcPr>
          <w:p>
            <w:r>
              <w:t>Live validation</w:t>
            </w:r>
          </w:p>
        </w:tc>
        <w:tc>
          <w:tcPr>
            <w:tcW w:type="dxa" w:w="5184"/>
          </w:tcPr>
          <w:p>
            <w:r>
              <w:t>Separate bounded revalidation after offline repair PASS</w:t>
            </w:r>
          </w:p>
        </w:tc>
      </w:tr>
    </w:tbl>
    <w:p>
      <w:pPr>
        <w:pStyle w:val="Heading1"/>
      </w:pPr>
      <w:r>
        <w:t>2. Authority and Diagnosis Baseline</w:t>
      </w:r>
    </w:p>
    <w:p>
      <w:r>
        <w:t>DIAG-U1 已通过 provider-local stage instrumentation 将历史笼统 TIMEOUT/EVIDENCE_INSUFFICIENT 收敛为明确失败：搜索表单已经提交，但结果上下文未被 deterministic 地确认。Headless 诊断记录 `failed_stage=RESULT_TRANSITION`、`last_successful_stage=SEARCH_SUBMIT`、`failure_taxonomy=SEARCH_SUBMIT_NO_TRANSITION`、`selection_reason=no_deterministic_result_context`。</w:t>
      </w:r>
    </w:p>
    <w:p>
      <w:r>
        <w:t>本 Unit 仅修复 result-context handoff / route-date evidence matching。不得顺手修改 Level-1 selector、booking action、Level-2 extraction、Mapper、Canonical 或 Merger。</w:t>
      </w:r>
    </w:p>
    <w:p>
      <w:pPr>
        <w:pStyle w:val="Heading1"/>
      </w:pPr>
      <w:r>
        <w:t>3. Goal</w:t>
      </w:r>
    </w:p>
    <w:p>
      <w:pPr>
        <w:pStyle w:val="ListBullet"/>
      </w:pPr>
      <w:r>
        <w:t>识别当前代码对“搜索提交后已进入目标结果上下文”的判定依据与过严/失配点。</w:t>
      </w:r>
    </w:p>
    <w:p>
      <w:pPr>
        <w:pStyle w:val="ListBullet"/>
      </w:pPr>
      <w:r>
        <w:t>建立 deterministic、provider-local、可离线测试的 result-context confirmation。</w:t>
      </w:r>
    </w:p>
    <w:p>
      <w:pPr>
        <w:pStyle w:val="ListBullet"/>
      </w:pPr>
      <w:r>
        <w:t>允许真实飞猪采用 URL 变化、同页局部更新或 DOM 状态变化中的一种或多种合法 handoff 形式，而不把“必须发生某一种跳转”当作唯一成功条件。</w:t>
      </w:r>
    </w:p>
    <w:p>
      <w:pPr>
        <w:pStyle w:val="ListBullet"/>
      </w:pPr>
      <w:r>
        <w:t>结果上下文必须与本次 origin / destination / date 证据一致；不得仅因出现航班列表就认为目标查询已就绪。</w:t>
      </w:r>
    </w:p>
    <w:p>
      <w:pPr>
        <w:pStyle w:val="ListBullet"/>
      </w:pPr>
      <w:r>
        <w:t>修复后让 acquisition 至少能够越过 RESULT_TRANSITION；是否进一步到达 L1/L2 由单独 bounded live revalidation 观察。</w:t>
      </w:r>
    </w:p>
    <w:p>
      <w:pPr>
        <w:pStyle w:val="Heading1"/>
      </w:pPr>
      <w:r>
        <w:t>4. Result-Context Evidence Model</w:t>
      </w:r>
    </w:p>
    <w:p>
      <w:r>
        <w:t>实现应优先复用当前 provider-local page state / readiness helpers。允许组合多个弱证据形成 deterministic confirmation，但不得依赖单一易漂移文本或任意模糊匹配。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Evidence class</w:t>
            </w:r>
          </w:p>
        </w:tc>
        <w:tc>
          <w:tcPr>
            <w:tcW w:type="dxa" w:w="5184"/>
          </w:tcPr>
          <w:p>
            <w:r>
              <w:t>Permitted role</w:t>
            </w:r>
          </w:p>
        </w:tc>
      </w:tr>
      <w:tr>
        <w:tc>
          <w:tcPr>
            <w:tcW w:type="dxa" w:w="5184"/>
          </w:tcPr>
          <w:p>
            <w:r>
              <w:t>Route evidence</w:t>
            </w:r>
          </w:p>
        </w:tc>
        <w:tc>
          <w:tcPr>
            <w:tcW w:type="dxa" w:w="5184"/>
          </w:tcPr>
          <w:p>
            <w:r>
              <w:t>页面可见 origin/destination 或等价 provider-rendered route markers，与提交查询一致。</w:t>
            </w:r>
          </w:p>
        </w:tc>
      </w:tr>
      <w:tr>
        <w:tc>
          <w:tcPr>
            <w:tcW w:type="dxa" w:w="5184"/>
          </w:tcPr>
          <w:p>
            <w:r>
              <w:t>Date evidence</w:t>
            </w:r>
          </w:p>
        </w:tc>
        <w:tc>
          <w:tcPr>
            <w:tcW w:type="dxa" w:w="5184"/>
          </w:tcPr>
          <w:p>
            <w:r>
              <w:t>页面可见/状态中存在与提交日期一致的 deterministic marker。</w:t>
            </w:r>
          </w:p>
        </w:tc>
      </w:tr>
      <w:tr>
        <w:tc>
          <w:tcPr>
            <w:tcW w:type="dxa" w:w="5184"/>
          </w:tcPr>
          <w:p>
            <w:r>
              <w:t>Result-surface evidence</w:t>
            </w:r>
          </w:p>
        </w:tc>
        <w:tc>
          <w:tcPr>
            <w:tcW w:type="dxa" w:w="5184"/>
          </w:tcPr>
          <w:p>
            <w:r>
              <w:t>结果容器、航班行结构或 provider-specific result marker 已出现。</w:t>
            </w:r>
          </w:p>
        </w:tc>
      </w:tr>
      <w:tr>
        <w:tc>
          <w:tcPr>
            <w:tcW w:type="dxa" w:w="5184"/>
          </w:tcPr>
          <w:p>
            <w:r>
              <w:t>Navigation/state evidence</w:t>
            </w:r>
          </w:p>
        </w:tc>
        <w:tc>
          <w:tcPr>
            <w:tcW w:type="dxa" w:w="5184"/>
          </w:tcPr>
          <w:p>
            <w:r>
              <w:t>URL/path/history/state transition 可作为支持证据，但不得强制要求一定 full navigation。</w:t>
            </w:r>
          </w:p>
        </w:tc>
      </w:tr>
      <w:tr>
        <w:tc>
          <w:tcPr>
            <w:tcW w:type="dxa" w:w="5184"/>
          </w:tcPr>
          <w:p>
            <w:r>
              <w:t>Loading/empty evidence</w:t>
            </w:r>
          </w:p>
        </w:tc>
        <w:tc>
          <w:tcPr>
            <w:tcW w:type="dxa" w:w="5184"/>
          </w:tcPr>
          <w:p>
            <w:r>
              <w:t>明确 loading/empty-result state 可用于解释 handoff，但 EMPTY 不等于 failure。</w:t>
            </w:r>
          </w:p>
        </w:tc>
      </w:tr>
      <w:tr>
        <w:tc>
          <w:tcPr>
            <w:tcW w:type="dxa" w:w="5184"/>
          </w:tcPr>
          <w:p>
            <w:r>
              <w:t>Challenge/error evidence</w:t>
            </w:r>
          </w:p>
        </w:tc>
        <w:tc>
          <w:tcPr>
            <w:tcW w:type="dxa" w:w="5184"/>
          </w:tcPr>
          <w:p>
            <w:r>
              <w:t>若明确 challenge/provider error，则按既有 taxonomy 停止。</w:t>
            </w:r>
          </w:p>
        </w:tc>
      </w:tr>
    </w:tbl>
    <w:p>
      <w:r>
        <w:t>推荐原则：Route + Date 是查询身份核心；Result Surface 是结果 readiness 的支持证据。具体最小组合应由现有页面实现和 DIAG evidence 决定，不在规格中预设某个 selector。</w:t>
      </w:r>
    </w:p>
    <w:p>
      <w:pPr>
        <w:pStyle w:val="Heading1"/>
      </w:pPr>
      <w:r>
        <w:t>5. Matching Semantics</w:t>
      </w:r>
    </w:p>
    <w:p>
      <w:pPr>
        <w:pStyle w:val="ListBullet"/>
      </w:pPr>
      <w:r>
        <w:t>origin/destination/date 必须来自当前 submitted search context，不得从旧页面状态或历史 target 偷渡。</w:t>
      </w:r>
    </w:p>
    <w:p>
      <w:pPr>
        <w:pStyle w:val="ListBullet"/>
      </w:pPr>
      <w:r>
        <w:t>机场/城市显示形式可使用现有 provider-local normalization/convention 做等价比较，但不得修改 shared airport canonical contract。</w:t>
      </w:r>
    </w:p>
    <w:p>
      <w:pPr>
        <w:pStyle w:val="ListBullet"/>
      </w:pPr>
      <w:r>
        <w:t>日期比较应处理 provider 页面合法显示格式差异，但不得把不同日期宽松视为相同。</w:t>
      </w:r>
    </w:p>
    <w:p>
      <w:pPr>
        <w:pStyle w:val="ListBullet"/>
      </w:pPr>
      <w:r>
        <w:t>如果 route/date 证据冲突，必须拒绝 handoff 并报告 mismatch，而不是继续抓取。</w:t>
      </w:r>
    </w:p>
    <w:p>
      <w:pPr>
        <w:pStyle w:val="ListBullet"/>
      </w:pPr>
      <w:r>
        <w:t>如果证据不足，保留 `no_deterministic_result_context`/更具体诊断，不得猜测成功。</w:t>
      </w:r>
    </w:p>
    <w:p>
      <w:pPr>
        <w:pStyle w:val="ListBullet"/>
      </w:pPr>
      <w:r>
        <w:t>明确 empty-result 页面若 route/date 已匹配，应允许形成 SUCCESS_EMPTY/等价现有语义，而不是误判 transition failure。</w:t>
      </w:r>
    </w:p>
    <w:p>
      <w:pPr>
        <w:pStyle w:val="Heading1"/>
      </w:pPr>
      <w:r>
        <w:t>6. Allowed Scope</w:t>
      </w:r>
    </w:p>
    <w:p>
      <w:pPr>
        <w:pStyle w:val="ListBullet"/>
      </w:pPr>
      <w:r>
        <w:t>`apps/backend/src/flight_agent/adapters/flight_providers/fliggy/browser_probe.py` 中 result transition/context handoff、route/date evidence matching 及必要 provider-local helper。</w:t>
      </w:r>
    </w:p>
    <w:p>
      <w:pPr>
        <w:pStyle w:val="ListBullet"/>
      </w:pPr>
      <w:r>
        <w:t>`tests/backend/unit/test_m9_fliggy_browser_probe.py` 中 focused recovery regressions。</w:t>
      </w:r>
    </w:p>
    <w:p>
      <w:pPr>
        <w:pStyle w:val="ListBullet"/>
      </w:pPr>
      <w:r>
        <w:t>必要时最小调整 DIAG-U1 provider-local diagnostics，以准确记录 context evidence/mismatch；不得改变 shared business Evidence contract。</w:t>
      </w:r>
    </w:p>
    <w:p>
      <w:pPr>
        <w:pStyle w:val="Heading1"/>
      </w:pPr>
      <w:r>
        <w:t>7. Forbidden Scope</w:t>
      </w:r>
    </w:p>
    <w:p>
      <w:pPr>
        <w:pStyle w:val="ListBullet"/>
      </w:pPr>
      <w:r>
        <w:t>不得修改 Mapper、Level2 Mapper、Canonical Entry、CommonNormalizer、Candidate Merger。</w:t>
      </w:r>
    </w:p>
    <w:p>
      <w:pPr>
        <w:pStyle w:val="ListBullet"/>
      </w:pPr>
      <w:r>
        <w:t>不得修改 Shared Canonical Mapping、M2/M4/M6/M7/M8 contracts。</w:t>
      </w:r>
    </w:p>
    <w:p>
      <w:pPr>
        <w:pStyle w:val="ListBullet"/>
      </w:pPr>
      <w:r>
        <w:t>不得修改 airport alias repair、PriceSemantics 或商业字段语义。</w:t>
      </w:r>
    </w:p>
    <w:p>
      <w:pPr>
        <w:pStyle w:val="ListBullet"/>
      </w:pPr>
      <w:r>
        <w:t>不得修 Level-1 row selector、target ranking、booking action selector/click、Level-2 readiness/extraction，除非仅为测试隔离且无 production behavior change。</w:t>
      </w:r>
    </w:p>
    <w:p>
      <w:pPr>
        <w:pStyle w:val="ListBullet"/>
      </w:pPr>
      <w:r>
        <w:t>不得增加 aggressive retries、显著扩大 timeout、并发或批量 route/date probing。</w:t>
      </w:r>
    </w:p>
    <w:p>
      <w:pPr>
        <w:pStyle w:val="ListBullet"/>
      </w:pPr>
      <w:r>
        <w:t>不得绕过 CAPTCHA/access control/rate limit；不得使用隐藏 API、Cookie/session replay、私有签名。</w:t>
      </w:r>
    </w:p>
    <w:p>
      <w:pPr>
        <w:pStyle w:val="ListBullet"/>
      </w:pPr>
      <w:r>
        <w:t>不得修改 CTRIP、API/frontend/database；不得 main merge。</w:t>
      </w:r>
    </w:p>
    <w:p>
      <w:pPr>
        <w:pStyle w:val="Heading1"/>
      </w:pPr>
      <w:r>
        <w:t>8.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RC-01</w:t>
            </w:r>
          </w:p>
        </w:tc>
        <w:tc>
          <w:tcPr>
            <w:tcW w:type="dxa" w:w="3456"/>
          </w:tcPr>
          <w:p>
            <w:r>
              <w:t>Search submit + same-query route/date + result surface</w:t>
            </w:r>
          </w:p>
        </w:tc>
        <w:tc>
          <w:tcPr>
            <w:tcW w:type="dxa" w:w="3456"/>
          </w:tcPr>
          <w:p>
            <w:r>
              <w:t>RESULT_TRANSITION confirmed</w:t>
            </w:r>
          </w:p>
        </w:tc>
      </w:tr>
      <w:tr>
        <w:tc>
          <w:tcPr>
            <w:tcW w:type="dxa" w:w="3456"/>
          </w:tcPr>
          <w:p>
            <w:r>
              <w:t>RC-02</w:t>
            </w:r>
          </w:p>
        </w:tc>
        <w:tc>
          <w:tcPr>
            <w:tcW w:type="dxa" w:w="3456"/>
          </w:tcPr>
          <w:p>
            <w:r>
              <w:t>No full navigation, but same-query route/date + result surface</w:t>
            </w:r>
          </w:p>
        </w:tc>
        <w:tc>
          <w:tcPr>
            <w:tcW w:type="dxa" w:w="3456"/>
          </w:tcPr>
          <w:p>
            <w:r>
              <w:t>confirmed; SPA/same-page handoff allowed</w:t>
            </w:r>
          </w:p>
        </w:tc>
      </w:tr>
      <w:tr>
        <w:tc>
          <w:tcPr>
            <w:tcW w:type="dxa" w:w="3456"/>
          </w:tcPr>
          <w:p>
            <w:r>
              <w:t>RC-03</w:t>
            </w:r>
          </w:p>
        </w:tc>
        <w:tc>
          <w:tcPr>
            <w:tcW w:type="dxa" w:w="3456"/>
          </w:tcPr>
          <w:p>
            <w:r>
              <w:t>Route matches but date conflicts</w:t>
            </w:r>
          </w:p>
        </w:tc>
        <w:tc>
          <w:tcPr>
            <w:tcW w:type="dxa" w:w="3456"/>
          </w:tcPr>
          <w:p>
            <w:r>
              <w:t>reject context; explicit mismatch diagnostic</w:t>
            </w:r>
          </w:p>
        </w:tc>
      </w:tr>
      <w:tr>
        <w:tc>
          <w:tcPr>
            <w:tcW w:type="dxa" w:w="3456"/>
          </w:tcPr>
          <w:p>
            <w:r>
              <w:t>RC-04</w:t>
            </w:r>
          </w:p>
        </w:tc>
        <w:tc>
          <w:tcPr>
            <w:tcW w:type="dxa" w:w="3456"/>
          </w:tcPr>
          <w:p>
            <w:r>
              <w:t>Date matches but route conflicts</w:t>
            </w:r>
          </w:p>
        </w:tc>
        <w:tc>
          <w:tcPr>
            <w:tcW w:type="dxa" w:w="3456"/>
          </w:tcPr>
          <w:p>
            <w:r>
              <w:t>reject context; explicit mismatch diagnostic</w:t>
            </w:r>
          </w:p>
        </w:tc>
      </w:tr>
      <w:tr>
        <w:tc>
          <w:tcPr>
            <w:tcW w:type="dxa" w:w="3456"/>
          </w:tcPr>
          <w:p>
            <w:r>
              <w:t>RC-05</w:t>
            </w:r>
          </w:p>
        </w:tc>
        <w:tc>
          <w:tcPr>
            <w:tcW w:type="dxa" w:w="3456"/>
          </w:tcPr>
          <w:p>
            <w:r>
              <w:t>Result rows visible but route/date identity insufficient</w:t>
            </w:r>
          </w:p>
        </w:tc>
        <w:tc>
          <w:tcPr>
            <w:tcW w:type="dxa" w:w="3456"/>
          </w:tcPr>
          <w:p>
            <w:r>
              <w:t>do not guess; insufficient context</w:t>
            </w:r>
          </w:p>
        </w:tc>
      </w:tr>
      <w:tr>
        <w:tc>
          <w:tcPr>
            <w:tcW w:type="dxa" w:w="3456"/>
          </w:tcPr>
          <w:p>
            <w:r>
              <w:t>RC-06</w:t>
            </w:r>
          </w:p>
        </w:tc>
        <w:tc>
          <w:tcPr>
            <w:tcW w:type="dxa" w:w="3456"/>
          </w:tcPr>
          <w:p>
            <w:r>
              <w:t>Same-query route/date + explicit empty-result state</w:t>
            </w:r>
          </w:p>
        </w:tc>
        <w:tc>
          <w:tcPr>
            <w:tcW w:type="dxa" w:w="3456"/>
          </w:tcPr>
          <w:p>
            <w:r>
              <w:t>valid result context; EMPTY not transition failure</w:t>
            </w:r>
          </w:p>
        </w:tc>
      </w:tr>
      <w:tr>
        <w:tc>
          <w:tcPr>
            <w:tcW w:type="dxa" w:w="3456"/>
          </w:tcPr>
          <w:p>
            <w:r>
              <w:t>RC-07</w:t>
            </w:r>
          </w:p>
        </w:tc>
        <w:tc>
          <w:tcPr>
            <w:tcW w:type="dxa" w:w="3456"/>
          </w:tcPr>
          <w:p>
            <w:r>
              <w:t>Loading state before bounded readiness</w:t>
            </w:r>
          </w:p>
        </w:tc>
        <w:tc>
          <w:tcPr>
            <w:tcW w:type="dxa" w:w="3456"/>
          </w:tcPr>
          <w:p>
            <w:r>
              <w:t>wait within existing budget; no premature success</w:t>
            </w:r>
          </w:p>
        </w:tc>
      </w:tr>
      <w:tr>
        <w:tc>
          <w:tcPr>
            <w:tcW w:type="dxa" w:w="3456"/>
          </w:tcPr>
          <w:p>
            <w:r>
              <w:t>RC-08</w:t>
            </w:r>
          </w:p>
        </w:tc>
        <w:tc>
          <w:tcPr>
            <w:tcW w:type="dxa" w:w="3456"/>
          </w:tcPr>
          <w:p>
            <w:r>
              <w:t>Challenge/error state</w:t>
            </w:r>
          </w:p>
        </w:tc>
        <w:tc>
          <w:tcPr>
            <w:tcW w:type="dxa" w:w="3456"/>
          </w:tcPr>
          <w:p>
            <w:r>
              <w:t>preserve existing safe classification</w:t>
            </w:r>
          </w:p>
        </w:tc>
      </w:tr>
      <w:tr>
        <w:tc>
          <w:tcPr>
            <w:tcW w:type="dxa" w:w="3456"/>
          </w:tcPr>
          <w:p>
            <w:r>
              <w:t>RC-09</w:t>
            </w:r>
          </w:p>
        </w:tc>
        <w:tc>
          <w:tcPr>
            <w:tcW w:type="dxa" w:w="3456"/>
          </w:tcPr>
          <w:p>
            <w:r>
              <w:t>Historical DIAG failure fixture/state</w:t>
            </w:r>
          </w:p>
        </w:tc>
        <w:tc>
          <w:tcPr>
            <w:tcW w:type="dxa" w:w="3456"/>
          </w:tcPr>
          <w:p>
            <w:r>
              <w:t>no longer fails solely because expected navigation signal is absent, if deterministic context evidence exists</w:t>
            </w:r>
          </w:p>
        </w:tc>
      </w:tr>
      <w:tr>
        <w:tc>
          <w:tcPr>
            <w:tcW w:type="dxa" w:w="3456"/>
          </w:tcPr>
          <w:p>
            <w:r>
              <w:t>RC-10</w:t>
            </w:r>
          </w:p>
        </w:tc>
        <w:tc>
          <w:tcPr>
            <w:tcW w:type="dxa" w:w="3456"/>
          </w:tcPr>
          <w:p>
            <w:r>
              <w:t>Sanitized diagnostics</w:t>
            </w:r>
          </w:p>
        </w:tc>
        <w:tc>
          <w:tcPr>
            <w:tcW w:type="dxa" w:w="3456"/>
          </w:tcPr>
          <w:p>
            <w:r>
              <w:t>record matched/missing/conflicting evidence without secrets/full DOM</w:t>
            </w:r>
          </w:p>
        </w:tc>
      </w:tr>
    </w:tbl>
    <w:p>
      <w:pPr>
        <w:pStyle w:val="Heading1"/>
      </w:pPr>
      <w:r>
        <w:t>9. Offline Acceptance Gates</w:t>
      </w:r>
    </w:p>
    <w:p>
      <w:pPr>
        <w:pStyle w:val="Heading2"/>
      </w:pPr>
      <w:r>
        <w:t>FLI-RC-01 — Diagnosis fidelity</w:t>
      </w:r>
    </w:p>
    <w:p>
      <w:r>
        <w:t>Repair addresses only RESULT_TRANSITION / no_deterministic_result_context.</w:t>
      </w:r>
    </w:p>
    <w:p>
      <w:pPr>
        <w:pStyle w:val="Heading2"/>
      </w:pPr>
      <w:r>
        <w:t>FLI-RC-02 — Determinism</w:t>
      </w:r>
    </w:p>
    <w:p>
      <w:r>
        <w:t>Context confirmation requires sufficient route/date identity evidence.</w:t>
      </w:r>
    </w:p>
    <w:p>
      <w:pPr>
        <w:pStyle w:val="Heading2"/>
      </w:pPr>
      <w:r>
        <w:t>FLI-RC-03 — SPA tolerance</w:t>
      </w:r>
    </w:p>
    <w:p>
      <w:r>
        <w:t>Full navigation is not mandatory when deterministic same-page result evidence exists.</w:t>
      </w:r>
    </w:p>
    <w:p>
      <w:pPr>
        <w:pStyle w:val="Heading2"/>
      </w:pPr>
      <w:r>
        <w:t>FLI-RC-04 — Mismatch safety</w:t>
      </w:r>
    </w:p>
    <w:p>
      <w:r>
        <w:t>Conflicting route/date blocks continuation.</w:t>
      </w:r>
    </w:p>
    <w:p>
      <w:pPr>
        <w:pStyle w:val="Heading2"/>
      </w:pPr>
      <w:r>
        <w:t>FLI-RC-05 — Empty semantics</w:t>
      </w:r>
    </w:p>
    <w:p>
      <w:r>
        <w:t>Matched empty-result context is not treated as acquisition failure.</w:t>
      </w:r>
    </w:p>
    <w:p>
      <w:pPr>
        <w:pStyle w:val="Heading2"/>
      </w:pPr>
      <w:r>
        <w:t>FLI-RC-06 — No overmatching</w:t>
      </w:r>
    </w:p>
    <w:p>
      <w:r>
        <w:t>Visible flight rows alone cannot prove query identity.</w:t>
      </w:r>
    </w:p>
    <w:p>
      <w:pPr>
        <w:pStyle w:val="Heading2"/>
      </w:pPr>
      <w:r>
        <w:t>FLI-RC-07 — Diagnostic continuity</w:t>
      </w:r>
    </w:p>
    <w:p>
      <w:r>
        <w:t>Stage diagnostics remain sanitized and actionable.</w:t>
      </w:r>
    </w:p>
    <w:p>
      <w:pPr>
        <w:pStyle w:val="Heading2"/>
      </w:pPr>
      <w:r>
        <w:t>FLI-RC-08 — Shared stability</w:t>
      </w:r>
    </w:p>
    <w:p>
      <w:r>
        <w:t>No shared/business semantic changes.</w:t>
      </w:r>
    </w:p>
    <w:p>
      <w:pPr>
        <w:pStyle w:val="Heading2"/>
      </w:pPr>
      <w:r>
        <w:t>FLI-RC-09 — No downstream repair</w:t>
      </w:r>
    </w:p>
    <w:p>
      <w:r>
        <w:t>L1/booking/L2 behavior not opportunistically changed.</w:t>
      </w:r>
    </w:p>
    <w:p>
      <w:pPr>
        <w:pStyle w:val="Heading2"/>
      </w:pPr>
      <w:r>
        <w:t>FLI-RC-10 — Regression</w:t>
      </w:r>
    </w:p>
    <w:p>
      <w:r>
        <w:t>Focused + related acquisition regressions, Ruff, Pyright pass.</w:t>
      </w:r>
    </w:p>
    <w:p>
      <w:pPr>
        <w:pStyle w:val="Heading2"/>
      </w:pPr>
      <w:r>
        <w:t>FLI-RC-11 — Security</w:t>
      </w:r>
    </w:p>
    <w:p>
      <w:r>
        <w:t>No challenge bypass/private API/session material.</w:t>
      </w:r>
    </w:p>
    <w:p>
      <w:pPr>
        <w:pStyle w:val="Heading2"/>
      </w:pPr>
      <w:r>
        <w:t>FLI-RC-12 — Claim boundary</w:t>
      </w:r>
    </w:p>
    <w:p>
      <w:r>
        <w:t>Offline repair PASS means LIVE_REVALIDATION_READY, not live acquisition solved.</w:t>
      </w:r>
    </w:p>
    <w:p>
      <w:pPr>
        <w:pStyle w:val="Heading1"/>
      </w:pPr>
      <w:r>
        <w:t>10. Recovery Execution Verdict</w:t>
      </w:r>
    </w:p>
    <w:p>
      <w:pPr>
        <w:pStyle w:val="ListBullet"/>
      </w:pPr>
      <w:r>
        <w:t>`PASS — RESULT-CONTEXT HANDOFF REPAIRED / LIVE REVALIDATION READY`</w:t>
      </w:r>
    </w:p>
    <w:p>
      <w:pPr>
        <w:pStyle w:val="ListBullet"/>
      </w:pPr>
      <w:r>
        <w:t>`BLOCKED — DIAGNOSIS INSUFFICIENT FOR SAFE REPAIR`</w:t>
      </w:r>
    </w:p>
    <w:p>
      <w:pPr>
        <w:pStyle w:val="ListBullet"/>
      </w:pPr>
      <w:r>
        <w:t>`BLOCKED — RESULT CONTEXT REQUIRES UNAUTHORIZED SCOPE`</w:t>
      </w:r>
    </w:p>
    <w:p>
      <w:pPr>
        <w:pStyle w:val="ListBullet"/>
      </w:pPr>
      <w:r>
        <w:t>`CONTRACT AMENDMENT REQUIRED`</w:t>
      </w:r>
    </w:p>
    <w:p>
      <w:r>
        <w:t>Recovery Execution PASS 后必须 STOP，不得在同一 Codex task 内继续 live。</w:t>
      </w:r>
    </w:p>
    <w:p>
      <w:pPr>
        <w:pStyle w:val="Heading1"/>
      </w:pPr>
      <w:r>
        <w:t>11. Bounded Live Revalidation</w:t>
      </w:r>
    </w:p>
    <w:p>
      <w:pPr>
        <w:pStyle w:val="ListBullet"/>
      </w:pPr>
      <w:r>
        <w:t>仅在 Recovery Execution PASS 且 provider branch remote 已包含 repair commit 后执行。</w:t>
      </w:r>
    </w:p>
    <w:p>
      <w:pPr>
        <w:pStyle w:val="ListBullet"/>
      </w:pPr>
      <w:r>
        <w:t>最多 1 headed + 1 headless；retries=0；最多 1 target；最多 5 Level-2 rows。</w:t>
      </w:r>
    </w:p>
    <w:p>
      <w:pPr>
        <w:pStyle w:val="ListBullet"/>
      </w:pPr>
      <w:r>
        <w:t>沿用 DIAG stage instrumentation，必须报告 last_successful_stage / failed_stage。</w:t>
      </w:r>
    </w:p>
    <w:p>
      <w:pPr>
        <w:pStyle w:val="ListBullet"/>
      </w:pPr>
      <w:r>
        <w:t>成功最低门槛：至少证明 RESULT_TRANSITION 不再因原 root cause 阻塞，并推进到 RESULT_READINESS 或更后 stage。</w:t>
      </w:r>
    </w:p>
    <w:p>
      <w:pPr>
        <w:pStyle w:val="ListBullet"/>
      </w:pPr>
      <w:r>
        <w:t>若进一步到 LEVEL1_DISCOVERY / BOOKING_ACTION / LEVEL2，按实际证据记录，但不得自动扩大本 Unit 修复范围。</w:t>
      </w:r>
    </w:p>
    <w:p>
      <w:pPr>
        <w:pStyle w:val="ListBullet"/>
      </w:pPr>
      <w:r>
        <w:t>若出现新的失败 stage，应把它视为下一独立 recovery candidate，而不是在 live revalidation 中修改代码。</w:t>
      </w:r>
    </w:p>
    <w:p>
      <w:pPr>
        <w:pStyle w:val="ListBullet"/>
      </w:pPr>
      <w:r>
        <w:t>若出现 ACCESS_CHALLENGE，安全停止；不得尝试绕过。</w:t>
      </w:r>
    </w:p>
    <w:p>
      <w:pPr>
        <w:pStyle w:val="Heading1"/>
      </w:pPr>
      <w:r>
        <w:t>12. Live Revalidation Verdicts</w:t>
      </w:r>
    </w:p>
    <w:p>
      <w:pPr>
        <w:pStyle w:val="ListBullet"/>
      </w:pPr>
      <w:r>
        <w:t>`PASS — ORIGINAL RESULT_TRANSITION BLOCKER RESOLVED / PATH ADVANCED`</w:t>
      </w:r>
    </w:p>
    <w:p>
      <w:pPr>
        <w:pStyle w:val="ListBullet"/>
      </w:pPr>
      <w:r>
        <w:t>`PASS — BOUNDED LIVE L1 ACQUISITION OBSERVED`</w:t>
      </w:r>
    </w:p>
    <w:p>
      <w:pPr>
        <w:pStyle w:val="ListBullet"/>
      </w:pPr>
      <w:r>
        <w:t>`PASS — BOUNDED LIVE L1→L2 ACQUISITION OBSERVED`</w:t>
      </w:r>
    </w:p>
    <w:p>
      <w:pPr>
        <w:pStyle w:val="ListBullet"/>
      </w:pPr>
      <w:r>
        <w:t>`BLOCKED — ORIGINAL RESULT_TRANSITION BLOCKER REMAINS`</w:t>
      </w:r>
    </w:p>
    <w:p>
      <w:pPr>
        <w:pStyle w:val="ListBullet"/>
      </w:pPr>
      <w:r>
        <w:t>`BLOCKED — NEW DOWNSTREAM ACQUISITION STAGE IDENTIFIED`</w:t>
      </w:r>
    </w:p>
    <w:p>
      <w:pPr>
        <w:pStyle w:val="ListBullet"/>
      </w:pPr>
      <w:r>
        <w:t>`BLOCKED — ACCESS_CHALLENGE`</w:t>
      </w:r>
    </w:p>
    <w:p>
      <w:r>
        <w:t>即使一次完整 L1→L2 live 成功，也只能声称 bounded observed success；不得升级为 stable/unattended/production-ready acquisition。</w:t>
      </w:r>
    </w:p>
    <w:p>
      <w:pPr>
        <w:pStyle w:val="Heading1"/>
      </w:pPr>
      <w:r>
        <w:t>13. Git and Stop Rules</w:t>
      </w:r>
    </w:p>
    <w:p>
      <w:pPr>
        <w:pStyle w:val="ListBullet"/>
      </w:pPr>
      <w:r>
        <w:t>每个 Codex task 开始前 `git fetch origin` 并检查 branch/HEAD/origin-main/tracking/dirty tree。</w:t>
      </w:r>
    </w:p>
    <w:p>
      <w:pPr>
        <w:pStyle w:val="ListBullet"/>
      </w:pPr>
      <w:r>
        <w:t>预期 branch `m9-trackb-fliggy-browser`；不得 reset/rebase/force push。</w:t>
      </w:r>
    </w:p>
    <w:p>
      <w:pPr>
        <w:pStyle w:val="ListBullet"/>
      </w:pPr>
      <w:r>
        <w:t>Recovery Execution PASS：self-review → commit → push → verify remote → clean。</w:t>
      </w:r>
    </w:p>
    <w:p>
      <w:pPr>
        <w:pStyle w:val="ListBullet"/>
      </w:pPr>
      <w:r>
        <w:t>Bounded Live Revalidation 默认 read-only；不得因 live 结果顺手改代码、commit 或 push。</w:t>
      </w:r>
    </w:p>
    <w:p>
      <w:pPr>
        <w:pStyle w:val="ListBullet"/>
      </w:pPr>
      <w:r>
        <w:t>任何需要 shared change 的发现：STOP → Evidence → Impact → Options → Recommended Contract Amendment → Human Decision。</w:t>
      </w:r>
    </w:p>
    <w:p>
      <w:pPr>
        <w:pStyle w:val="ListBullet"/>
      </w:pPr>
      <w:r>
        <w:t>本 Unit 不授权 main integration、M9 overall closure 或 production readiness。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