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3"/>
        </w:rPr>
        <w:t>机票筛选 Agent</w:t>
        <w:br/>
        <w:t>M9-FLIGGY-LEVEL2-AGGREGATION-AUDIT-U1</w:t>
      </w:r>
    </w:p>
    <w:p>
      <w:pPr>
        <w:jc w:val="center"/>
      </w:pPr>
      <w:r>
        <w:rPr>
          <w:sz w:val="21"/>
        </w:rPr>
        <w:t>Observation / Equivalence / Merger Boundary Review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t>Field</w:t>
            </w:r>
          </w:p>
        </w:tc>
        <w:tc>
          <w:tcPr>
            <w:tcW w:type="dxa" w:w="5155"/>
          </w:tcPr>
          <w:p>
            <w:r>
              <w:t>Value</w:t>
            </w:r>
          </w:p>
        </w:tc>
      </w:tr>
      <w:tr>
        <w:tc>
          <w:tcPr>
            <w:tcW w:type="dxa" w:w="5155"/>
          </w:tcPr>
          <w:p>
            <w:r>
              <w:t>Unit ID</w:t>
            </w:r>
          </w:p>
        </w:tc>
        <w:tc>
          <w:tcPr>
            <w:tcW w:type="dxa" w:w="5155"/>
          </w:tcPr>
          <w:p>
            <w:r>
              <w:t>M9-FLIGGY-LEVEL2-AGGREGATION-AUDIT-U1</w:t>
            </w:r>
          </w:p>
        </w:tc>
      </w:tr>
      <w:tr>
        <w:tc>
          <w:tcPr>
            <w:tcW w:type="dxa" w:w="5155"/>
          </w:tcPr>
          <w:p>
            <w:r>
              <w:t>Type</w:t>
            </w:r>
          </w:p>
        </w:tc>
        <w:tc>
          <w:tcPr>
            <w:tcW w:type="dxa" w:w="5155"/>
          </w:tcPr>
          <w:p>
            <w:r>
              <w:t>Read-only Aggregation / Equivalence / Merger Boundary Audit</w:t>
            </w:r>
          </w:p>
        </w:tc>
      </w:tr>
      <w:tr>
        <w:tc>
          <w:tcPr>
            <w:tcW w:type="dxa" w:w="5155"/>
          </w:tcPr>
          <w:p>
            <w:r>
              <w:t>Provider</w:t>
            </w:r>
          </w:p>
        </w:tc>
        <w:tc>
          <w:tcPr>
            <w:tcW w:type="dxa" w:w="5155"/>
          </w:tcPr>
          <w:p>
            <w:r>
              <w:t>FLIGGY</w:t>
            </w:r>
          </w:p>
        </w:tc>
      </w:tr>
      <w:tr>
        <w:tc>
          <w:tcPr>
            <w:tcW w:type="dxa" w:w="5155"/>
          </w:tcPr>
          <w:p>
            <w:r>
              <w:t>Primary inputs</w:t>
            </w:r>
          </w:p>
        </w:tc>
        <w:tc>
          <w:tcPr>
            <w:tcW w:type="dxa" w:w="5155"/>
          </w:tcPr>
          <w:p>
            <w:r>
              <w:t>Accepted L1/L2 Canonical observations, provenance/evidence linkage, existing M4 equivalence / Candidate Merger contracts</w:t>
            </w:r>
          </w:p>
        </w:tc>
      </w:tr>
      <w:tr>
        <w:tc>
          <w:tcPr>
            <w:tcW w:type="dxa" w:w="5155"/>
          </w:tcPr>
          <w:p>
            <w:r>
              <w:t>Implementation authority</w:t>
            </w:r>
          </w:p>
        </w:tc>
        <w:tc>
          <w:tcPr>
            <w:tcW w:type="dxa" w:w="5155"/>
          </w:tcPr>
          <w:p>
            <w:r>
              <w:t>NONE</w:t>
            </w:r>
          </w:p>
        </w:tc>
      </w:tr>
      <w:tr>
        <w:tc>
          <w:tcPr>
            <w:tcW w:type="dxa" w:w="5155"/>
          </w:tcPr>
          <w:p>
            <w:r>
              <w:t>Evidence basis</w:t>
            </w:r>
          </w:p>
        </w:tc>
        <w:tc>
          <w:tcPr>
            <w:tcW w:type="dxa" w:w="5155"/>
          </w:tcPr>
          <w:p>
            <w:r>
              <w:t>OFFLINE-EVIDENCE-BACKED / LIVE GAP PRESERVED</w:t>
            </w:r>
          </w:p>
        </w:tc>
      </w:tr>
      <w:tr>
        <w:tc>
          <w:tcPr>
            <w:tcW w:type="dxa" w:w="5155"/>
          </w:tcPr>
          <w:p>
            <w:r>
              <w:t>Expected Contract Amendment</w:t>
            </w:r>
          </w:p>
        </w:tc>
        <w:tc>
          <w:tcPr>
            <w:tcW w:type="dxa" w:w="5155"/>
          </w:tcPr>
          <w:p>
            <w:r>
              <w:t>NONE</w:t>
            </w:r>
          </w:p>
        </w:tc>
      </w:tr>
      <w:tr>
        <w:tc>
          <w:tcPr>
            <w:tcW w:type="dxa" w:w="5155"/>
          </w:tcPr>
          <w:p>
            <w:r>
              <w:t>Primary decision</w:t>
            </w:r>
          </w:p>
        </w:tc>
        <w:tc>
          <w:tcPr>
            <w:tcW w:type="dxa" w:w="5155"/>
          </w:tcPr>
          <w:p>
            <w:r>
              <w:t>Whether existing conservative equivalence/merger contract is sufficient, needs evidence-aware wiring, or exposes a genuine contract gap</w:t>
            </w:r>
          </w:p>
        </w:tc>
      </w:tr>
    </w:tbl>
    <w:p>
      <w:pPr>
        <w:pStyle w:val="Heading1"/>
      </w:pPr>
      <w:r>
        <w:t>2. Goal</w:t>
      </w:r>
    </w:p>
    <w:p>
      <w:r>
        <w:t>审计现有架构能否安全处理 FLIGGY Level-1 summary observation 与多个 Level-2 concrete offer observations，并明确 Observation、Equivalence Decision、Merger 三层责任边界。</w:t>
      </w:r>
    </w:p>
    <w:p>
      <w:r>
        <w:t>本 Unit 不实现 Candidate Merger，也不设计最终 ranking/presentation。核心原则是：宁可保留多个候选，也不能因证据不足而错误合并不同商业 Offer。</w:t>
      </w:r>
    </w:p>
    <w:p>
      <w:pPr>
        <w:pStyle w:val="Heading1"/>
      </w:pPr>
      <w:r>
        <w:t>3. Preconditions</w:t>
      </w:r>
    </w:p>
    <w:p>
      <w:pPr>
        <w:pStyle w:val="ListBullet"/>
      </w:pPr>
      <w:r>
        <w:t>M9-FLIGGY-LEVEL2-MAPPER-U1 已接受：IMPLEMENTED / VERIFIED / OFFLINE-EVIDENCE-BACKED / LIVE GAP PRESERVED。</w:t>
      </w:r>
    </w:p>
    <w:p>
      <w:pPr>
        <w:pStyle w:val="ListBullet"/>
      </w:pPr>
      <w:r>
        <w:t>M9-FLIGGY-LEVEL2-CANONICAL-AUDIT-U1 已完成：Canonical Compatibility = PASS；Existing canonical path sufficient = YES；Level-2 canonical implementation = NOT REQUIRED。</w:t>
      </w:r>
    </w:p>
    <w:p>
      <w:pPr>
        <w:pStyle w:val="ListBullet"/>
      </w:pPr>
      <w:r>
        <w:t>Canonicalization 本身不执行 offer merge；L1 LOWER_BOUND 与 L2 EXACT observation distinction 可保留。</w:t>
      </w:r>
    </w:p>
    <w:p>
      <w:pPr>
        <w:pStyle w:val="ListBullet"/>
      </w:pPr>
      <w:r>
        <w:t>Seller、fare product、purchase channel、复杂 refund/change、baggage rule、availability 等存在 downstream commercial distinction risk。</w:t>
      </w:r>
    </w:p>
    <w:p>
      <w:pPr>
        <w:pStyle w:val="ListBullet"/>
      </w:pPr>
      <w:r>
        <w:t>本 Audit 不运行 live probe，不修改 shared contract，不修改 FLIGGY/CTRIP 实现。</w:t>
      </w:r>
    </w:p>
    <w:p>
      <w:pPr>
        <w:pStyle w:val="Heading1"/>
      </w:pPr>
      <w:r>
        <w:t>4. Mandatory Concept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t>Concept</w:t>
            </w:r>
          </w:p>
        </w:tc>
        <w:tc>
          <w:tcPr>
            <w:tcW w:type="dxa" w:w="5155"/>
          </w:tcPr>
          <w:p>
            <w:r>
              <w:t>Definition / Responsibility</w:t>
            </w:r>
          </w:p>
        </w:tc>
      </w:tr>
      <w:tr>
        <w:tc>
          <w:tcPr>
            <w:tcW w:type="dxa" w:w="5155"/>
          </w:tcPr>
          <w:p>
            <w:r>
              <w:t>Observation</w:t>
            </w:r>
          </w:p>
        </w:tc>
        <w:tc>
          <w:tcPr>
            <w:tcW w:type="dxa" w:w="5155"/>
          </w:tcPr>
          <w:p>
            <w:r>
              <w:t>一次 provider evidence/canonicalization 产生的可追踪事实观察。same amount 不代表 same observation。</w:t>
            </w:r>
          </w:p>
        </w:tc>
      </w:tr>
      <w:tr>
        <w:tc>
          <w:tcPr>
            <w:tcW w:type="dxa" w:w="5155"/>
          </w:tcPr>
          <w:p>
            <w:r>
              <w:t>Equivalence Decision</w:t>
            </w:r>
          </w:p>
        </w:tc>
        <w:tc>
          <w:tcPr>
            <w:tcW w:type="dxa" w:w="5155"/>
          </w:tcPr>
          <w:p>
            <w:r>
              <w:t>保守判断两个 observations 是否足够证明代表同一业务候选；必须允许 EQUIVALENT / DISTINCT / INSUFFICIENT_EVIDENCE。</w:t>
            </w:r>
          </w:p>
        </w:tc>
      </w:tr>
      <w:tr>
        <w:tc>
          <w:tcPr>
            <w:tcW w:type="dxa" w:w="5155"/>
          </w:tcPr>
          <w:p>
            <w:r>
              <w:t>Merger</w:t>
            </w:r>
          </w:p>
        </w:tc>
        <w:tc>
          <w:tcPr>
            <w:tcW w:type="dxa" w:w="5155"/>
          </w:tcPr>
          <w:p>
            <w:r>
              <w:t>仅在 equivalence 允许时组合/选择 downstream candidate facts，并保留 source observations/provenance；不得反向重写 Evidence truth。</w:t>
            </w:r>
          </w:p>
        </w:tc>
      </w:tr>
    </w:tbl>
    <w:p>
      <w:pPr>
        <w:pStyle w:val="Heading1"/>
      </w:pPr>
      <w:r>
        <w:t>5. L1 vs L2 Observation Semantics</w:t>
      </w:r>
    </w:p>
    <w:p>
      <w:pPr>
        <w:pStyle w:val="ListBullet"/>
      </w:pPr>
      <w:r>
        <w:t>L1 list-level price（如 `¥791起`）是 summary / LOWER_BOUND observation。</w:t>
      </w:r>
    </w:p>
    <w:p>
      <w:pPr>
        <w:pStyle w:val="ListBullet"/>
      </w:pPr>
      <w:r>
        <w:t>L2 expanded row 是 concrete commercial observation，可在证据明确时具有 EXACT price。</w:t>
      </w:r>
    </w:p>
    <w:p>
      <w:pPr>
        <w:pStyle w:val="ListBullet"/>
      </w:pPr>
      <w:r>
        <w:t>L2 concrete observation 不自动覆盖、删除或替代 L1 summary observation。</w:t>
      </w:r>
    </w:p>
    <w:p>
      <w:pPr>
        <w:pStyle w:val="ListBullet"/>
      </w:pPr>
      <w:r>
        <w:t>即使 L1 LOWER_BOUND 与 L2 EXACT amount 相同，也不能仅凭数值相等判定为同一 Offer。</w:t>
      </w:r>
    </w:p>
    <w:p>
      <w:pPr>
        <w:pStyle w:val="ListBullet"/>
      </w:pPr>
      <w:r>
        <w:t>最终 UI 是否优先展示 L2 concrete offer 属于 downstream ranking/presentation。</w:t>
      </w:r>
    </w:p>
    <w:p>
      <w:pPr>
        <w:pStyle w:val="Heading1"/>
      </w:pPr>
      <w:r>
        <w:t>6. Required Relationship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Case</w:t>
            </w:r>
          </w:p>
        </w:tc>
        <w:tc>
          <w:tcPr>
            <w:tcW w:type="dxa" w:w="3437"/>
          </w:tcPr>
          <w:p>
            <w:r>
              <w:t>Inputs</w:t>
            </w:r>
          </w:p>
        </w:tc>
        <w:tc>
          <w:tcPr>
            <w:tcW w:type="dxa" w:w="3437"/>
          </w:tcPr>
          <w:p>
            <w:r>
              <w:t>Required conservative interpretation</w:t>
            </w:r>
          </w:p>
        </w:tc>
      </w:tr>
      <w:tr>
        <w:tc>
          <w:tcPr>
            <w:tcW w:type="dxa" w:w="3437"/>
          </w:tcPr>
          <w:p>
            <w:r>
              <w:t>A</w:t>
            </w:r>
          </w:p>
        </w:tc>
        <w:tc>
          <w:tcPr>
            <w:tcW w:type="dxa" w:w="3437"/>
          </w:tcPr>
          <w:p>
            <w:r>
              <w:t>L1 791 LOWER_BOUND vs L2 791 EXACT</w:t>
            </w:r>
          </w:p>
        </w:tc>
        <w:tc>
          <w:tcPr>
            <w:tcW w:type="dxa" w:w="3437"/>
          </w:tcPr>
          <w:p>
            <w:r>
              <w:t>不得自动 EQUIVALENT；保持 observation distinction，并审计 vocabulary 能否表达证据不足。</w:t>
            </w:r>
          </w:p>
        </w:tc>
      </w:tr>
      <w:tr>
        <w:tc>
          <w:tcPr>
            <w:tcW w:type="dxa" w:w="3437"/>
          </w:tcPr>
          <w:p>
            <w:r>
              <w:t>B</w:t>
            </w:r>
          </w:p>
        </w:tc>
        <w:tc>
          <w:tcPr>
            <w:tcW w:type="dxa" w:w="3437"/>
          </w:tcPr>
          <w:p>
            <w:r>
              <w:t>L2 A 791 vs L2 B 820</w:t>
            </w:r>
          </w:p>
        </w:tc>
        <w:tc>
          <w:tcPr>
            <w:tcW w:type="dxa" w:w="3437"/>
          </w:tcPr>
          <w:p>
            <w:r>
              <w:t>已知价格冲突，应能判定 DISTINCT。</w:t>
            </w:r>
          </w:p>
        </w:tc>
      </w:tr>
      <w:tr>
        <w:tc>
          <w:tcPr>
            <w:tcW w:type="dxa" w:w="3437"/>
          </w:tcPr>
          <w:p>
            <w:r>
              <w:t>C</w:t>
            </w:r>
          </w:p>
        </w:tc>
        <w:tc>
          <w:tcPr>
            <w:tcW w:type="dxa" w:w="3437"/>
          </w:tcPr>
          <w:p>
            <w:r>
              <w:t>L2 A/B 同价同 itinerary，但 refundable 冲突</w:t>
            </w:r>
          </w:p>
        </w:tc>
        <w:tc>
          <w:tcPr>
            <w:tcW w:type="dxa" w:w="3437"/>
          </w:tcPr>
          <w:p>
            <w:r>
              <w:t>shared facts 已冲突，应判定 DISTINCT。</w:t>
            </w:r>
          </w:p>
        </w:tc>
      </w:tr>
      <w:tr>
        <w:tc>
          <w:tcPr>
            <w:tcW w:type="dxa" w:w="3437"/>
          </w:tcPr>
          <w:p>
            <w:r>
              <w:t>D</w:t>
            </w:r>
          </w:p>
        </w:tc>
        <w:tc>
          <w:tcPr>
            <w:tcW w:type="dxa" w:w="3437"/>
          </w:tcPr>
          <w:p>
            <w:r>
              <w:t>L2 A/B shared facts 相同，但 sanitized Evidence seller 不同</w:t>
            </w:r>
          </w:p>
        </w:tc>
        <w:tc>
          <w:tcPr>
            <w:tcW w:type="dxa" w:w="3437"/>
          </w:tcPr>
          <w:p>
            <w:r>
              <w:t>不得因 canonical equality 判定 EQUIVALENT；优先 INSUFFICIENT_EVIDENCE。</w:t>
            </w:r>
          </w:p>
        </w:tc>
      </w:tr>
      <w:tr>
        <w:tc>
          <w:tcPr>
            <w:tcW w:type="dxa" w:w="3437"/>
          </w:tcPr>
          <w:p>
            <w:r>
              <w:t>E</w:t>
            </w:r>
          </w:p>
        </w:tc>
        <w:tc>
          <w:tcPr>
            <w:tcW w:type="dxa" w:w="3437"/>
          </w:tcPr>
          <w:p>
            <w:r>
              <w:t>same provider + same parent + same row/source identity + same facts</w:t>
            </w:r>
          </w:p>
        </w:tc>
        <w:tc>
          <w:tcPr>
            <w:tcW w:type="dxa" w:w="3437"/>
          </w:tcPr>
          <w:p>
            <w:r>
              <w:t>审计是否属于重复 capture / 可证明 equivalent；不得凭猜测。</w:t>
            </w:r>
          </w:p>
        </w:tc>
      </w:tr>
      <w:tr>
        <w:tc>
          <w:tcPr>
            <w:tcW w:type="dxa" w:w="3437"/>
          </w:tcPr>
          <w:p>
            <w:r>
              <w:t>F</w:t>
            </w:r>
          </w:p>
        </w:tc>
        <w:tc>
          <w:tcPr>
            <w:tcW w:type="dxa" w:w="3437"/>
          </w:tcPr>
          <w:p>
            <w:r>
              <w:t>same canonical facts，但 product/rules/baggage/availability Evidence 不同</w:t>
            </w:r>
          </w:p>
        </w:tc>
        <w:tc>
          <w:tcPr>
            <w:tcW w:type="dxa" w:w="3437"/>
          </w:tcPr>
          <w:p>
            <w:r>
              <w:t>不得强制 merge；登记 commercial distinction risk。</w:t>
            </w:r>
          </w:p>
        </w:tc>
      </w:tr>
    </w:tbl>
    <w:p>
      <w:pPr>
        <w:pStyle w:val="Heading1"/>
      </w:pPr>
      <w:r>
        <w:t>7. Equivalence Vocabulary Audit</w:t>
      </w:r>
    </w:p>
    <w:p>
      <w:r>
        <w:t>优先复用现有 M4 conservative vocabulary：EQUIVALENT / DISTINCT / INSUFFICIENT_EVIDENCE。Audit 必须检查实际代码和 authority，不新增 PROBABLY_SAME、RELATED 等状态。</w:t>
      </w:r>
    </w:p>
    <w:p>
      <w:pPr>
        <w:pStyle w:val="ListBullet"/>
      </w:pPr>
      <w:r>
        <w:t>Known conflicting shared facts → DISTINCT。</w:t>
      </w:r>
    </w:p>
    <w:p>
      <w:pPr>
        <w:pStyle w:val="ListBullet"/>
      </w:pPr>
      <w:r>
        <w:t>足够 identity + business evidence 支持同一候选 → EQUIVALENT。</w:t>
      </w:r>
    </w:p>
    <w:p>
      <w:pPr>
        <w:pStyle w:val="ListBullet"/>
      </w:pPr>
      <w:r>
        <w:t>Canonical facts 相同但商业区分信息不可见/不足 → INSUFFICIENT_EVIDENCE。</w:t>
      </w:r>
    </w:p>
    <w:p>
      <w:pPr>
        <w:pStyle w:val="Heading1"/>
      </w:pPr>
      <w:r>
        <w:t>8. Existing Candidate Merger / Equivalence Contract Inventory</w:t>
      </w:r>
    </w:p>
    <w:p>
      <w:pPr>
        <w:pStyle w:val="ListBullet"/>
      </w:pPr>
      <w:r>
        <w:t>定位并报告现有 Segment equivalence、Itinerary equivalence、Offer equivalence 的 authority 与实际实现。</w:t>
      </w:r>
    </w:p>
    <w:p>
      <w:pPr>
        <w:pStyle w:val="ListBullet"/>
      </w:pPr>
      <w:r>
        <w:t>列出 Offer equivalence 实际使用的字段、identity/provenance、missing-value handling。</w:t>
      </w:r>
    </w:p>
    <w:p>
      <w:pPr>
        <w:pStyle w:val="ListBullet"/>
      </w:pPr>
      <w:r>
        <w:t>确认 equivalence decision 与 Candidate Merger 是否分层，Merger 是否可能在 decision 之前 destructive collapse。</w:t>
      </w:r>
    </w:p>
    <w:p>
      <w:pPr>
        <w:pStyle w:val="ListBullet"/>
      </w:pPr>
      <w:r>
        <w:t>确认现有 merger 是否允许保留多个 source observations / provenance。</w:t>
      </w:r>
    </w:p>
    <w:p>
      <w:pPr>
        <w:pStyle w:val="ListBullet"/>
      </w:pPr>
      <w:r>
        <w:t>确认是否存在 price-only、itinerary+price-only 或其他会导致 FLIGGY L2 false-positive merge 的逻辑。</w:t>
      </w:r>
    </w:p>
    <w:p>
      <w:pPr>
        <w:pStyle w:val="ListBullet"/>
      </w:pPr>
      <w:r>
        <w:t>确认 CandidateSnapshot、Ranking 等是否在本层之外。</w:t>
      </w:r>
    </w:p>
    <w:p>
      <w:pPr>
        <w:pStyle w:val="Heading1"/>
      </w:pPr>
      <w:r>
        <w:t>9. Evidence-aware Merger Boundary</w:t>
      </w:r>
    </w:p>
    <w:p>
      <w:r>
        <w:t>若 shared Canonical facts 不足以区分两个商业 Offer，Audit 应检查 provenance 是否能安全关联到 sanitized Evidence distinction。允许审计的目标形态：Canonical Observation + Provenance / Sanitized Evidence Reference → Conservative Equivalence Evaluator → Decision → Candidate Merger。</w:t>
      </w:r>
    </w:p>
    <w:p>
      <w:pPr>
        <w:pStyle w:val="ListBullet"/>
      </w:pPr>
      <w:r>
        <w:t>不得让 Merger 直接读取 Raw DOM / HTML / browser session / Cookie / Auth。</w:t>
      </w:r>
    </w:p>
    <w:p>
      <w:pPr>
        <w:pStyle w:val="ListBullet"/>
      </w:pPr>
      <w:r>
        <w:t>不得绕过 Mapper 从 Evidence 重新制造 business truth。</w:t>
      </w:r>
    </w:p>
    <w:p>
      <w:pPr>
        <w:pStyle w:val="ListBullet"/>
      </w:pPr>
      <w:r>
        <w:t>Evidence linkage 只用于避免错误 equivalence、确认 source identity 或支持保守 decision。</w:t>
      </w:r>
    </w:p>
    <w:p>
      <w:pPr>
        <w:pStyle w:val="ListBullet"/>
      </w:pPr>
      <w:r>
        <w:t>若 provenance 已足够表达 distinction，不应为了方便给 CanonicalOffer 增加 seller 等字段。</w:t>
      </w:r>
    </w:p>
    <w:p>
      <w:pPr>
        <w:pStyle w:val="Heading1"/>
      </w:pPr>
      <w:r>
        <w:t>10. Non-destructive Merger Principle</w:t>
      </w:r>
    </w:p>
    <w:p>
      <w:pPr>
        <w:pStyle w:val="ListBullet"/>
      </w:pPr>
      <w:r>
        <w:t>禁止 `best record wins` 作为默认语义。</w:t>
      </w:r>
    </w:p>
    <w:p>
      <w:pPr>
        <w:pStyle w:val="ListBullet"/>
      </w:pPr>
      <w:r>
        <w:t>L2 EXACT 比 L1 LOWER_BOUND 更具体，不代表可以删除 L1 observation。</w:t>
      </w:r>
    </w:p>
    <w:p>
      <w:pPr>
        <w:pStyle w:val="ListBullet"/>
      </w:pPr>
      <w:r>
        <w:t>若未来多个 observations 合并为一个 downstream candidate，source observations/provenance 必须仍可追踪。</w:t>
      </w:r>
    </w:p>
    <w:p>
      <w:pPr>
        <w:pStyle w:val="ListBullet"/>
      </w:pPr>
      <w:r>
        <w:t>Merger 不得产生 price from A + baggage from B + refund rule from C + purchase path from D 的跨来源拼接。</w:t>
      </w:r>
    </w:p>
    <w:p>
      <w:pPr>
        <w:pStyle w:val="ListBullet"/>
      </w:pPr>
      <w:r>
        <w:t>False-negative merger（少合并）优于 false-positive merger（错合并）。</w:t>
      </w:r>
    </w:p>
    <w:p>
      <w:pPr>
        <w:pStyle w:val="Heading1"/>
      </w:pPr>
      <w:r>
        <w:t>11. Audit Gates</w:t>
      </w:r>
    </w:p>
    <w:p>
      <w:pPr>
        <w:pStyle w:val="Heading2"/>
      </w:pPr>
      <w:r>
        <w:t>L2-AGG-AUD-01 — Layer separation</w:t>
      </w:r>
    </w:p>
    <w:p>
      <w:r>
        <w:t>Observation、Equivalence、Merger 三层责任明确且未被现有实现混淆。</w:t>
      </w:r>
    </w:p>
    <w:p>
      <w:pPr>
        <w:pStyle w:val="Heading2"/>
      </w:pPr>
      <w:r>
        <w:t>L2-AGG-AUD-02 — L1/L2 independence</w:t>
      </w:r>
    </w:p>
    <w:p>
      <w:r>
        <w:t>L1 summary 与 L2 concrete observations 默认保持独立。</w:t>
      </w:r>
    </w:p>
    <w:p>
      <w:pPr>
        <w:pStyle w:val="Heading2"/>
      </w:pPr>
      <w:r>
        <w:t>L2-AGG-AUD-03 — Lower-bound vs exact</w:t>
      </w:r>
    </w:p>
    <w:p>
      <w:r>
        <w:t>同金额 L1 LOWER_BOUND 与 L2 EXACT 不自动 equivalent。</w:t>
      </w:r>
    </w:p>
    <w:p>
      <w:pPr>
        <w:pStyle w:val="Heading2"/>
      </w:pPr>
      <w:r>
        <w:t>L2-AGG-AUD-04 — Different prices</w:t>
      </w:r>
    </w:p>
    <w:p>
      <w:r>
        <w:t>不同 L2 price 可保守判定 DISTINCT。</w:t>
      </w:r>
    </w:p>
    <w:p>
      <w:pPr>
        <w:pStyle w:val="Heading2"/>
      </w:pPr>
      <w:r>
        <w:t>L2-AGG-AUD-05 — Shared-fact conflict</w:t>
      </w:r>
    </w:p>
    <w:p>
      <w:r>
        <w:t>refundable 等已知 shared facts 冲突可判定 DISTINCT。</w:t>
      </w:r>
    </w:p>
    <w:p>
      <w:pPr>
        <w:pStyle w:val="Heading2"/>
      </w:pPr>
      <w:r>
        <w:t>L2-AGG-AUD-06 — Canonical equality safety</w:t>
      </w:r>
    </w:p>
    <w:p>
      <w:r>
        <w:t>shared facts 相同但 commercial distinction 不可见时不得默认 EQUIVALENT。</w:t>
      </w:r>
    </w:p>
    <w:p>
      <w:pPr>
        <w:pStyle w:val="Heading2"/>
      </w:pPr>
      <w:r>
        <w:t>L2-AGG-AUD-07 — Seller risk</w:t>
      </w:r>
    </w:p>
    <w:p>
      <w:r>
        <w:t>seller Evidence-only 对 equivalence 的风险被识别并保持 downstream。</w:t>
      </w:r>
    </w:p>
    <w:p>
      <w:pPr>
        <w:pStyle w:val="Heading2"/>
      </w:pPr>
      <w:r>
        <w:t>L2-AGG-AUD-08 — Other commercial risks</w:t>
      </w:r>
    </w:p>
    <w:p>
      <w:r>
        <w:t>fare product/rules/baggage/availability/purchase channel distinction 风险被识别。</w:t>
      </w:r>
    </w:p>
    <w:p>
      <w:pPr>
        <w:pStyle w:val="Heading2"/>
      </w:pPr>
      <w:r>
        <w:t>L2-AGG-AUD-09 — Provenance linkage</w:t>
      </w:r>
    </w:p>
    <w:p>
      <w:r>
        <w:t>现有 provenance/source identity 足以关联 source observations，或明确指出不足。</w:t>
      </w:r>
    </w:p>
    <w:p>
      <w:pPr>
        <w:pStyle w:val="Heading2"/>
      </w:pPr>
      <w:r>
        <w:t>L2-AGG-AUD-10 — Non-destructive preservation</w:t>
      </w:r>
    </w:p>
    <w:p>
      <w:r>
        <w:t>未来 merger 可保留 source observations，不要求 destructive replacement。</w:t>
      </w:r>
    </w:p>
    <w:p>
      <w:pPr>
        <w:pStyle w:val="Heading2"/>
      </w:pPr>
      <w:r>
        <w:t>L2-AGG-AUD-11 — Canonical != commercial equivalence</w:t>
      </w:r>
    </w:p>
    <w:p>
      <w:r>
        <w:t>明确区分 canonical equality 与 commercial equivalence。</w:t>
      </w:r>
    </w:p>
    <w:p>
      <w:pPr>
        <w:pStyle w:val="Heading2"/>
      </w:pPr>
      <w:r>
        <w:t>L2-AGG-AUD-12 — No raw-evidence reinterpretation</w:t>
      </w:r>
    </w:p>
    <w:p>
      <w:r>
        <w:t>Merger/equivalence 不需要读取 Raw DOM/HTML/session，也不绕过 Mapper 重建 truth。</w:t>
      </w:r>
    </w:p>
    <w:p>
      <w:pPr>
        <w:pStyle w:val="Heading2"/>
      </w:pPr>
      <w:r>
        <w:t>L2-AGG-AUD-13 — Existing contract sufficiency</w:t>
      </w:r>
    </w:p>
    <w:p>
      <w:r>
        <w:t>判断现有 conservative equivalence/merger contract 是否足以安全处理 FLIGGY L1/L2。</w:t>
      </w:r>
    </w:p>
    <w:p>
      <w:pPr>
        <w:pStyle w:val="Heading2"/>
      </w:pPr>
      <w:r>
        <w:t>L2-AGG-AUD-14 — Next-step classification</w:t>
      </w:r>
    </w:p>
    <w:p>
      <w:r>
        <w:t>明确下一步是无需实现、evidence-aware wiring、provider-local repair、Merger Unit，还是正式 Contract Amendment。</w:t>
      </w:r>
    </w:p>
    <w:p>
      <w:pPr>
        <w:pStyle w:val="Heading1"/>
      </w:pPr>
      <w:r>
        <w:t>12. Commercial Distinction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t>Risk</w:t>
            </w:r>
          </w:p>
        </w:tc>
        <w:tc>
          <w:tcPr>
            <w:tcW w:type="dxa" w:w="5155"/>
          </w:tcPr>
          <w:p>
            <w:r>
              <w:t>Audit question</w:t>
            </w:r>
          </w:p>
        </w:tc>
      </w:tr>
      <w:tr>
        <w:tc>
          <w:tcPr>
            <w:tcW w:type="dxa" w:w="5155"/>
          </w:tcPr>
          <w:p>
            <w:r>
              <w:t>seller / merchant</w:t>
            </w:r>
          </w:p>
        </w:tc>
        <w:tc>
          <w:tcPr>
            <w:tcW w:type="dxa" w:w="5155"/>
          </w:tcPr>
          <w:p>
            <w:r>
              <w:t>Canonical facts 相同但 seller 不同是否会导致 false-positive equivalence？</w:t>
            </w:r>
          </w:p>
        </w:tc>
      </w:tr>
      <w:tr>
        <w:tc>
          <w:tcPr>
            <w:tcW w:type="dxa" w:w="5155"/>
          </w:tcPr>
          <w:p>
            <w:r>
              <w:t>booking / purchase channel</w:t>
            </w:r>
          </w:p>
        </w:tc>
        <w:tc>
          <w:tcPr>
            <w:tcW w:type="dxa" w:w="5155"/>
          </w:tcPr>
          <w:p>
            <w:r>
              <w:t>不同购买入口是否在未来 candidate/actionability 上必须保持 distinct？</w:t>
            </w:r>
          </w:p>
        </w:tc>
      </w:tr>
      <w:tr>
        <w:tc>
          <w:tcPr>
            <w:tcW w:type="dxa" w:w="5155"/>
          </w:tcPr>
          <w:p>
            <w:r>
              <w:t>fare product</w:t>
            </w:r>
          </w:p>
        </w:tc>
        <w:tc>
          <w:tcPr>
            <w:tcW w:type="dxa" w:w="5155"/>
          </w:tcPr>
          <w:p>
            <w:r>
              <w:t>产品/舱等商业产品差异是否会在 shared facts 相同情况下被误合并？</w:t>
            </w:r>
          </w:p>
        </w:tc>
      </w:tr>
      <w:tr>
        <w:tc>
          <w:tcPr>
            <w:tcW w:type="dxa" w:w="5155"/>
          </w:tcPr>
          <w:p>
            <w:r>
              <w:t>refund/change</w:t>
            </w:r>
          </w:p>
        </w:tc>
        <w:tc>
          <w:tcPr>
            <w:tcW w:type="dxa" w:w="5155"/>
          </w:tcPr>
          <w:p>
            <w:r>
              <w:t>复杂规则未进入 Canonical 时，是否需要 sanitized evidence distinction 阻止 merge？</w:t>
            </w:r>
          </w:p>
        </w:tc>
      </w:tr>
      <w:tr>
        <w:tc>
          <w:tcPr>
            <w:tcW w:type="dxa" w:w="5155"/>
          </w:tcPr>
          <w:p>
            <w:r>
              <w:t>baggage</w:t>
            </w:r>
          </w:p>
        </w:tc>
        <w:tc>
          <w:tcPr>
            <w:tcW w:type="dxa" w:w="5155"/>
          </w:tcPr>
          <w:p>
            <w:r>
              <w:t>offer-specific baggage 是否可能因 shared representation 有限而丢失区分？</w:t>
            </w:r>
          </w:p>
        </w:tc>
      </w:tr>
      <w:tr>
        <w:tc>
          <w:tcPr>
            <w:tcW w:type="dxa" w:w="5155"/>
          </w:tcPr>
          <w:p>
            <w:r>
              <w:t>availability / urgency</w:t>
            </w:r>
          </w:p>
        </w:tc>
        <w:tc>
          <w:tcPr>
            <w:tcW w:type="dxa" w:w="5155"/>
          </w:tcPr>
          <w:p>
            <w:r>
              <w:t>实时余票/紧迫文本应如何影响 merge，或仅作为 volatile evidence 保留？</w:t>
            </w:r>
          </w:p>
        </w:tc>
      </w:tr>
    </w:tbl>
    <w:p>
      <w:r>
        <w:t>每项风险分类为：NO MATERIAL RISK OBSERVED、DOWNSTREAM DESIGN RISK 或 CURRENT MERGER CONTRACT BLOCKER。</w:t>
      </w:r>
    </w:p>
    <w:p>
      <w:pPr>
        <w:pStyle w:val="Heading1"/>
      </w:pPr>
      <w:r>
        <w:t>13. Contract Amendment Gate</w:t>
      </w:r>
    </w:p>
    <w:p>
      <w:r>
        <w:t>默认 Contract Amendment = NONE。Seller 不在 Canonical、商业规则仍是 Evidence-only，不能单独成为 amendment 理由。只有现有 Candidate Merger 的正式职责要求可靠判断 EQUIVALENT / DISTINCT / INSUFFICIENT_EVIDENCE，而 shared structures + provenance/sanitized evidence linkage 无法在不猜测的情况下表达或执行保守决策时，才允许提出 amendment proposal。</w:t>
      </w:r>
    </w:p>
    <w:p>
      <w:r>
        <w:t>触发流程：STOP → Evidence → Impact → Options → Recommended Contract Amendment → Human Decision。</w:t>
      </w:r>
    </w:p>
    <w:p>
      <w:pPr>
        <w:pStyle w:val="Heading1"/>
      </w:pPr>
      <w:r>
        <w:t>14. Allowed / Forbidden Scope</w:t>
      </w:r>
    </w:p>
    <w:p>
      <w:pPr>
        <w:pStyle w:val="ListBullet"/>
      </w:pPr>
      <w:r>
        <w:t>允许：读取 authority/source/tests；运行 network-free focused tests 或临时只读 invocation；整理 contract inventory、risk register、gate evidence。</w:t>
      </w:r>
    </w:p>
    <w:p>
      <w:pPr>
        <w:pStyle w:val="ListBullet"/>
      </w:pPr>
      <w:r>
        <w:t>禁止：修改源码/tests；实现 Candidate Merger；新增 shared seller/fare/inventory/rule/commercial identity；修改 Mapper/Canonical；修改 CTRIP；运行 live FLIGGY；commit/push audit execution；merge main。</w:t>
      </w:r>
    </w:p>
    <w:p>
      <w:pPr>
        <w:pStyle w:val="Heading1"/>
      </w:pPr>
      <w:r>
        <w:t>15. Required Verdict</w:t>
      </w:r>
    </w:p>
    <w:p>
      <w:pPr>
        <w:pStyle w:val="ListBullet"/>
      </w:pPr>
      <w:r>
        <w:t>PASS — EXISTING CONSERVATIVE MERGER CONTRACT SUFFICIENT</w:t>
      </w:r>
    </w:p>
    <w:p>
      <w:pPr>
        <w:pStyle w:val="ListBullet"/>
      </w:pPr>
      <w:r>
        <w:t>PASS — EVIDENCE-AWARE MERGER WIRING REQUIRED</w:t>
      </w:r>
    </w:p>
    <w:p>
      <w:pPr>
        <w:pStyle w:val="ListBullet"/>
      </w:pPr>
      <w:r>
        <w:t>PASS WITH COMMERCIAL DISTINCTION GAPS</w:t>
      </w:r>
    </w:p>
    <w:p>
      <w:pPr>
        <w:pStyle w:val="ListBullet"/>
      </w:pPr>
      <w:r>
        <w:t>BLOCKED</w:t>
      </w:r>
    </w:p>
    <w:p>
      <w:pPr>
        <w:pStyle w:val="ListBullet"/>
      </w:pPr>
      <w:r>
        <w:t>CONTRACT AMENDMENT PROPOSAL REQUIRED</w:t>
      </w:r>
    </w:p>
    <w:p>
      <w:r>
        <w:t>若现有 contract 可以通过 INSUFFICIENT_EVIDENCE 安全保守运行，即使无法积极去重，也应优先视为可接受，而不是为了提高 merge rate 扩张 shared contract。</w:t>
      </w:r>
    </w:p>
    <w:p>
      <w:pPr>
        <w:pStyle w:val="Heading1"/>
      </w:pPr>
      <w:r>
        <w:t>16. Exit Rule</w:t>
      </w:r>
    </w:p>
    <w:p>
      <w:r>
        <w:t>Audit Execution 完成后 STOP，不 commit/push，不自动实现 Merger。只有 Document Acceptance governance task 可以登记并推送本 Specification。Audit verdict 只提供下一 Unit 的设计依据，不能自行授权 implementation 或 main merge。</w:t>
      </w:r>
    </w:p>
    <w:sectPr w:rsidR="00FC693F" w:rsidRPr="0006063C" w:rsidSect="00034616">
      <w:pgSz w:w="12240" w:h="15840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