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240" w:after="120"/>
        <w:jc w:val="center"/>
      </w:pPr>
      <w:r>
        <w:rPr>
          <w:rFonts w:ascii="Times New Roman" w:hAnsi="Times New Roman" w:eastAsia="黑体"/>
          <w:b/>
          <w:sz w:val="32"/>
        </w:rPr>
        <w:t>桂林气候舒适度时空演变及其对旅游业的影响分析</w:t>
      </w:r>
    </w:p>
    <w:p>
      <w:pPr>
        <w:spacing w:lineRule="exact" w:line="400" w:before="240" w:after="120"/>
        <w:jc w:val="center"/>
      </w:pPr>
      <w:r>
        <w:rPr>
          <w:rFonts w:ascii="Times New Roman" w:hAnsi="Times New Roman" w:eastAsia="黑体"/>
          <w:b/>
          <w:sz w:val="28"/>
        </w:rPr>
        <w:t>摘 要</w:t>
      </w:r>
    </w:p>
    <w:p>
      <w:pPr>
        <w:spacing w:lineRule="exact" w:line="400" w:before="200" w:after="200"/>
        <w:ind w:firstLine="420"/>
        <w:jc w:val="both"/>
      </w:pPr>
      <w:r>
        <w:rPr>
          <w:rFonts w:ascii="Times New Roman" w:hAnsi="Times New Roman" w:eastAsia="宋体"/>
          <w:b w:val="0"/>
          <w:sz w:val="24"/>
        </w:rPr>
        <w:t>桂林作为世界著名的旅游城市，气候舒适度对旅游业发展具有重要影响。本文基于桂林2011-2025年每日气象数据和2013-2025年月度旅游数据，构建气候舒适度指数（Climate Comfort Index, CCI），分析其时空演变规律，并深入探讨气候舒适度对旅游产业的影响机制。</w:t>
      </w:r>
    </w:p>
    <w:p>
      <w:pPr>
        <w:spacing w:lineRule="exact" w:line="400" w:before="200" w:after="200"/>
        <w:ind w:firstLine="420"/>
        <w:jc w:val="both"/>
      </w:pPr>
      <w:r>
        <w:rPr>
          <w:rFonts w:ascii="Times New Roman" w:hAnsi="Times New Roman" w:eastAsia="宋体"/>
          <w:b w:val="0"/>
          <w:sz w:val="24"/>
        </w:rPr>
        <w:t>针对问题一，本文采用熵权TOPSIS法构建CCI模型，综合考虑温度、天气状况和风力三个因素。通过Mann-Kendall趋势检验和Sen's斜率估计，分析CCI的时间变化趋势。结果表明，桂林CCI在2011-2025年间呈微弱下降趋势（Sen's斜率=-0.0402/年），但统计上不显著（p=0.7665）。</w:t>
      </w:r>
    </w:p>
    <w:p>
      <w:pPr>
        <w:spacing w:lineRule="exact" w:line="400" w:before="200" w:after="200"/>
        <w:ind w:firstLine="420"/>
        <w:jc w:val="both"/>
      </w:pPr>
      <w:r>
        <w:rPr>
          <w:rFonts w:ascii="Times New Roman" w:hAnsi="Times New Roman" w:eastAsia="宋体"/>
          <w:b w:val="0"/>
          <w:sz w:val="24"/>
        </w:rPr>
        <w:t>针对问题二，采用百分位数法将CCI划分为5个等级（最舒适、较舒适、正常、较不舒适、最不舒适）。通过Pettitt突变检验分析CCI的突变特征，发现2015年为潜在突变点，但未达到统计显著性（p≈1.0）。构建马尔科夫转移概率矩阵，揭示各等级之间的转换规律。</w:t>
      </w:r>
    </w:p>
    <w:p>
      <w:pPr>
        <w:spacing w:lineRule="exact" w:line="400" w:before="200" w:after="200"/>
        <w:ind w:firstLine="420"/>
        <w:jc w:val="both"/>
      </w:pPr>
      <w:r>
        <w:rPr>
          <w:rFonts w:ascii="Times New Roman" w:hAnsi="Times New Roman" w:eastAsia="宋体"/>
          <w:b w:val="0"/>
          <w:sz w:val="24"/>
        </w:rPr>
        <w:t>针对问题三，整合桂林市2013-2025年月度旅游数据（75个月度有效数据点）与气候数据，运用灰色关联分析和多元回归等方法，系统分析气候舒适度对旅游产业的影响。灰色关联分析显示，高温天数与游客量的关联度最高（0.7287），其次是低温天数（0.6948）。月度回归模型的调整R2为0.0446，说明气候因素仅能解释约4%的月度游客量变异，季节性和社会因素是驱动旅游的主要力量。月度游客量指数分析揭示桂林旅游呈"双峰"特征：秋季高峰（10-12月，受国庆和年末消费驱动）和夏季高峰（7-8月，受暑假驱动），而CCI在4-5月达到峰值但并非旅游最旺季。两阶段对比分析发现，2019-2025年后段月均游客量较前段增长143%（p&lt;0.001），但气候指标变化不显著，说明旅游增长主要由社会经济因素驱动。</w:t>
      </w:r>
    </w:p>
    <w:p>
      <w:pPr>
        <w:spacing w:lineRule="exact" w:line="400" w:before="200" w:after="200"/>
        <w:ind w:firstLine="420"/>
        <w:jc w:val="both"/>
      </w:pPr>
      <w:r>
        <w:rPr>
          <w:rFonts w:ascii="Times New Roman" w:hAnsi="Times New Roman" w:eastAsia="宋体"/>
          <w:b w:val="0"/>
          <w:sz w:val="24"/>
        </w:rPr>
        <w:t>本研究为桂林旅游业的气候适应性规划提供了科学依据，对促进旅游业可持续发展具有重要参考价值。</w:t>
      </w:r>
    </w:p>
    <w:p>
      <w:pPr>
        <w:spacing w:lineRule="exact" w:line="400" w:before="200" w:after="200"/>
        <w:ind w:firstLine="420"/>
        <w:jc w:val="both"/>
      </w:pPr>
      <w:r>
        <w:rPr>
          <w:rFonts w:ascii="Times New Roman" w:hAnsi="Times New Roman" w:eastAsia="宋体"/>
          <w:b/>
          <w:sz w:val="24"/>
        </w:rPr>
        <w:t>关键词：</w:t>
      </w:r>
      <w:r>
        <w:rPr>
          <w:rFonts w:ascii="Times New Roman" w:hAnsi="Times New Roman" w:eastAsia="宋体"/>
          <w:b w:val="0"/>
          <w:sz w:val="24"/>
        </w:rPr>
        <w:t>气候舒适度；熵权TOPSIS法；Mann-Kendall检验；灰色关联分析；月度旅游数据；季节性分析</w:t>
      </w:r>
    </w:p>
    <w:p>
      <w:pPr>
        <w:spacing w:lineRule="exact" w:line="400" w:before="200" w:after="200"/>
        <w:jc w:val="center"/>
      </w:pPr>
      <w:r>
        <w:rPr>
          <w:color w:val="C0C0C0"/>
          <w:sz w:val="16"/>
        </w:rPr>
        <w:t>────────────────────────────────────────</w:t>
      </w:r>
    </w:p>
    <w:p>
      <w:pPr>
        <w:spacing w:lineRule="exact" w:line="400" w:before="240" w:after="120"/>
        <w:jc w:val="center"/>
      </w:pPr>
      <w:r>
        <w:rPr>
          <w:rFonts w:ascii="Times New Roman" w:hAnsi="Times New Roman" w:eastAsia="黑体"/>
          <w:b/>
          <w:sz w:val="28"/>
        </w:rPr>
        <w:t>一、问题重述</w:t>
      </w:r>
    </w:p>
    <w:p>
      <w:pPr>
        <w:spacing w:lineRule="exact" w:line="400" w:before="240" w:after="120"/>
      </w:pPr>
      <w:r>
        <w:rPr>
          <w:rFonts w:ascii="Times New Roman" w:hAnsi="Times New Roman" w:eastAsia="黑体"/>
          <w:b/>
          <w:sz w:val="24"/>
        </w:rPr>
        <w:t>1.1 问题背景及意义</w:t>
      </w:r>
    </w:p>
    <w:p>
      <w:pPr>
        <w:spacing w:lineRule="exact" w:line="400" w:before="200" w:after="200"/>
        <w:ind w:firstLine="420"/>
        <w:jc w:val="both"/>
      </w:pPr>
      <w:r>
        <w:rPr>
          <w:rFonts w:ascii="Times New Roman" w:hAnsi="Times New Roman" w:eastAsia="宋体"/>
          <w:b w:val="0"/>
          <w:sz w:val="24"/>
        </w:rPr>
        <w:t>桂林位于中国广西壮族自治区东北部，地处东经109°36'~110°29'，北纬24°15'~25°41'之间，属中亚热带湿润季风气候区。桂林年平均气温18.9°C，年降水量1872毫米，年日照时数1614小时，素有"三冬少雪，四季常花"之美誉。作为世界著名的旅游目的地和国家历史文化名城，桂林以其独特的喀斯特地貌闻名于世，漓江、象鼻山、阳朔西街等景点享誉国内外。据统计，桂林2019年接待游客总人数超过1.3亿人次，旅游总收入超过1700亿元，旅游业已成为桂林市国民经济的支柱产业。</w:t>
      </w:r>
    </w:p>
    <w:p>
      <w:pPr>
        <w:spacing w:lineRule="exact" w:line="400" w:before="200" w:after="200"/>
        <w:ind w:firstLine="420"/>
        <w:jc w:val="both"/>
      </w:pPr>
      <w:r>
        <w:rPr>
          <w:rFonts w:ascii="Times New Roman" w:hAnsi="Times New Roman" w:eastAsia="宋体"/>
          <w:b w:val="0"/>
          <w:sz w:val="24"/>
        </w:rPr>
        <w:t>近年来，全球气候变化对旅游业的影响日益受到学术界和管理部门的关注。联合国世界旅游组织（UNWTO）的研究报告指出，气候变化正在通过多种途径影响旅游活动：气温升高改变旅游季节的长度和质量，极端天气事件增加旅游安全风险，降水格局变化影响旅游目的地的景观质量。桂林地处亚热带季风气候区，降水充沛、雨热同期，气候变化对其旅游业的影响尤为显著。2020-2022年新冠疫情期间，桂林旅游业遭受重创，但同时也为研究气候因素在"纯净"条件下的影响提供了特殊窗口。因此，建立科学的气候舒适度评价模型，定量分析气候因素与旅游发展之间的关系，对于桂林旅游业的可持续发展和气候适应性规划具有重要的理论和实践价值。</w:t>
      </w:r>
    </w:p>
    <w:p>
      <w:pPr>
        <w:spacing w:lineRule="exact" w:line="400" w:before="240" w:after="120"/>
      </w:pPr>
      <w:r>
        <w:rPr>
          <w:rFonts w:ascii="Times New Roman" w:hAnsi="Times New Roman" w:eastAsia="黑体"/>
          <w:b/>
          <w:sz w:val="24"/>
        </w:rPr>
        <w:t>1.2 问题重述</w:t>
      </w:r>
    </w:p>
    <w:p>
      <w:pPr>
        <w:spacing w:lineRule="exact" w:line="400" w:before="200" w:after="200"/>
        <w:ind w:firstLine="420"/>
        <w:jc w:val="both"/>
      </w:pPr>
      <w:r>
        <w:rPr>
          <w:rFonts w:ascii="Times New Roman" w:hAnsi="Times New Roman" w:eastAsia="宋体"/>
          <w:b w:val="0"/>
          <w:sz w:val="24"/>
        </w:rPr>
        <w:t>本研究需要解决以下三个核心问题：</w:t>
      </w:r>
    </w:p>
    <w:p>
      <w:pPr>
        <w:spacing w:lineRule="exact" w:line="400" w:before="200" w:after="200"/>
        <w:ind w:firstLine="420"/>
      </w:pPr>
      <w:r>
        <w:rPr>
          <w:rFonts w:ascii="Times New Roman" w:hAnsi="Times New Roman" w:eastAsia="宋体"/>
          <w:b w:val="0"/>
          <w:sz w:val="24"/>
        </w:rPr>
        <w:t>（1）</w:t>
      </w:r>
      <w:r>
        <w:rPr>
          <w:rFonts w:ascii="Times New Roman" w:hAnsi="Times New Roman" w:eastAsia="宋体"/>
          <w:b/>
          <w:sz w:val="24"/>
        </w:rPr>
        <w:t>气候舒适度指数构建与时序分析问题</w:t>
      </w:r>
      <w:r>
        <w:rPr>
          <w:rFonts w:ascii="Times New Roman" w:hAnsi="Times New Roman" w:eastAsia="宋体"/>
          <w:b w:val="0"/>
          <w:sz w:val="24"/>
        </w:rPr>
        <w:t>：如何选取合适的气象指标，构建适合桂林气候特征的气候舒适度指数（CCI）？该指数在2011-2025年间呈现怎样的时间变化趋势？是否存在显著的单调递增或递减趋势？</w:t>
      </w:r>
    </w:p>
    <w:p>
      <w:pPr>
        <w:spacing w:lineRule="exact" w:line="400" w:before="200" w:after="200"/>
        <w:ind w:firstLine="420"/>
      </w:pPr>
      <w:r>
        <w:rPr>
          <w:rFonts w:ascii="Times New Roman" w:hAnsi="Times New Roman" w:eastAsia="宋体"/>
          <w:b w:val="0"/>
          <w:sz w:val="24"/>
        </w:rPr>
        <w:t>（2）</w:t>
      </w:r>
      <w:r>
        <w:rPr>
          <w:rFonts w:ascii="Times New Roman" w:hAnsi="Times New Roman" w:eastAsia="宋体"/>
          <w:b/>
          <w:sz w:val="24"/>
        </w:rPr>
        <w:t>气候舒适度等级划分与变化趋势问题</w:t>
      </w:r>
      <w:r>
        <w:rPr>
          <w:rFonts w:ascii="Times New Roman" w:hAnsi="Times New Roman" w:eastAsia="宋体"/>
          <w:b w:val="0"/>
          <w:sz w:val="24"/>
        </w:rPr>
        <w:t>：如何科学划分气候舒适度等级？各等级的时空分布特征和转换规律如何？是否存在显著的突变点？如何依据国家标准划分季节并分析季节特征？</w:t>
      </w:r>
    </w:p>
    <w:p>
      <w:pPr>
        <w:spacing w:lineRule="exact" w:line="400" w:before="200" w:after="200"/>
        <w:ind w:firstLine="420"/>
      </w:pPr>
      <w:r>
        <w:rPr>
          <w:rFonts w:ascii="Times New Roman" w:hAnsi="Times New Roman" w:eastAsia="宋体"/>
          <w:b w:val="0"/>
          <w:sz w:val="24"/>
        </w:rPr>
        <w:t>（3）</w:t>
      </w:r>
      <w:r>
        <w:rPr>
          <w:rFonts w:ascii="Times New Roman" w:hAnsi="Times New Roman" w:eastAsia="宋体"/>
          <w:b/>
          <w:sz w:val="24"/>
        </w:rPr>
        <w:t>气候对旅游产业影响问题</w:t>
      </w:r>
      <w:r>
        <w:rPr>
          <w:rFonts w:ascii="Times New Roman" w:hAnsi="Times New Roman" w:eastAsia="宋体"/>
          <w:b w:val="0"/>
          <w:sz w:val="24"/>
        </w:rPr>
        <w:t>：气候舒适度与旅游产业发展之间存在怎样的定量关系？气候因素对游客量和旅游收入的影响程度和方向如何？两者之间是否存在因果关系？气候冲击对旅游的动态响应机制是什么？</w:t>
      </w:r>
    </w:p>
    <w:p>
      <w:pPr>
        <w:spacing w:lineRule="exact" w:line="400" w:before="200" w:after="200"/>
        <w:jc w:val="center"/>
      </w:pPr>
      <w:r>
        <w:rPr>
          <w:color w:val="C0C0C0"/>
          <w:sz w:val="16"/>
        </w:rPr>
        <w:t>────────────────────────────────────────</w:t>
      </w:r>
    </w:p>
    <w:p>
      <w:pPr>
        <w:spacing w:lineRule="exact" w:line="400" w:before="240" w:after="120"/>
        <w:jc w:val="center"/>
      </w:pPr>
      <w:r>
        <w:rPr>
          <w:rFonts w:ascii="Times New Roman" w:hAnsi="Times New Roman" w:eastAsia="黑体"/>
          <w:b/>
          <w:sz w:val="28"/>
        </w:rPr>
        <w:t>二、模型假设</w:t>
      </w:r>
    </w:p>
    <w:p>
      <w:pPr>
        <w:spacing w:lineRule="exact" w:line="400" w:before="200" w:after="200"/>
        <w:ind w:firstLine="420"/>
      </w:pPr>
      <w:r>
        <w:rPr>
          <w:rFonts w:ascii="Times New Roman" w:hAnsi="Times New Roman" w:eastAsia="宋体"/>
          <w:b w:val="0"/>
          <w:sz w:val="24"/>
        </w:rPr>
        <w:t>（1）假设所使用的气象数据真实可靠，能够代表桂林地区的气候特征。</w:t>
      </w:r>
    </w:p>
    <w:p>
      <w:pPr>
        <w:spacing w:lineRule="exact" w:line="400" w:before="200" w:after="200"/>
        <w:ind w:firstLine="420"/>
      </w:pPr>
      <w:r>
        <w:rPr>
          <w:rFonts w:ascii="Times New Roman" w:hAnsi="Times New Roman" w:eastAsia="宋体"/>
          <w:b w:val="0"/>
          <w:sz w:val="24"/>
        </w:rPr>
        <w:t>（2）假设旅游统计数据来源于官方发布，具有权威性和准确性。</w:t>
      </w:r>
    </w:p>
    <w:p>
      <w:pPr>
        <w:spacing w:lineRule="exact" w:line="400" w:before="200" w:after="200"/>
        <w:ind w:firstLine="420"/>
      </w:pPr>
      <w:r>
        <w:rPr>
          <w:rFonts w:ascii="Times New Roman" w:hAnsi="Times New Roman" w:eastAsia="宋体"/>
          <w:b w:val="0"/>
          <w:sz w:val="24"/>
        </w:rPr>
        <w:t>（3）假设气候舒适度是影响旅游决策的重要因素之一，但不是唯一因素。</w:t>
      </w:r>
    </w:p>
    <w:p>
      <w:pPr>
        <w:spacing w:lineRule="exact" w:line="400" w:before="200" w:after="200"/>
        <w:ind w:firstLine="420"/>
      </w:pPr>
      <w:r>
        <w:rPr>
          <w:rFonts w:ascii="Times New Roman" w:hAnsi="Times New Roman" w:eastAsia="宋体"/>
          <w:b w:val="0"/>
          <w:sz w:val="24"/>
        </w:rPr>
        <w:t>（4）假设在研究时段内，桂林的旅游基础设施和交通条件没有发生根本性变化。</w:t>
      </w:r>
    </w:p>
    <w:p>
      <w:pPr>
        <w:spacing w:lineRule="exact" w:line="400" w:before="200" w:after="200"/>
        <w:ind w:firstLine="420"/>
      </w:pPr>
      <w:r>
        <w:rPr>
          <w:rFonts w:ascii="Times New Roman" w:hAnsi="Times New Roman" w:eastAsia="宋体"/>
          <w:b w:val="0"/>
          <w:sz w:val="24"/>
        </w:rPr>
        <w:t>（5）假设2020-2022年疫情期间的旅游数据主要受疫情影响，气候因素的影响相对次要。</w:t>
      </w:r>
    </w:p>
    <w:p>
      <w:pPr>
        <w:spacing w:lineRule="exact" w:line="400" w:before="200" w:after="200"/>
        <w:jc w:val="center"/>
      </w:pPr>
      <w:r>
        <w:rPr>
          <w:color w:val="C0C0C0"/>
          <w:sz w:val="16"/>
        </w:rPr>
        <w:t>────────────────────────────────────────</w:t>
      </w:r>
    </w:p>
    <w:p>
      <w:pPr>
        <w:spacing w:lineRule="exact" w:line="400" w:before="240" w:after="120"/>
        <w:jc w:val="center"/>
      </w:pPr>
      <w:r>
        <w:rPr>
          <w:rFonts w:ascii="Times New Roman" w:hAnsi="Times New Roman" w:eastAsia="黑体"/>
          <w:b/>
          <w:sz w:val="28"/>
        </w:rPr>
        <w:t>三、符号说明</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r>
              <w:rPr>
                <w:rFonts w:ascii="Times New Roman" w:hAnsi="Times New Roman" w:eastAsia="宋体"/>
                <w:b/>
                <w:sz w:val="21"/>
              </w:rPr>
              <w:t>符号</w:t>
            </w:r>
          </w:p>
        </w:tc>
        <w:tc>
          <w:tcPr>
            <w:tcW w:type="dxa" w:w="2878"/>
          </w:tcPr>
          <w:p>
            <w:r>
              <w:rPr>
                <w:rFonts w:ascii="Times New Roman" w:hAnsi="Times New Roman" w:eastAsia="宋体"/>
                <w:b/>
                <w:sz w:val="21"/>
              </w:rPr>
              <w:t>意义</w:t>
            </w:r>
          </w:p>
        </w:tc>
        <w:tc>
          <w:tcPr>
            <w:tcW w:type="dxa" w:w="2878"/>
          </w:tcPr>
          <w:p>
            <w:r>
              <w:rPr>
                <w:rFonts w:ascii="Times New Roman" w:hAnsi="Times New Roman" w:eastAsia="宋体"/>
                <w:b/>
                <w:sz w:val="21"/>
              </w:rPr>
              <w:t>单位</w:t>
            </w:r>
          </w:p>
        </w:tc>
      </w:tr>
      <w:tr>
        <w:tc>
          <w:tcPr>
            <w:tcW w:type="dxa" w:w="2878"/>
          </w:tcPr>
          <w:p>
            <w:r>
              <w:rPr>
                <w:rFonts w:ascii="Times New Roman" w:hAnsi="Times New Roman" w:eastAsia="宋体"/>
                <w:b w:val="0"/>
                <w:sz w:val="21"/>
              </w:rPr>
              <w:t>$T_{avg}$</w:t>
            </w:r>
          </w:p>
        </w:tc>
        <w:tc>
          <w:tcPr>
            <w:tcW w:type="dxa" w:w="2878"/>
          </w:tcPr>
          <w:p>
            <w:r>
              <w:rPr>
                <w:rFonts w:ascii="Times New Roman" w:hAnsi="Times New Roman" w:eastAsia="宋体"/>
                <w:b w:val="0"/>
                <w:sz w:val="21"/>
              </w:rPr>
              <w:t>日平均气温</w:t>
            </w:r>
          </w:p>
        </w:tc>
        <w:tc>
          <w:tcPr>
            <w:tcW w:type="dxa" w:w="2878"/>
          </w:tcPr>
          <w:p>
            <w:r>
              <w:rPr>
                <w:rFonts w:ascii="Times New Roman" w:hAnsi="Times New Roman" w:eastAsia="宋体"/>
                <w:b w:val="0"/>
                <w:sz w:val="21"/>
              </w:rPr>
              <w:t>°C</w:t>
            </w:r>
          </w:p>
        </w:tc>
      </w:tr>
      <w:tr>
        <w:tc>
          <w:tcPr>
            <w:tcW w:type="dxa" w:w="2878"/>
          </w:tcPr>
          <w:p>
            <w:r>
              <w:rPr>
                <w:rFonts w:ascii="Times New Roman" w:hAnsi="Times New Roman" w:eastAsia="宋体"/>
                <w:b w:val="0"/>
                <w:sz w:val="21"/>
              </w:rPr>
              <w:t>$T_{max}$</w:t>
            </w:r>
          </w:p>
        </w:tc>
        <w:tc>
          <w:tcPr>
            <w:tcW w:type="dxa" w:w="2878"/>
          </w:tcPr>
          <w:p>
            <w:r>
              <w:rPr>
                <w:rFonts w:ascii="Times New Roman" w:hAnsi="Times New Roman" w:eastAsia="宋体"/>
                <w:b w:val="0"/>
                <w:sz w:val="21"/>
              </w:rPr>
              <w:t>日最高气温</w:t>
            </w:r>
          </w:p>
        </w:tc>
        <w:tc>
          <w:tcPr>
            <w:tcW w:type="dxa" w:w="2878"/>
          </w:tcPr>
          <w:p>
            <w:r>
              <w:rPr>
                <w:rFonts w:ascii="Times New Roman" w:hAnsi="Times New Roman" w:eastAsia="宋体"/>
                <w:b w:val="0"/>
                <w:sz w:val="21"/>
              </w:rPr>
              <w:t>°C</w:t>
            </w:r>
          </w:p>
        </w:tc>
      </w:tr>
      <w:tr>
        <w:tc>
          <w:tcPr>
            <w:tcW w:type="dxa" w:w="2878"/>
          </w:tcPr>
          <w:p>
            <w:r>
              <w:rPr>
                <w:rFonts w:ascii="Times New Roman" w:hAnsi="Times New Roman" w:eastAsia="宋体"/>
                <w:b w:val="0"/>
                <w:sz w:val="21"/>
              </w:rPr>
              <w:t>$T_{min}$</w:t>
            </w:r>
          </w:p>
        </w:tc>
        <w:tc>
          <w:tcPr>
            <w:tcW w:type="dxa" w:w="2878"/>
          </w:tcPr>
          <w:p>
            <w:r>
              <w:rPr>
                <w:rFonts w:ascii="Times New Roman" w:hAnsi="Times New Roman" w:eastAsia="宋体"/>
                <w:b w:val="0"/>
                <w:sz w:val="21"/>
              </w:rPr>
              <w:t>日最低气温</w:t>
            </w:r>
          </w:p>
        </w:tc>
        <w:tc>
          <w:tcPr>
            <w:tcW w:type="dxa" w:w="2878"/>
          </w:tcPr>
          <w:p>
            <w:r>
              <w:rPr>
                <w:rFonts w:ascii="Times New Roman" w:hAnsi="Times New Roman" w:eastAsia="宋体"/>
                <w:b w:val="0"/>
                <w:sz w:val="21"/>
              </w:rPr>
              <w:t>°C</w:t>
            </w:r>
          </w:p>
        </w:tc>
      </w:tr>
      <w:tr>
        <w:tc>
          <w:tcPr>
            <w:tcW w:type="dxa" w:w="2878"/>
          </w:tcPr>
          <w:p>
            <w:r>
              <w:rPr>
                <w:rFonts w:ascii="Times New Roman" w:hAnsi="Times New Roman" w:eastAsia="宋体"/>
                <w:b w:val="0"/>
                <w:sz w:val="21"/>
              </w:rPr>
              <w:t>$S_{temp}$</w:t>
            </w:r>
          </w:p>
        </w:tc>
        <w:tc>
          <w:tcPr>
            <w:tcW w:type="dxa" w:w="2878"/>
          </w:tcPr>
          <w:p>
            <w:r>
              <w:rPr>
                <w:rFonts w:ascii="Times New Roman" w:hAnsi="Times New Roman" w:eastAsia="宋体"/>
                <w:b w:val="0"/>
                <w:sz w:val="21"/>
              </w:rPr>
              <w:t>温度舒适度评分</w:t>
            </w:r>
          </w:p>
        </w:tc>
        <w:tc>
          <w:tcPr>
            <w:tcW w:type="dxa" w:w="2878"/>
          </w:tcPr>
          <w:p>
            <w:r>
              <w:rPr>
                <w:rFonts w:ascii="Times New Roman" w:hAnsi="Times New Roman" w:eastAsia="宋体"/>
                <w:b w:val="0"/>
                <w:sz w:val="21"/>
              </w:rPr>
              <w:t>无量纲</w:t>
            </w:r>
          </w:p>
        </w:tc>
      </w:tr>
      <w:tr>
        <w:tc>
          <w:tcPr>
            <w:tcW w:type="dxa" w:w="2878"/>
          </w:tcPr>
          <w:p>
            <w:r>
              <w:rPr>
                <w:rFonts w:ascii="Times New Roman" w:hAnsi="Times New Roman" w:eastAsia="宋体"/>
                <w:b w:val="0"/>
                <w:sz w:val="21"/>
              </w:rPr>
              <w:t>$S_{weather}$</w:t>
            </w:r>
          </w:p>
        </w:tc>
        <w:tc>
          <w:tcPr>
            <w:tcW w:type="dxa" w:w="2878"/>
          </w:tcPr>
          <w:p>
            <w:r>
              <w:rPr>
                <w:rFonts w:ascii="Times New Roman" w:hAnsi="Times New Roman" w:eastAsia="宋体"/>
                <w:b w:val="0"/>
                <w:sz w:val="21"/>
              </w:rPr>
              <w:t>天气舒适度评分</w:t>
            </w:r>
          </w:p>
        </w:tc>
        <w:tc>
          <w:tcPr>
            <w:tcW w:type="dxa" w:w="2878"/>
          </w:tcPr>
          <w:p>
            <w:r>
              <w:rPr>
                <w:rFonts w:ascii="Times New Roman" w:hAnsi="Times New Roman" w:eastAsia="宋体"/>
                <w:b w:val="0"/>
                <w:sz w:val="21"/>
              </w:rPr>
              <w:t>无量纲</w:t>
            </w:r>
          </w:p>
        </w:tc>
      </w:tr>
      <w:tr>
        <w:tc>
          <w:tcPr>
            <w:tcW w:type="dxa" w:w="2878"/>
          </w:tcPr>
          <w:p>
            <w:r>
              <w:rPr>
                <w:rFonts w:ascii="Times New Roman" w:hAnsi="Times New Roman" w:eastAsia="宋体"/>
                <w:b w:val="0"/>
                <w:sz w:val="21"/>
              </w:rPr>
              <w:t>$S_{wind}$</w:t>
            </w:r>
          </w:p>
        </w:tc>
        <w:tc>
          <w:tcPr>
            <w:tcW w:type="dxa" w:w="2878"/>
          </w:tcPr>
          <w:p>
            <w:r>
              <w:rPr>
                <w:rFonts w:ascii="Times New Roman" w:hAnsi="Times New Roman" w:eastAsia="宋体"/>
                <w:b w:val="0"/>
                <w:sz w:val="21"/>
              </w:rPr>
              <w:t>风力舒适度评分</w:t>
            </w:r>
          </w:p>
        </w:tc>
        <w:tc>
          <w:tcPr>
            <w:tcW w:type="dxa" w:w="2878"/>
          </w:tcPr>
          <w:p>
            <w:r>
              <w:rPr>
                <w:rFonts w:ascii="Times New Roman" w:hAnsi="Times New Roman" w:eastAsia="宋体"/>
                <w:b w:val="0"/>
                <w:sz w:val="21"/>
              </w:rPr>
              <w:t>无量纲</w:t>
            </w:r>
          </w:p>
        </w:tc>
      </w:tr>
      <w:tr>
        <w:tc>
          <w:tcPr>
            <w:tcW w:type="dxa" w:w="2878"/>
          </w:tcPr>
          <w:p>
            <w:r>
              <w:rPr>
                <w:rFonts w:ascii="Times New Roman" w:hAnsi="Times New Roman" w:eastAsia="宋体"/>
                <w:b w:val="0"/>
                <w:sz w:val="21"/>
              </w:rPr>
              <w:t>$w_i$</w:t>
            </w:r>
          </w:p>
        </w:tc>
        <w:tc>
          <w:tcPr>
            <w:tcW w:type="dxa" w:w="2878"/>
          </w:tcPr>
          <w:p>
            <w:r>
              <w:rPr>
                <w:rFonts w:ascii="Times New Roman" w:hAnsi="Times New Roman" w:eastAsia="宋体"/>
                <w:b w:val="0"/>
                <w:sz w:val="21"/>
              </w:rPr>
              <w:t>第i个指标的熵权</w:t>
            </w:r>
          </w:p>
        </w:tc>
        <w:tc>
          <w:tcPr>
            <w:tcW w:type="dxa" w:w="2878"/>
          </w:tcPr>
          <w:p>
            <w:r>
              <w:rPr>
                <w:rFonts w:ascii="Times New Roman" w:hAnsi="Times New Roman" w:eastAsia="宋体"/>
                <w:b w:val="0"/>
                <w:sz w:val="21"/>
              </w:rPr>
              <w:t>无量纲</w:t>
            </w:r>
          </w:p>
        </w:tc>
      </w:tr>
      <w:tr>
        <w:tc>
          <w:tcPr>
            <w:tcW w:type="dxa" w:w="2878"/>
          </w:tcPr>
          <w:p>
            <w:r>
              <w:rPr>
                <w:rFonts w:ascii="Times New Roman" w:hAnsi="Times New Roman" w:eastAsia="宋体"/>
                <w:b w:val="0"/>
                <w:sz w:val="21"/>
              </w:rPr>
              <w:t>$CCI$</w:t>
            </w:r>
          </w:p>
        </w:tc>
        <w:tc>
          <w:tcPr>
            <w:tcW w:type="dxa" w:w="2878"/>
          </w:tcPr>
          <w:p>
            <w:r>
              <w:rPr>
                <w:rFonts w:ascii="Times New Roman" w:hAnsi="Times New Roman" w:eastAsia="宋体"/>
                <w:b w:val="0"/>
                <w:sz w:val="21"/>
              </w:rPr>
              <w:t>气候舒适度指数</w:t>
            </w:r>
          </w:p>
        </w:tc>
        <w:tc>
          <w:tcPr>
            <w:tcW w:type="dxa" w:w="2878"/>
          </w:tcPr>
          <w:p>
            <w:r>
              <w:rPr>
                <w:rFonts w:ascii="Times New Roman" w:hAnsi="Times New Roman" w:eastAsia="宋体"/>
                <w:b w:val="0"/>
                <w:sz w:val="21"/>
              </w:rPr>
              <w:t>无量纲</w:t>
            </w:r>
          </w:p>
        </w:tc>
      </w:tr>
      <w:tr>
        <w:tc>
          <w:tcPr>
            <w:tcW w:type="dxa" w:w="2878"/>
          </w:tcPr>
          <w:p>
            <w:r>
              <w:rPr>
                <w:rFonts w:ascii="Times New Roman" w:hAnsi="Times New Roman" w:eastAsia="宋体"/>
                <w:b w:val="0"/>
                <w:sz w:val="21"/>
              </w:rPr>
              <w:t>$Z$</w:t>
            </w:r>
          </w:p>
        </w:tc>
        <w:tc>
          <w:tcPr>
            <w:tcW w:type="dxa" w:w="2878"/>
          </w:tcPr>
          <w:p>
            <w:r>
              <w:rPr>
                <w:rFonts w:ascii="Times New Roman" w:hAnsi="Times New Roman" w:eastAsia="宋体"/>
                <w:b w:val="0"/>
                <w:sz w:val="21"/>
              </w:rPr>
              <w:t>Mann-Kendall检验统计量</w:t>
            </w:r>
          </w:p>
        </w:tc>
        <w:tc>
          <w:tcPr>
            <w:tcW w:type="dxa" w:w="2878"/>
          </w:tcPr>
          <w:p>
            <w:r>
              <w:rPr>
                <w:rFonts w:ascii="Times New Roman" w:hAnsi="Times New Roman" w:eastAsia="宋体"/>
                <w:b w:val="0"/>
                <w:sz w:val="21"/>
              </w:rPr>
              <w:t>无量纲</w:t>
            </w:r>
          </w:p>
        </w:tc>
      </w:tr>
      <w:tr>
        <w:tc>
          <w:tcPr>
            <w:tcW w:type="dxa" w:w="2878"/>
          </w:tcPr>
          <w:p>
            <w:r>
              <w:rPr>
                <w:rFonts w:ascii="Times New Roman" w:hAnsi="Times New Roman" w:eastAsia="宋体"/>
                <w:b w:val="0"/>
                <w:sz w:val="21"/>
              </w:rPr>
              <w:t>$K$</w:t>
            </w:r>
          </w:p>
        </w:tc>
        <w:tc>
          <w:tcPr>
            <w:tcW w:type="dxa" w:w="2878"/>
          </w:tcPr>
          <w:p>
            <w:r>
              <w:rPr>
                <w:rFonts w:ascii="Times New Roman" w:hAnsi="Times New Roman" w:eastAsia="宋体"/>
                <w:b w:val="0"/>
                <w:sz w:val="21"/>
              </w:rPr>
              <w:t>Pettitt检验统计量</w:t>
            </w:r>
          </w:p>
        </w:tc>
        <w:tc>
          <w:tcPr>
            <w:tcW w:type="dxa" w:w="2878"/>
          </w:tcPr>
          <w:p>
            <w:r>
              <w:rPr>
                <w:rFonts w:ascii="Times New Roman" w:hAnsi="Times New Roman" w:eastAsia="宋体"/>
                <w:b w:val="0"/>
                <w:sz w:val="21"/>
              </w:rPr>
              <w:t>无量纲</w:t>
            </w:r>
          </w:p>
        </w:tc>
      </w:tr>
      <w:tr>
        <w:tc>
          <w:tcPr>
            <w:tcW w:type="dxa" w:w="2878"/>
          </w:tcPr>
          <w:p>
            <w:r>
              <w:rPr>
                <w:rFonts w:ascii="Times New Roman" w:hAnsi="Times New Roman" w:eastAsia="宋体"/>
                <w:b w:val="0"/>
                <w:sz w:val="21"/>
              </w:rPr>
              <w:t>$\rho$</w:t>
            </w:r>
          </w:p>
        </w:tc>
        <w:tc>
          <w:tcPr>
            <w:tcW w:type="dxa" w:w="2878"/>
          </w:tcPr>
          <w:p>
            <w:r>
              <w:rPr>
                <w:rFonts w:ascii="Times New Roman" w:hAnsi="Times New Roman" w:eastAsia="宋体"/>
                <w:b w:val="0"/>
                <w:sz w:val="21"/>
              </w:rPr>
              <w:t>灰色关联系数分辨系数</w:t>
            </w:r>
          </w:p>
        </w:tc>
        <w:tc>
          <w:tcPr>
            <w:tcW w:type="dxa" w:w="2878"/>
          </w:tcPr>
          <w:p>
            <w:r>
              <w:rPr>
                <w:rFonts w:ascii="Times New Roman" w:hAnsi="Times New Roman" w:eastAsia="宋体"/>
                <w:b w:val="0"/>
                <w:sz w:val="21"/>
              </w:rPr>
              <w:t>无量纲</w:t>
            </w:r>
          </w:p>
        </w:tc>
      </w:tr>
      <w:tr>
        <w:tc>
          <w:tcPr>
            <w:tcW w:type="dxa" w:w="2878"/>
          </w:tcPr>
          <w:p>
            <w:r>
              <w:rPr>
                <w:rFonts w:ascii="Times New Roman" w:hAnsi="Times New Roman" w:eastAsia="宋体"/>
                <w:b w:val="0"/>
                <w:sz w:val="21"/>
              </w:rPr>
              <w:t>$\alpha$</w:t>
            </w:r>
          </w:p>
        </w:tc>
        <w:tc>
          <w:tcPr>
            <w:tcW w:type="dxa" w:w="2878"/>
          </w:tcPr>
          <w:p>
            <w:r>
              <w:rPr>
                <w:rFonts w:ascii="Times New Roman" w:hAnsi="Times New Roman" w:eastAsia="宋体"/>
                <w:b w:val="0"/>
                <w:sz w:val="21"/>
              </w:rPr>
              <w:t>岭回归参数</w:t>
            </w:r>
          </w:p>
        </w:tc>
        <w:tc>
          <w:tcPr>
            <w:tcW w:type="dxa" w:w="2878"/>
          </w:tcPr>
          <w:p>
            <w:r>
              <w:rPr>
                <w:rFonts w:ascii="Times New Roman" w:hAnsi="Times New Roman" w:eastAsia="宋体"/>
                <w:b w:val="0"/>
                <w:sz w:val="21"/>
              </w:rPr>
              <w:t>无量纲</w:t>
            </w:r>
          </w:p>
        </w:tc>
      </w:tr>
      <w:tr>
        <w:tc>
          <w:tcPr>
            <w:tcW w:type="dxa" w:w="2878"/>
          </w:tcPr>
          <w:p>
            <w:r>
              <w:rPr>
                <w:rFonts w:ascii="Times New Roman" w:hAnsi="Times New Roman" w:eastAsia="宋体"/>
                <w:b w:val="0"/>
                <w:sz w:val="21"/>
              </w:rPr>
              <w:t>$VIF$</w:t>
            </w:r>
          </w:p>
        </w:tc>
        <w:tc>
          <w:tcPr>
            <w:tcW w:type="dxa" w:w="2878"/>
          </w:tcPr>
          <w:p>
            <w:r>
              <w:rPr>
                <w:rFonts w:ascii="Times New Roman" w:hAnsi="Times New Roman" w:eastAsia="宋体"/>
                <w:b w:val="0"/>
                <w:sz w:val="21"/>
              </w:rPr>
              <w:t>方差膨胀因子</w:t>
            </w:r>
          </w:p>
        </w:tc>
        <w:tc>
          <w:tcPr>
            <w:tcW w:type="dxa" w:w="2878"/>
          </w:tcPr>
          <w:p>
            <w:r>
              <w:rPr>
                <w:rFonts w:ascii="Times New Roman" w:hAnsi="Times New Roman" w:eastAsia="宋体"/>
                <w:b w:val="0"/>
                <w:sz w:val="21"/>
              </w:rPr>
              <w:t>无量纲</w:t>
            </w:r>
          </w:p>
        </w:tc>
      </w:tr>
    </w:tbl>
    <w:p>
      <w:pPr>
        <w:spacing w:lineRule="exact" w:line="400" w:before="200" w:after="200"/>
        <w:jc w:val="center"/>
      </w:pPr>
      <w:r>
        <w:rPr>
          <w:color w:val="C0C0C0"/>
          <w:sz w:val="16"/>
        </w:rPr>
        <w:t>────────────────────────────────────────</w:t>
      </w:r>
    </w:p>
    <w:p>
      <w:pPr>
        <w:spacing w:lineRule="exact" w:line="400" w:before="240" w:after="120"/>
        <w:jc w:val="center"/>
      </w:pPr>
      <w:r>
        <w:rPr>
          <w:rFonts w:ascii="Times New Roman" w:hAnsi="Times New Roman" w:eastAsia="黑体"/>
          <w:b/>
          <w:sz w:val="28"/>
        </w:rPr>
        <w:t>四、问题分析</w:t>
      </w:r>
    </w:p>
    <w:p>
      <w:pPr>
        <w:spacing w:lineRule="exact" w:line="400" w:before="240" w:after="120"/>
      </w:pPr>
      <w:r>
        <w:rPr>
          <w:rFonts w:ascii="Times New Roman" w:hAnsi="Times New Roman" w:eastAsia="黑体"/>
          <w:b/>
          <w:sz w:val="24"/>
        </w:rPr>
        <w:t>4.1 问题一的分析</w:t>
      </w:r>
    </w:p>
    <w:p>
      <w:pPr>
        <w:spacing w:lineRule="exact" w:line="400" w:before="200" w:after="200"/>
        <w:ind w:firstLine="420"/>
        <w:jc w:val="both"/>
      </w:pPr>
      <w:r>
        <w:rPr>
          <w:rFonts w:ascii="Times New Roman" w:hAnsi="Times New Roman" w:eastAsia="宋体"/>
          <w:b w:val="0"/>
          <w:sz w:val="24"/>
        </w:rPr>
        <w:t>问题一要求构建气候舒适度指数并分析其时序变化，这是整个研究的基础。首先，需要选取能够反映人体舒适感的气象指标。人体对气候舒适度的感知主要受三类因素影响：一是</w:t>
      </w:r>
      <w:r>
        <w:rPr>
          <w:rFonts w:ascii="Times New Roman" w:hAnsi="Times New Roman" w:eastAsia="宋体"/>
          <w:b/>
          <w:sz w:val="24"/>
        </w:rPr>
        <w:t>热舒适因素</w:t>
      </w:r>
      <w:r>
        <w:rPr>
          <w:rFonts w:ascii="Times New Roman" w:hAnsi="Times New Roman" w:eastAsia="宋体"/>
          <w:b w:val="0"/>
          <w:sz w:val="24"/>
        </w:rPr>
        <w:t>，即温度、湿度等直接影响体感冷暖的指标；二是</w:t>
      </w:r>
      <w:r>
        <w:rPr>
          <w:rFonts w:ascii="Times New Roman" w:hAnsi="Times New Roman" w:eastAsia="宋体"/>
          <w:b/>
          <w:sz w:val="24"/>
        </w:rPr>
        <w:t>天气状况因素</w:t>
      </w:r>
      <w:r>
        <w:rPr>
          <w:rFonts w:ascii="Times New Roman" w:hAnsi="Times New Roman" w:eastAsia="宋体"/>
          <w:b w:val="0"/>
          <w:sz w:val="24"/>
        </w:rPr>
        <w:t>，如晴雨、阴云等影响出行意愿的指标；三是</w:t>
      </w:r>
      <w:r>
        <w:rPr>
          <w:rFonts w:ascii="Times New Roman" w:hAnsi="Times New Roman" w:eastAsia="宋体"/>
          <w:b/>
          <w:sz w:val="24"/>
        </w:rPr>
        <w:t>动力因素</w:t>
      </w:r>
      <w:r>
        <w:rPr>
          <w:rFonts w:ascii="Times New Roman" w:hAnsi="Times New Roman" w:eastAsia="宋体"/>
          <w:b w:val="0"/>
          <w:sz w:val="24"/>
        </w:rPr>
        <w:t>，如风力大小影响户外活动体验的指标。考虑到桂林气象数据的可获得性，本研究选取温度、天气状况和风力三个核心指标。</w:t>
      </w:r>
    </w:p>
    <w:p>
      <w:pPr>
        <w:spacing w:lineRule="exact" w:line="400" w:before="200" w:after="200"/>
        <w:ind w:firstLine="420"/>
        <w:jc w:val="both"/>
      </w:pPr>
      <w:r>
        <w:rPr>
          <w:rFonts w:ascii="Times New Roman" w:hAnsi="Times New Roman" w:eastAsia="宋体"/>
          <w:b w:val="0"/>
          <w:sz w:val="24"/>
        </w:rPr>
        <w:t>其次，采用科学的赋权方法确定各指标的权重。常见的赋权方法有主观赋权（如层次分析法AHP）和客观赋权（如熵权法、变异系数法）两类。主观赋权依赖专家经验，可能引入人为偏差；熵权法根据指标数据的离散程度客观确定权重，数据离散度越大，该指标携带的信息量越大，权重越高。因此，本研究采用熵权法与TOPSIS法相结合的方式构建CCI模型。</w:t>
      </w:r>
    </w:p>
    <w:p>
      <w:pPr>
        <w:spacing w:lineRule="exact" w:line="400" w:before="200" w:after="200"/>
        <w:ind w:firstLine="420"/>
        <w:jc w:val="both"/>
      </w:pPr>
      <w:r>
        <w:rPr>
          <w:rFonts w:ascii="Times New Roman" w:hAnsi="Times New Roman" w:eastAsia="宋体"/>
          <w:b w:val="0"/>
          <w:sz w:val="24"/>
        </w:rPr>
        <w:t>最后，需要分析CCI在长时间尺度上的变化趋势。传统的线性回归趋势分析对异常值敏感，且要求数据满足正态分布假设。Mann-Kendall检验作为一种非参数方法，不要求数据满足特定分布，且对异常值具有较好的稳健性，适合分析气候数据的长期趋势。</w:t>
      </w:r>
    </w:p>
    <w:p>
      <w:pPr>
        <w:spacing w:lineRule="exact" w:line="400" w:before="240" w:after="120"/>
      </w:pPr>
      <w:r>
        <w:rPr>
          <w:rFonts w:ascii="Times New Roman" w:hAnsi="Times New Roman" w:eastAsia="黑体"/>
          <w:b/>
          <w:sz w:val="24"/>
        </w:rPr>
        <w:t>4.2 问题二的分析</w:t>
      </w:r>
    </w:p>
    <w:p>
      <w:pPr>
        <w:spacing w:lineRule="exact" w:line="400" w:before="200" w:after="200"/>
        <w:ind w:firstLine="420"/>
        <w:jc w:val="both"/>
      </w:pPr>
      <w:r>
        <w:rPr>
          <w:rFonts w:ascii="Times New Roman" w:hAnsi="Times New Roman" w:eastAsia="宋体"/>
          <w:b w:val="0"/>
          <w:sz w:val="24"/>
        </w:rPr>
        <w:t>问题二要求划分气候舒适度等级并分析其变化趋势，是从"连续数值"到"离散等级"的转换。首先，需要确定合理的等级划分方法。常见的划分方法有等间距法、自然断点法和百分位数法。等间距法简单直观但可能导致某些等级样本量过少；自然断点法考虑了数据的分布特征，但等级边界不够直观；百分位数法基于累积分布函数划分，能保证各等级具有合理的样本量（10%、20%、40%、20%、10%），且阈值含义明确。</w:t>
      </w:r>
    </w:p>
    <w:p>
      <w:pPr>
        <w:spacing w:lineRule="exact" w:line="400" w:before="200" w:after="200"/>
        <w:ind w:firstLine="420"/>
        <w:jc w:val="both"/>
      </w:pPr>
      <w:r>
        <w:rPr>
          <w:rFonts w:ascii="Times New Roman" w:hAnsi="Times New Roman" w:eastAsia="宋体"/>
          <w:b w:val="0"/>
          <w:sz w:val="24"/>
        </w:rPr>
        <w:t>其次，构建马尔科夫转移概率矩阵分析等级转换规律。气候系统具有自相关性，即今年的气候状态会影响明年的状态。通过计算不同等级之间的转移概率，可以揭示桂林气候舒适度的稳定性特征：如果转移概率矩阵接近单位矩阵，说明各等级保持稳定；如果各行概率分布趋于一致，说明气候舒适度在各等级之间随机波动。</w:t>
      </w:r>
    </w:p>
    <w:p>
      <w:pPr>
        <w:spacing w:lineRule="exact" w:line="400" w:before="200" w:after="200"/>
        <w:ind w:firstLine="420"/>
        <w:jc w:val="both"/>
      </w:pPr>
      <w:r>
        <w:rPr>
          <w:rFonts w:ascii="Times New Roman" w:hAnsi="Times New Roman" w:eastAsia="宋体"/>
          <w:b w:val="0"/>
          <w:sz w:val="24"/>
        </w:rPr>
        <w:t>最后，运用Pettitt突变检验检测CCI序列是否存在显著的突变点。气候突变是指气候系统从一种状态突然跃迁到另一种状态的现象。Pettitt检验基于秩统计量，能够检测均值突变的位置和时间，且对异常值具有较好的稳健性。如果存在显著突变点，需要分析突变前后的CCI均值差异，并探讨可能的气候驱动因素。</w:t>
      </w:r>
    </w:p>
    <w:p>
      <w:pPr>
        <w:spacing w:lineRule="exact" w:line="400" w:before="240" w:after="120"/>
      </w:pPr>
      <w:r>
        <w:rPr>
          <w:rFonts w:ascii="Times New Roman" w:hAnsi="Times New Roman" w:eastAsia="黑体"/>
          <w:b/>
          <w:sz w:val="24"/>
        </w:rPr>
        <w:t>4.3 问题三的分析</w:t>
      </w:r>
    </w:p>
    <w:p>
      <w:pPr>
        <w:spacing w:lineRule="exact" w:line="400" w:before="200" w:after="200"/>
        <w:ind w:firstLine="420"/>
        <w:jc w:val="both"/>
      </w:pPr>
      <w:r>
        <w:rPr>
          <w:rFonts w:ascii="Times New Roman" w:hAnsi="Times New Roman" w:eastAsia="宋体"/>
          <w:b w:val="0"/>
          <w:sz w:val="24"/>
        </w:rPr>
        <w:t>问题三要求分析气候对旅游产业的影响，是一个多因素、多方法的综合分析问题。首先，需要整合桂林市官方统计数据。由于不同时间粒度的数据可获得性不同（年度数据2011-2024年为官方统计，2025年为估算值；季度数据2020-2025年；节假日数据2019-2025年），需要对数据进行对齐和预处理。</w:t>
      </w:r>
    </w:p>
    <w:p>
      <w:pPr>
        <w:spacing w:lineRule="exact" w:line="400" w:before="200" w:after="200"/>
        <w:ind w:firstLine="420"/>
        <w:jc w:val="both"/>
      </w:pPr>
      <w:r>
        <w:rPr>
          <w:rFonts w:ascii="Times New Roman" w:hAnsi="Times New Roman" w:eastAsia="宋体"/>
          <w:b w:val="0"/>
          <w:sz w:val="24"/>
        </w:rPr>
        <w:t>其次，运用灰色关联分析识别影响旅游的关键气候因素。灰色关联分析适用于"小样本、贫信息"的系统分析，能够度量各气候因素与旅游指标之间的关联程度，初步筛选出影响最大的气候因子。</w:t>
      </w:r>
    </w:p>
    <w:p>
      <w:pPr>
        <w:spacing w:lineRule="exact" w:line="400" w:before="200" w:after="200"/>
        <w:ind w:firstLine="420"/>
        <w:jc w:val="both"/>
      </w:pPr>
      <w:r>
        <w:rPr>
          <w:rFonts w:ascii="Times New Roman" w:hAnsi="Times New Roman" w:eastAsia="宋体"/>
          <w:b w:val="0"/>
          <w:sz w:val="24"/>
        </w:rPr>
        <w:t>最后，运用岭回归量化气候因素对旅游的影响。由于气候变量之间存在多重共线性（如CCI与Tmax高度相关），直接使用OLS回归可能导致系数估计不稳定。因此，本研究先通过VIF检验诊断共线性程度，然后采用岭回归（Ridge Regression）处理共线性问题，并与OLS结果进行对比。</w:t>
      </w:r>
    </w:p>
    <w:p>
      <w:pPr>
        <w:spacing w:lineRule="exact" w:line="400" w:before="200" w:after="200"/>
        <w:jc w:val="center"/>
      </w:pPr>
      <w:r>
        <w:rPr>
          <w:color w:val="C0C0C0"/>
          <w:sz w:val="16"/>
        </w:rPr>
        <w:t>────────────────────────────────────────</w:t>
      </w:r>
    </w:p>
    <w:p>
      <w:pPr>
        <w:spacing w:lineRule="exact" w:line="400" w:before="240" w:after="120"/>
        <w:jc w:val="center"/>
      </w:pPr>
      <w:r>
        <w:rPr>
          <w:rFonts w:ascii="Times New Roman" w:hAnsi="Times New Roman" w:eastAsia="黑体"/>
          <w:b/>
          <w:sz w:val="28"/>
        </w:rPr>
        <w:t>五、模型建立与求解</w:t>
      </w:r>
    </w:p>
    <w:p>
      <w:pPr>
        <w:spacing w:lineRule="exact" w:line="400" w:before="240" w:after="120"/>
      </w:pPr>
      <w:r>
        <w:rPr>
          <w:rFonts w:ascii="Times New Roman" w:hAnsi="Times New Roman" w:eastAsia="黑体"/>
          <w:b/>
          <w:sz w:val="24"/>
        </w:rPr>
        <w:t>5.1 数据预处理</w:t>
      </w:r>
    </w:p>
    <w:p>
      <w:pPr>
        <w:spacing w:lineRule="exact" w:line="400" w:before="200" w:after="120"/>
      </w:pPr>
      <w:r>
        <w:rPr>
          <w:rFonts w:ascii="Times New Roman" w:hAnsi="Times New Roman" w:eastAsia="黑体"/>
          <w:b/>
          <w:sz w:val="24"/>
        </w:rPr>
        <w:t>5.1.1 数据来源</w:t>
      </w:r>
    </w:p>
    <w:p>
      <w:pPr>
        <w:spacing w:lineRule="exact" w:line="400" w:before="200" w:after="200"/>
        <w:ind w:firstLine="420"/>
        <w:jc w:val="both"/>
      </w:pPr>
      <w:r>
        <w:rPr>
          <w:rFonts w:ascii="Times New Roman" w:hAnsi="Times New Roman" w:eastAsia="宋体"/>
          <w:b w:val="0"/>
          <w:sz w:val="24"/>
        </w:rPr>
        <w:t>本研究使用以下数据：</w:t>
      </w:r>
    </w:p>
    <w:p>
      <w:pPr>
        <w:spacing w:lineRule="exact" w:line="400" w:before="200" w:after="200"/>
        <w:ind w:firstLine="420"/>
      </w:pPr>
      <w:r>
        <w:rPr>
          <w:rFonts w:ascii="Times New Roman" w:hAnsi="Times New Roman" w:eastAsia="宋体"/>
          <w:b w:val="0"/>
          <w:sz w:val="24"/>
        </w:rPr>
        <w:t>（1）</w:t>
      </w:r>
      <w:r>
        <w:rPr>
          <w:rFonts w:ascii="Times New Roman" w:hAnsi="Times New Roman" w:eastAsia="宋体"/>
          <w:b/>
          <w:sz w:val="24"/>
        </w:rPr>
        <w:t>气象数据</w:t>
      </w:r>
      <w:r>
        <w:rPr>
          <w:rFonts w:ascii="Times New Roman" w:hAnsi="Times New Roman" w:eastAsia="宋体"/>
          <w:b w:val="0"/>
          <w:sz w:val="24"/>
        </w:rPr>
        <w:t>：桂林2011-2025年每日气象记录，包括最高气温、最低气温、白天天气、夜间天气、风向和风力。数据时间跨度为15年，共5475天，覆盖了桂林完整的气候周期。</w:t>
      </w:r>
    </w:p>
    <w:p>
      <w:pPr>
        <w:spacing w:lineRule="exact" w:line="400" w:before="200" w:after="200"/>
        <w:ind w:firstLine="420"/>
      </w:pPr>
      <w:r>
        <w:rPr>
          <w:rFonts w:ascii="Times New Roman" w:hAnsi="Times New Roman" w:eastAsia="宋体"/>
          <w:b w:val="0"/>
          <w:sz w:val="24"/>
        </w:rPr>
        <w:t>（2）</w:t>
      </w:r>
      <w:r>
        <w:rPr>
          <w:rFonts w:ascii="Times New Roman" w:hAnsi="Times New Roman" w:eastAsia="宋体"/>
          <w:b/>
          <w:sz w:val="24"/>
        </w:rPr>
        <w:t>月度旅游数据</w:t>
      </w:r>
      <w:r>
        <w:rPr>
          <w:rFonts w:ascii="Times New Roman" w:hAnsi="Times New Roman" w:eastAsia="宋体"/>
          <w:b w:val="0"/>
          <w:sz w:val="24"/>
        </w:rPr>
        <w:t>（2013-2025年）：来源于桂林市统计局和文化广电和旅游局官方月度统计。2013-2019年提供逐月游客接待量和旅游收入；2020-2024年提供季度累计数据（国内游客按季度公布）；2025年数据截至8月。入境过夜游客数据从2020年起按月公布。经过数据整合，共获得75个月度有效数据点。</w:t>
      </w:r>
    </w:p>
    <w:p>
      <w:pPr>
        <w:spacing w:lineRule="exact" w:line="400" w:before="200" w:after="200"/>
        <w:ind w:firstLine="420"/>
      </w:pPr>
      <w:r>
        <w:rPr>
          <w:rFonts w:ascii="Times New Roman" w:hAnsi="Times New Roman" w:eastAsia="宋体"/>
          <w:b w:val="0"/>
          <w:sz w:val="24"/>
        </w:rPr>
        <w:t>（3）</w:t>
      </w:r>
      <w:r>
        <w:rPr>
          <w:rFonts w:ascii="Times New Roman" w:hAnsi="Times New Roman" w:eastAsia="宋体"/>
          <w:b/>
          <w:sz w:val="24"/>
        </w:rPr>
        <w:t>年度旅游数据</w:t>
      </w:r>
      <w:r>
        <w:rPr>
          <w:rFonts w:ascii="Times New Roman" w:hAnsi="Times New Roman" w:eastAsia="宋体"/>
          <w:b w:val="0"/>
          <w:sz w:val="24"/>
        </w:rPr>
        <w:t>（2011-2025年）：来源于桂林市国民经济和社会发展统计公报。2011-2024年为官方统计，2025年为基于季度累计值的估算。</w:t>
      </w:r>
    </w:p>
    <w:p>
      <w:pPr>
        <w:spacing w:lineRule="exact" w:line="400" w:before="200" w:after="200"/>
        <w:ind w:firstLine="420"/>
        <w:jc w:val="both"/>
      </w:pPr>
      <w:r>
        <w:rPr>
          <w:rFonts w:ascii="Times New Roman" w:hAnsi="Times New Roman" w:eastAsia="宋体"/>
          <w:b/>
          <w:sz w:val="24"/>
        </w:rPr>
        <w:t>数据整合方法：</w:t>
      </w:r>
      <w:r>
        <w:rPr>
          <w:rFonts w:ascii="Times New Roman" w:hAnsi="Times New Roman" w:eastAsia="宋体"/>
          <w:b w:val="0"/>
          <w:sz w:val="24"/>
        </w:rPr>
        <w:t xml:space="preserve"> 将月度旅游数据与气候数据按年月匹配合并，生成包含游客量、旅游收入、气候舒适度指数（CCI）、气温、降雨天数等指标的月度综合数据集。对于月度数据不完整的年份（如2017年上半年缺失、2020-2024年仅有季度数据），使用年度官方数据进行校准。</w:t>
      </w:r>
    </w:p>
    <w:p>
      <w:pPr>
        <w:spacing w:lineRule="exact" w:line="400" w:before="200" w:after="120"/>
      </w:pPr>
      <w:r>
        <w:rPr>
          <w:rFonts w:ascii="Times New Roman" w:hAnsi="Times New Roman" w:eastAsia="黑体"/>
          <w:b/>
          <w:sz w:val="24"/>
        </w:rPr>
        <w:t>5.1.2 数据清洗与预处理</w:t>
      </w:r>
    </w:p>
    <w:p>
      <w:pPr>
        <w:spacing w:lineRule="exact" w:line="400" w:before="200" w:after="200"/>
        <w:ind w:firstLine="420"/>
        <w:jc w:val="both"/>
      </w:pPr>
      <w:r>
        <w:rPr>
          <w:rFonts w:ascii="Times New Roman" w:hAnsi="Times New Roman" w:eastAsia="宋体"/>
          <w:b w:val="0"/>
          <w:sz w:val="24"/>
        </w:rPr>
        <w:t>对气象数据进行以下清洗步骤：（1）去除重复记录；（2）剔除温度异常值（日最高气温&lt;0°C或&gt;45°C的记录）；（3）填补缺失值（缺失值&lt;3%的日期使用前后3天均值插值）。清洗后共获得5464天有效数据，数据完整率为99.8%。</w:t>
      </w:r>
    </w:p>
    <w:p>
      <w:pPr>
        <w:spacing w:lineRule="exact" w:line="400" w:before="200" w:after="200"/>
        <w:ind w:firstLine="420"/>
        <w:jc w:val="both"/>
      </w:pPr>
      <w:r>
        <w:rPr>
          <w:rFonts w:ascii="Times New Roman" w:hAnsi="Times New Roman" w:eastAsia="宋体"/>
          <w:b w:val="0"/>
          <w:sz w:val="24"/>
        </w:rPr>
        <w:t>计算日平均气温作为后续分析的基础变量：</w:t>
      </w:r>
    </w:p>
    <w:p>
      <w:pPr>
        <w:spacing w:lineRule="exact" w:line="400" w:before="200" w:after="200"/>
        <w:jc w:val="center"/>
      </w:pPr>
      <w:r>
        <w:rPr>
          <w:rFonts w:ascii="Times New Roman" w:hAnsi="Times New Roman" w:eastAsia="宋体"/>
          <w:b w:val="0"/>
          <w:sz w:val="22"/>
        </w:rPr>
        <w:t>Tₙ(avg) =  (Tₙ(max) + Tₙ(min))(2)</w:t>
      </w:r>
      <w:r>
        <w:rPr>
          <w:rFonts w:ascii="Times New Roman" w:hAnsi="Times New Roman" w:eastAsia="宋体"/>
          <w:b w:val="0"/>
          <w:sz w:val="22"/>
        </w:rPr>
        <w:t xml:space="preserve">    (1)</w:t>
      </w:r>
    </w:p>
    <w:p>
      <w:pPr>
        <w:spacing w:lineRule="exact" w:line="400" w:before="200" w:after="200"/>
        <w:ind w:firstLine="420"/>
        <w:jc w:val="both"/>
      </w:pPr>
      <w:r>
        <w:rPr>
          <w:rFonts w:ascii="Times New Roman" w:hAnsi="Times New Roman" w:eastAsia="宋体"/>
          <w:b w:val="0"/>
          <w:sz w:val="24"/>
        </w:rPr>
        <w:t>对旅游数据进行以下预处理：（1）将名义GDP调整为实际GDP（以2011年为基期），消除价格因素影响；（2）设置疫情虚拟变量（2020-2022年=1，其他年份=0），控制疫情冲击的影响；（3）对游客量和旅游收入取对数处理，缓解异方差问题并使系数具有弹性含义。</w:t>
      </w:r>
    </w:p>
    <w:p>
      <w:pPr>
        <w:spacing w:lineRule="exact" w:line="400" w:before="240" w:after="120"/>
      </w:pPr>
      <w:r>
        <w:rPr>
          <w:rFonts w:ascii="Times New Roman" w:hAnsi="Times New Roman" w:eastAsia="黑体"/>
          <w:b/>
          <w:sz w:val="24"/>
        </w:rPr>
        <w:t>5.2 问题一模型的建立与求解</w:t>
      </w:r>
    </w:p>
    <w:p>
      <w:pPr>
        <w:spacing w:lineRule="exact" w:line="400" w:before="200" w:after="120"/>
      </w:pPr>
      <w:r>
        <w:rPr>
          <w:rFonts w:ascii="Times New Roman" w:hAnsi="Times New Roman" w:eastAsia="黑体"/>
          <w:b/>
          <w:sz w:val="24"/>
        </w:rPr>
        <w:t>5.2.1 CCI模型构建</w:t>
      </w:r>
    </w:p>
    <w:p>
      <w:pPr>
        <w:spacing w:lineRule="exact" w:line="400" w:before="200" w:after="200"/>
        <w:ind w:firstLine="420"/>
        <w:jc w:val="both"/>
      </w:pPr>
      <w:r>
        <w:rPr>
          <w:rFonts w:ascii="Times New Roman" w:hAnsi="Times New Roman" w:eastAsia="宋体"/>
          <w:b w:val="0"/>
          <w:sz w:val="24"/>
        </w:rPr>
        <w:t>采用熵权TOPSIS法构建CCI模型[12]，步骤如下：</w:t>
      </w:r>
    </w:p>
    <w:p>
      <w:pPr>
        <w:spacing w:lineRule="exact" w:line="400" w:before="200" w:after="120"/>
        <w:jc w:val="center"/>
      </w:pPr>
      <w:r>
        <w:drawing>
          <wp:inline xmlns:a="http://schemas.openxmlformats.org/drawingml/2006/main" xmlns:pic="http://schemas.openxmlformats.org/drawingml/2006/picture">
            <wp:extent cx="5029200" cy="7575630"/>
            <wp:docPr id="1" name="Picture 1"/>
            <wp:cNvGraphicFramePr>
              <a:graphicFrameLocks noChangeAspect="1"/>
            </wp:cNvGraphicFramePr>
            <a:graphic>
              <a:graphicData uri="http://schemas.openxmlformats.org/drawingml/2006/picture">
                <pic:pic>
                  <pic:nvPicPr>
                    <pic:cNvPr id="0" name="图1_CCI计算流程图.png"/>
                    <pic:cNvPicPr/>
                  </pic:nvPicPr>
                  <pic:blipFill>
                    <a:blip r:embed="rId9"/>
                    <a:stretch>
                      <a:fillRect/>
                    </a:stretch>
                  </pic:blipFill>
                  <pic:spPr>
                    <a:xfrm>
                      <a:off x="0" y="0"/>
                      <a:ext cx="5029200" cy="7575630"/>
                    </a:xfrm>
                    <a:prstGeom prst="rect"/>
                  </pic:spPr>
                </pic:pic>
              </a:graphicData>
            </a:graphic>
          </wp:inline>
        </w:drawing>
      </w:r>
    </w:p>
    <w:p>
      <w:pPr>
        <w:spacing w:lineRule="exact" w:line="400" w:before="40" w:after="200"/>
        <w:jc w:val="center"/>
      </w:pPr>
      <w:r>
        <w:rPr>
          <w:rFonts w:ascii="Times New Roman" w:hAnsi="Times New Roman" w:eastAsia="宋体"/>
          <w:b/>
          <w:sz w:val="21"/>
        </w:rPr>
        <w:t>图1 CCI计算流程图</w:t>
      </w:r>
    </w:p>
    <w:p>
      <w:pPr>
        <w:spacing w:lineRule="exact" w:line="400" w:before="200" w:after="200"/>
      </w:pPr>
      <w:r>
        <w:rPr>
          <w:rFonts w:ascii="Times New Roman" w:hAnsi="Times New Roman" w:eastAsia="宋体"/>
          <w:b/>
          <w:sz w:val="24"/>
        </w:rPr>
        <w:t>步骤1：计算各指标的舒适度评分</w:t>
      </w:r>
    </w:p>
    <w:p>
      <w:pPr>
        <w:spacing w:lineRule="exact" w:line="400" w:before="200" w:after="200"/>
        <w:ind w:firstLine="420"/>
        <w:jc w:val="both"/>
      </w:pPr>
      <w:r>
        <w:rPr>
          <w:rFonts w:ascii="Times New Roman" w:hAnsi="Times New Roman" w:eastAsia="宋体"/>
          <w:b w:val="0"/>
          <w:sz w:val="24"/>
        </w:rPr>
        <w:t>温度舒适度评分采用高斯函数[14]：</w:t>
      </w:r>
    </w:p>
    <w:p>
      <w:pPr>
        <w:spacing w:lineRule="exact" w:line="400" w:before="200" w:after="200"/>
        <w:jc w:val="center"/>
      </w:pPr>
      <w:r>
        <w:rPr>
          <w:rFonts w:ascii="Times New Roman" w:hAnsi="Times New Roman" w:eastAsia="宋体"/>
          <w:b w:val="0"/>
          <w:sz w:val="22"/>
        </w:rPr>
        <w:t>Sₙ(temp) = expleft(-left( (Tₙ(avg) - 22)(7.5)right)ⁿ2right)</w:t>
      </w:r>
      <w:r>
        <w:rPr>
          <w:rFonts w:ascii="Times New Roman" w:hAnsi="Times New Roman" w:eastAsia="宋体"/>
          <w:b w:val="0"/>
          <w:sz w:val="22"/>
        </w:rPr>
        <w:t xml:space="preserve">    (2)</w:t>
      </w:r>
    </w:p>
    <w:p>
      <w:pPr>
        <w:spacing w:lineRule="exact" w:line="400" w:before="200" w:after="200"/>
        <w:ind w:firstLine="420"/>
        <w:jc w:val="both"/>
      </w:pPr>
      <w:r>
        <w:rPr>
          <w:rFonts w:ascii="Times New Roman" w:hAnsi="Times New Roman" w:eastAsia="宋体"/>
          <w:b w:val="0"/>
          <w:sz w:val="24"/>
        </w:rPr>
        <w:t>其中，22°C为人体最适温度（参考ASHRAE舒适标准及谭凯炎等[14]的研究），7.5°C为标准差参数，反映温度偏离最适值时舒适度的衰减速率。该函数形式在旅游气候舒适度研究中被广泛采用[13,14]。</w:t>
      </w:r>
    </w:p>
    <w:p>
      <w:pPr>
        <w:spacing w:lineRule="exact" w:line="400" w:before="200" w:after="200"/>
        <w:ind w:firstLine="420"/>
        <w:jc w:val="both"/>
      </w:pPr>
      <w:r>
        <w:rPr>
          <w:rFonts w:ascii="Times New Roman" w:hAnsi="Times New Roman" w:eastAsia="宋体"/>
          <w:b w:val="0"/>
          <w:sz w:val="24"/>
        </w:rPr>
        <w:t>天气舒适度评分根据天气类型赋予不同分值，参考曹伟宏等[13]和荣培君等[15]对旅游气候舒适度的分级标准：晴天游客户外活动最适宜（1.0），多云和阴天次之（0.95、0.8），降雨天气显著降低旅游体验（小雨=0.65，中雨=0.45，大雨=0.25，暴雨=0.1）。</w:t>
      </w:r>
    </w:p>
    <w:p>
      <w:pPr>
        <w:spacing w:lineRule="exact" w:line="400" w:before="200" w:after="200"/>
        <w:ind w:firstLine="420"/>
        <w:jc w:val="both"/>
      </w:pPr>
      <w:r>
        <w:rPr>
          <w:rFonts w:ascii="Times New Roman" w:hAnsi="Times New Roman" w:eastAsia="宋体"/>
          <w:b w:val="0"/>
          <w:sz w:val="24"/>
        </w:rPr>
        <w:t>风力舒适度评分根据风力等级赋予不同分值，参考谭凯炎等[14]的风寒效应研究：微风最舒适（1.0），3级风略有影响（0.85），4级以上风力显著影响户外活动（4级=0.65，5级=0.45）。</w:t>
      </w:r>
    </w:p>
    <w:p>
      <w:pPr>
        <w:spacing w:lineRule="exact" w:line="400" w:before="200" w:after="200"/>
      </w:pPr>
      <w:r>
        <w:rPr>
          <w:rFonts w:ascii="Times New Roman" w:hAnsi="Times New Roman" w:eastAsia="宋体"/>
          <w:b/>
          <w:sz w:val="24"/>
        </w:rPr>
        <w:t>步骤2：熵权法确定权重</w:t>
      </w:r>
    </w:p>
    <w:p>
      <w:pPr>
        <w:spacing w:lineRule="exact" w:line="400" w:before="200" w:after="200"/>
        <w:ind w:firstLine="420"/>
        <w:jc w:val="both"/>
      </w:pPr>
      <w:r>
        <w:rPr>
          <w:rFonts w:ascii="Times New Roman" w:hAnsi="Times New Roman" w:eastAsia="宋体"/>
          <w:b w:val="0"/>
          <w:sz w:val="24"/>
        </w:rPr>
        <w:t>首先，对各指标进行归一化处理：</w:t>
      </w:r>
    </w:p>
    <w:p>
      <w:pPr>
        <w:spacing w:lineRule="exact" w:line="400" w:before="200" w:after="200"/>
        <w:jc w:val="center"/>
      </w:pPr>
      <w:r>
        <w:rPr>
          <w:rFonts w:ascii="Times New Roman" w:hAnsi="Times New Roman" w:eastAsia="宋体"/>
          <w:b w:val="0"/>
          <w:sz w:val="22"/>
        </w:rPr>
        <w:t>xₙ(ij)ⁿ* =  (xₙ(ij) - min(xₙj))(max(xₙj) - min(xₙj))</w:t>
      </w:r>
      <w:r>
        <w:rPr>
          <w:rFonts w:ascii="Times New Roman" w:hAnsi="Times New Roman" w:eastAsia="宋体"/>
          <w:b w:val="0"/>
          <w:sz w:val="22"/>
        </w:rPr>
        <w:t xml:space="preserve">    (3)</w:t>
      </w:r>
    </w:p>
    <w:p>
      <w:pPr>
        <w:spacing w:lineRule="exact" w:line="400" w:before="200" w:after="200"/>
        <w:ind w:firstLine="420"/>
        <w:jc w:val="both"/>
      </w:pPr>
      <w:r>
        <w:rPr>
          <w:rFonts w:ascii="Times New Roman" w:hAnsi="Times New Roman" w:eastAsia="宋体"/>
          <w:b w:val="0"/>
          <w:sz w:val="24"/>
        </w:rPr>
        <w:t>然后，计算各指标的信息熵：</w:t>
      </w:r>
    </w:p>
    <w:p>
      <w:pPr>
        <w:spacing w:lineRule="exact" w:line="400" w:before="200" w:after="200"/>
        <w:jc w:val="center"/>
      </w:pPr>
      <w:r>
        <w:rPr>
          <w:rFonts w:ascii="Times New Roman" w:hAnsi="Times New Roman" w:eastAsia="宋体"/>
          <w:b w:val="0"/>
          <w:sz w:val="22"/>
        </w:rPr>
        <w:t>Eₙj = - (1)(ln n) sumₙ(i=1)ⁿ(n) pₙ(ij) ln pₙ(ij)</w:t>
      </w:r>
      <w:r>
        <w:rPr>
          <w:rFonts w:ascii="Times New Roman" w:hAnsi="Times New Roman" w:eastAsia="宋体"/>
          <w:b w:val="0"/>
          <w:sz w:val="22"/>
        </w:rPr>
        <w:t xml:space="preserve">    (4)</w:t>
      </w:r>
    </w:p>
    <w:p>
      <w:pPr>
        <w:spacing w:lineRule="exact" w:line="400" w:before="200" w:after="200"/>
        <w:ind w:firstLine="420"/>
        <w:jc w:val="both"/>
      </w:pPr>
      <w:r>
        <w:rPr>
          <w:rFonts w:ascii="Times New Roman" w:hAnsi="Times New Roman" w:eastAsia="宋体"/>
          <w:b w:val="0"/>
          <w:sz w:val="24"/>
        </w:rPr>
        <w:t>其中，$p_{ij} = x_{ij}^* / \sum_{i=1}^{n} x_{ij}^*$。</w:t>
      </w:r>
    </w:p>
    <w:p>
      <w:pPr>
        <w:spacing w:lineRule="exact" w:line="400" w:before="200" w:after="200"/>
        <w:ind w:firstLine="420"/>
        <w:jc w:val="both"/>
      </w:pPr>
      <w:r>
        <w:rPr>
          <w:rFonts w:ascii="Times New Roman" w:hAnsi="Times New Roman" w:eastAsia="宋体"/>
          <w:b w:val="0"/>
          <w:sz w:val="24"/>
        </w:rPr>
        <w:t>最后，计算熵权：</w:t>
      </w:r>
    </w:p>
    <w:p>
      <w:pPr>
        <w:spacing w:lineRule="exact" w:line="400" w:before="200" w:after="200"/>
        <w:jc w:val="center"/>
      </w:pPr>
      <w:r>
        <w:rPr>
          <w:rFonts w:ascii="Times New Roman" w:hAnsi="Times New Roman" w:eastAsia="宋体"/>
          <w:b w:val="0"/>
          <w:sz w:val="22"/>
        </w:rPr>
        <w:t>wₙj =  (1 - Eₙj)(sumₙ(j=1)ⁿ(m) (1 - Eₙj))</w:t>
      </w:r>
      <w:r>
        <w:rPr>
          <w:rFonts w:ascii="Times New Roman" w:hAnsi="Times New Roman" w:eastAsia="宋体"/>
          <w:b w:val="0"/>
          <w:sz w:val="22"/>
        </w:rPr>
        <w:t xml:space="preserve">    (5)</w:t>
      </w:r>
    </w:p>
    <w:p>
      <w:pPr>
        <w:spacing w:lineRule="exact" w:line="400" w:before="200" w:after="200"/>
        <w:ind w:firstLine="420"/>
        <w:jc w:val="both"/>
      </w:pPr>
      <w:r>
        <w:rPr>
          <w:rFonts w:ascii="Times New Roman" w:hAnsi="Times New Roman" w:eastAsia="宋体"/>
          <w:b w:val="0"/>
          <w:sz w:val="24"/>
        </w:rPr>
        <w:t>计算结果：$w_{temp} = 0.7688$，$w_{weather} = 0.1659$，$w_{wind} = 0.0653$。</w:t>
      </w:r>
    </w:p>
    <w:p>
      <w:pPr>
        <w:spacing w:lineRule="exact" w:line="400" w:before="200" w:after="200"/>
      </w:pPr>
      <w:r>
        <w:rPr>
          <w:rFonts w:ascii="Times New Roman" w:hAnsi="Times New Roman" w:eastAsia="宋体"/>
          <w:b/>
          <w:sz w:val="24"/>
        </w:rPr>
        <w:t>步骤3：TOPSIS法计算CCI</w:t>
      </w:r>
    </w:p>
    <w:p>
      <w:pPr>
        <w:spacing w:lineRule="exact" w:line="400" w:before="200" w:after="200"/>
        <w:ind w:firstLine="420"/>
        <w:jc w:val="both"/>
      </w:pPr>
      <w:r>
        <w:rPr>
          <w:rFonts w:ascii="Times New Roman" w:hAnsi="Times New Roman" w:eastAsia="宋体"/>
          <w:b w:val="0"/>
          <w:sz w:val="24"/>
        </w:rPr>
        <w:t>构建加权标准化矩阵：</w:t>
      </w:r>
    </w:p>
    <w:p>
      <w:pPr>
        <w:spacing w:lineRule="exact" w:line="400" w:before="200" w:after="200"/>
        <w:jc w:val="center"/>
      </w:pPr>
      <w:r>
        <w:rPr>
          <w:rFonts w:ascii="Times New Roman" w:hAnsi="Times New Roman" w:eastAsia="宋体"/>
          <w:b w:val="0"/>
          <w:sz w:val="22"/>
        </w:rPr>
        <w:t>Zₙ(ij) = wₙj cdot xₙ(ij)ⁿ*</w:t>
      </w:r>
      <w:r>
        <w:rPr>
          <w:rFonts w:ascii="Times New Roman" w:hAnsi="Times New Roman" w:eastAsia="宋体"/>
          <w:b w:val="0"/>
          <w:sz w:val="22"/>
        </w:rPr>
        <w:t xml:space="preserve">    (6)</w:t>
      </w:r>
    </w:p>
    <w:p>
      <w:pPr>
        <w:spacing w:lineRule="exact" w:line="400" w:before="200" w:after="200"/>
        <w:ind w:firstLine="420"/>
        <w:jc w:val="both"/>
      </w:pPr>
      <w:r>
        <w:rPr>
          <w:rFonts w:ascii="Times New Roman" w:hAnsi="Times New Roman" w:eastAsia="宋体"/>
          <w:b w:val="0"/>
          <w:sz w:val="24"/>
        </w:rPr>
        <w:t>计算正理想解和负理想解：</w:t>
      </w:r>
    </w:p>
    <w:p>
      <w:pPr>
        <w:spacing w:lineRule="exact" w:line="400" w:before="200" w:after="200"/>
        <w:jc w:val="center"/>
      </w:pPr>
      <w:r>
        <w:rPr>
          <w:rFonts w:ascii="Times New Roman" w:hAnsi="Times New Roman" w:eastAsia="宋体"/>
          <w:b w:val="0"/>
          <w:sz w:val="22"/>
        </w:rPr>
        <w:t>Zⁿ+ = (max Zₙ(i1), max Zₙ(i2), max Zₙ(i3))</w:t>
      </w:r>
      <w:r>
        <w:rPr>
          <w:rFonts w:ascii="Times New Roman" w:hAnsi="Times New Roman" w:eastAsia="宋体"/>
          <w:b w:val="0"/>
          <w:sz w:val="22"/>
        </w:rPr>
        <w:t xml:space="preserve">    (7)</w:t>
      </w:r>
    </w:p>
    <w:p>
      <w:pPr>
        <w:spacing w:lineRule="exact" w:line="400" w:before="200" w:after="200"/>
        <w:jc w:val="center"/>
      </w:pPr>
      <w:r>
        <w:rPr>
          <w:rFonts w:ascii="Times New Roman" w:hAnsi="Times New Roman" w:eastAsia="宋体"/>
          <w:b w:val="0"/>
          <w:sz w:val="22"/>
        </w:rPr>
        <w:t>Zⁿ- = (min Zₙ(i1), min Zₙ(i2), min Zₙ(i3))</w:t>
      </w:r>
      <w:r>
        <w:rPr>
          <w:rFonts w:ascii="Times New Roman" w:hAnsi="Times New Roman" w:eastAsia="宋体"/>
          <w:b w:val="0"/>
          <w:sz w:val="22"/>
        </w:rPr>
        <w:t xml:space="preserve">    (8)</w:t>
      </w:r>
    </w:p>
    <w:p>
      <w:pPr>
        <w:spacing w:lineRule="exact" w:line="400" w:before="200" w:after="200"/>
        <w:ind w:firstLine="420"/>
        <w:jc w:val="both"/>
      </w:pPr>
      <w:r>
        <w:rPr>
          <w:rFonts w:ascii="Times New Roman" w:hAnsi="Times New Roman" w:eastAsia="宋体"/>
          <w:b w:val="0"/>
          <w:sz w:val="24"/>
        </w:rPr>
        <w:t>计算各评价对象与正负理想解的距离：</w:t>
      </w:r>
    </w:p>
    <w:p>
      <w:pPr>
        <w:spacing w:lineRule="exact" w:line="400" w:before="200" w:after="200"/>
        <w:jc w:val="center"/>
      </w:pPr>
      <w:r>
        <w:rPr>
          <w:rFonts w:ascii="Times New Roman" w:hAnsi="Times New Roman" w:eastAsia="宋体"/>
          <w:b w:val="0"/>
          <w:sz w:val="22"/>
        </w:rPr>
        <w:t>Dₙiⁿ+ = sqrt(sumₙ(j=1)ⁿ(m) (Zₙ(ij) - Zₙjⁿ+)ⁿ2)</w:t>
      </w:r>
      <w:r>
        <w:rPr>
          <w:rFonts w:ascii="Times New Roman" w:hAnsi="Times New Roman" w:eastAsia="宋体"/>
          <w:b w:val="0"/>
          <w:sz w:val="22"/>
        </w:rPr>
        <w:t xml:space="preserve">    (9)</w:t>
      </w:r>
    </w:p>
    <w:p>
      <w:pPr>
        <w:spacing w:lineRule="exact" w:line="400" w:before="200" w:after="200"/>
        <w:jc w:val="center"/>
      </w:pPr>
      <w:r>
        <w:rPr>
          <w:rFonts w:ascii="Times New Roman" w:hAnsi="Times New Roman" w:eastAsia="宋体"/>
          <w:b w:val="0"/>
          <w:sz w:val="22"/>
        </w:rPr>
        <w:t>Dₙiⁿ- = sqrt(sumₙ(j=1)ⁿ(m) (Zₙ(ij) - Zₙjⁿ-)ⁿ2)</w:t>
      </w:r>
      <w:r>
        <w:rPr>
          <w:rFonts w:ascii="Times New Roman" w:hAnsi="Times New Roman" w:eastAsia="宋体"/>
          <w:b w:val="0"/>
          <w:sz w:val="22"/>
        </w:rPr>
        <w:t xml:space="preserve">    (10)</w:t>
      </w:r>
    </w:p>
    <w:p>
      <w:pPr>
        <w:spacing w:lineRule="exact" w:line="400" w:before="200" w:after="200"/>
        <w:ind w:firstLine="420"/>
        <w:jc w:val="both"/>
      </w:pPr>
      <w:r>
        <w:rPr>
          <w:rFonts w:ascii="Times New Roman" w:hAnsi="Times New Roman" w:eastAsia="宋体"/>
          <w:b w:val="0"/>
          <w:sz w:val="24"/>
        </w:rPr>
        <w:t>计算CCI：</w:t>
      </w:r>
    </w:p>
    <w:p>
      <w:pPr>
        <w:spacing w:lineRule="exact" w:line="400" w:before="200" w:after="200"/>
        <w:jc w:val="center"/>
      </w:pPr>
      <w:r>
        <w:rPr>
          <w:rFonts w:ascii="Times New Roman" w:hAnsi="Times New Roman" w:eastAsia="宋体"/>
          <w:b w:val="0"/>
          <w:sz w:val="22"/>
        </w:rPr>
        <w:t>CCIₙi =  (Dₙiⁿ-)(Dₙiⁿ+ + Dₙiⁿ-) times 100</w:t>
      </w:r>
      <w:r>
        <w:rPr>
          <w:rFonts w:ascii="Times New Roman" w:hAnsi="Times New Roman" w:eastAsia="宋体"/>
          <w:b w:val="0"/>
          <w:sz w:val="22"/>
        </w:rPr>
        <w:t xml:space="preserve">    (11)</w:t>
      </w:r>
    </w:p>
    <w:p>
      <w:pPr>
        <w:spacing w:lineRule="exact" w:line="400" w:before="200" w:after="120"/>
      </w:pPr>
      <w:r>
        <w:rPr>
          <w:rFonts w:ascii="Times New Roman" w:hAnsi="Times New Roman" w:eastAsia="黑体"/>
          <w:b/>
          <w:sz w:val="24"/>
        </w:rPr>
        <w:t>5.2.2 Mann-Kendall趋势检验</w:t>
      </w:r>
    </w:p>
    <w:p>
      <w:pPr>
        <w:spacing w:lineRule="exact" w:line="400" w:before="200" w:after="200"/>
        <w:ind w:firstLine="420"/>
        <w:jc w:val="both"/>
      </w:pPr>
      <w:r>
        <w:rPr>
          <w:rFonts w:ascii="Times New Roman" w:hAnsi="Times New Roman" w:eastAsia="宋体"/>
          <w:b w:val="0"/>
          <w:sz w:val="24"/>
        </w:rPr>
        <w:t>Mann-Kendall检验是一种非参数趋势检验方法[1,2]，其检验统计量为：</w:t>
      </w:r>
    </w:p>
    <w:p>
      <w:pPr>
        <w:spacing w:lineRule="exact" w:line="400" w:before="200" w:after="200"/>
        <w:jc w:val="center"/>
      </w:pPr>
      <w:r>
        <w:rPr>
          <w:rFonts w:ascii="Times New Roman" w:hAnsi="Times New Roman" w:eastAsia="宋体"/>
          <w:b w:val="0"/>
          <w:sz w:val="22"/>
        </w:rPr>
        <w:t>S = sumₙ(i=1)ⁿ(n-1) sumₙ(j=i+1)ⁿ(n) sgn)(xₙj - xₙi)</w:t>
      </w:r>
      <w:r>
        <w:rPr>
          <w:rFonts w:ascii="Times New Roman" w:hAnsi="Times New Roman" w:eastAsia="宋体"/>
          <w:b w:val="0"/>
          <w:sz w:val="22"/>
        </w:rPr>
        <w:t xml:space="preserve">    (12)</w:t>
      </w:r>
    </w:p>
    <w:p>
      <w:pPr>
        <w:spacing w:lineRule="exact" w:line="400" w:before="200" w:after="200"/>
        <w:ind w:firstLine="420"/>
        <w:jc w:val="both"/>
      </w:pPr>
      <w:r>
        <w:rPr>
          <w:rFonts w:ascii="Times New Roman" w:hAnsi="Times New Roman" w:eastAsia="宋体"/>
          <w:b w:val="0"/>
          <w:sz w:val="24"/>
        </w:rPr>
        <w:t>当$n &gt; 10$时，S近似服从正态分布[3,4]：</w:t>
      </w:r>
    </w:p>
    <w:p>
      <w:pPr>
        <w:spacing w:lineRule="exact" w:line="400" w:before="200" w:after="200"/>
        <w:jc w:val="center"/>
      </w:pPr>
      <w:r>
        <w:rPr>
          <w:rFonts w:ascii="Times New Roman" w:hAnsi="Times New Roman" w:eastAsia="宋体"/>
          <w:b w:val="0"/>
          <w:sz w:val="22"/>
        </w:rPr>
        <w:t>Z =  (S - 1)(sqrt(Var(S)))</w:t>
      </w:r>
      <w:r>
        <w:rPr>
          <w:rFonts w:ascii="Times New Roman" w:hAnsi="Times New Roman" w:eastAsia="宋体"/>
          <w:b w:val="0"/>
          <w:sz w:val="22"/>
        </w:rPr>
        <w:t xml:space="preserve">    (13)</w:t>
      </w:r>
    </w:p>
    <w:p>
      <w:pPr>
        <w:spacing w:lineRule="exact" w:line="400" w:before="200" w:after="200"/>
        <w:ind w:firstLine="420"/>
        <w:jc w:val="both"/>
      </w:pPr>
      <w:r>
        <w:rPr>
          <w:rFonts w:ascii="Times New Roman" w:hAnsi="Times New Roman" w:eastAsia="宋体"/>
          <w:b w:val="0"/>
          <w:sz w:val="24"/>
        </w:rPr>
        <w:t>其中，$Var(S) = \frac{n(n-1)(2n+5)}{18}$。</w:t>
      </w:r>
    </w:p>
    <w:p>
      <w:pPr>
        <w:spacing w:lineRule="exact" w:line="400" w:before="200" w:after="200"/>
        <w:ind w:firstLine="420"/>
        <w:jc w:val="both"/>
      </w:pPr>
      <w:r>
        <w:rPr>
          <w:rFonts w:ascii="Times New Roman" w:hAnsi="Times New Roman" w:eastAsia="宋体"/>
          <w:b w:val="0"/>
          <w:sz w:val="24"/>
        </w:rPr>
        <w:t>Sen's斜率估计：</w:t>
      </w:r>
    </w:p>
    <w:p>
      <w:pPr>
        <w:spacing w:lineRule="exact" w:line="400" w:before="200" w:after="200"/>
        <w:jc w:val="center"/>
      </w:pPr>
      <w:r>
        <w:rPr>
          <w:rFonts w:ascii="Times New Roman" w:hAnsi="Times New Roman" w:eastAsia="宋体"/>
          <w:b w:val="0"/>
          <w:sz w:val="22"/>
        </w:rPr>
        <w:t>beta = median)left( (xₙj - xₙi)(j - i)right), forall i &lt; j</w:t>
      </w:r>
      <w:r>
        <w:rPr>
          <w:rFonts w:ascii="Times New Roman" w:hAnsi="Times New Roman" w:eastAsia="宋体"/>
          <w:b w:val="0"/>
          <w:sz w:val="22"/>
        </w:rPr>
        <w:t xml:space="preserve">    (14)</w:t>
      </w:r>
    </w:p>
    <w:p>
      <w:pPr>
        <w:spacing w:lineRule="exact" w:line="400" w:before="200" w:after="200"/>
      </w:pPr>
      <w:r>
        <w:rPr>
          <w:rFonts w:ascii="Times New Roman" w:hAnsi="Times New Roman" w:eastAsia="宋体"/>
          <w:b/>
          <w:sz w:val="24"/>
        </w:rPr>
        <w:t>求解结果：</w:t>
      </w:r>
    </w:p>
    <w:tbl>
      <w:tblPr>
        <w:tblStyle w:val="TableGrid"/>
        <w:tblW w:type="auto" w:w="0"/>
        <w:jc w:val="center"/>
        <w:tblLook w:firstColumn="1" w:firstRow="1" w:lastColumn="0" w:lastRow="0" w:noHBand="0" w:noVBand="1" w:val="04A0"/>
      </w:tblPr>
      <w:tblGrid>
        <w:gridCol w:w="4317"/>
        <w:gridCol w:w="4317"/>
      </w:tblGrid>
      <w:tr>
        <w:tc>
          <w:tcPr>
            <w:tcW w:type="dxa" w:w="4317"/>
          </w:tcPr>
          <w:p>
            <w:r>
              <w:rPr>
                <w:rFonts w:ascii="Times New Roman" w:hAnsi="Times New Roman" w:eastAsia="宋体"/>
                <w:b/>
                <w:sz w:val="21"/>
              </w:rPr>
              <w:t>指标</w:t>
            </w:r>
          </w:p>
        </w:tc>
        <w:tc>
          <w:tcPr>
            <w:tcW w:type="dxa" w:w="4317"/>
          </w:tcPr>
          <w:p>
            <w:r>
              <w:rPr>
                <w:rFonts w:ascii="Times New Roman" w:hAnsi="Times New Roman" w:eastAsia="宋体"/>
                <w:b/>
                <w:sz w:val="21"/>
              </w:rPr>
              <w:t>值</w:t>
            </w:r>
          </w:p>
        </w:tc>
      </w:tr>
      <w:tr>
        <w:tc>
          <w:tcPr>
            <w:tcW w:type="dxa" w:w="4317"/>
          </w:tcPr>
          <w:p>
            <w:r>
              <w:rPr>
                <w:rFonts w:ascii="Times New Roman" w:hAnsi="Times New Roman" w:eastAsia="宋体"/>
                <w:b w:val="0"/>
                <w:sz w:val="21"/>
              </w:rPr>
              <w:t>检验统计量 S</w:t>
            </w:r>
          </w:p>
        </w:tc>
        <w:tc>
          <w:tcPr>
            <w:tcW w:type="dxa" w:w="4317"/>
          </w:tcPr>
          <w:p>
            <w:r>
              <w:rPr>
                <w:rFonts w:ascii="Times New Roman" w:hAnsi="Times New Roman" w:eastAsia="宋体"/>
                <w:b w:val="0"/>
                <w:sz w:val="21"/>
              </w:rPr>
              <w:t>-7</w:t>
            </w:r>
          </w:p>
        </w:tc>
      </w:tr>
      <w:tr>
        <w:tc>
          <w:tcPr>
            <w:tcW w:type="dxa" w:w="4317"/>
          </w:tcPr>
          <w:p>
            <w:r>
              <w:rPr>
                <w:rFonts w:ascii="Times New Roman" w:hAnsi="Times New Roman" w:eastAsia="宋体"/>
                <w:b w:val="0"/>
                <w:sz w:val="21"/>
              </w:rPr>
              <w:t>Z 统计量</w:t>
            </w:r>
          </w:p>
        </w:tc>
        <w:tc>
          <w:tcPr>
            <w:tcW w:type="dxa" w:w="4317"/>
          </w:tcPr>
          <w:p>
            <w:r>
              <w:rPr>
                <w:rFonts w:ascii="Times New Roman" w:hAnsi="Times New Roman" w:eastAsia="宋体"/>
                <w:b w:val="0"/>
                <w:sz w:val="21"/>
              </w:rPr>
              <w:t>-0.2969</w:t>
            </w:r>
          </w:p>
        </w:tc>
      </w:tr>
      <w:tr>
        <w:tc>
          <w:tcPr>
            <w:tcW w:type="dxa" w:w="4317"/>
          </w:tcPr>
          <w:p>
            <w:r>
              <w:rPr>
                <w:rFonts w:ascii="Times New Roman" w:hAnsi="Times New Roman" w:eastAsia="宋体"/>
                <w:b w:val="0"/>
                <w:sz w:val="21"/>
              </w:rPr>
              <w:t>p 值</w:t>
            </w:r>
          </w:p>
        </w:tc>
        <w:tc>
          <w:tcPr>
            <w:tcW w:type="dxa" w:w="4317"/>
          </w:tcPr>
          <w:p>
            <w:r>
              <w:rPr>
                <w:rFonts w:ascii="Times New Roman" w:hAnsi="Times New Roman" w:eastAsia="宋体"/>
                <w:b w:val="0"/>
                <w:sz w:val="21"/>
              </w:rPr>
              <w:t>0.7665</w:t>
            </w:r>
          </w:p>
        </w:tc>
      </w:tr>
      <w:tr>
        <w:tc>
          <w:tcPr>
            <w:tcW w:type="dxa" w:w="4317"/>
          </w:tcPr>
          <w:p>
            <w:r>
              <w:rPr>
                <w:rFonts w:ascii="Times New Roman" w:hAnsi="Times New Roman" w:eastAsia="宋体"/>
                <w:b w:val="0"/>
                <w:sz w:val="21"/>
              </w:rPr>
              <w:t>趋势</w:t>
            </w:r>
          </w:p>
        </w:tc>
        <w:tc>
          <w:tcPr>
            <w:tcW w:type="dxa" w:w="4317"/>
          </w:tcPr>
          <w:p>
            <w:r>
              <w:rPr>
                <w:rFonts w:ascii="Times New Roman" w:hAnsi="Times New Roman" w:eastAsia="宋体"/>
                <w:b w:val="0"/>
                <w:sz w:val="21"/>
              </w:rPr>
              <w:t>下降</w:t>
            </w:r>
          </w:p>
        </w:tc>
      </w:tr>
      <w:tr>
        <w:tc>
          <w:tcPr>
            <w:tcW w:type="dxa" w:w="4317"/>
          </w:tcPr>
          <w:p>
            <w:r>
              <w:rPr>
                <w:rFonts w:ascii="Times New Roman" w:hAnsi="Times New Roman" w:eastAsia="宋体"/>
                <w:b w:val="0"/>
                <w:sz w:val="21"/>
              </w:rPr>
              <w:t>显著性</w:t>
            </w:r>
          </w:p>
        </w:tc>
        <w:tc>
          <w:tcPr>
            <w:tcW w:type="dxa" w:w="4317"/>
          </w:tcPr>
          <w:p>
            <w:r>
              <w:rPr>
                <w:rFonts w:ascii="Times New Roman" w:hAnsi="Times New Roman" w:eastAsia="宋体"/>
                <w:b w:val="0"/>
                <w:sz w:val="21"/>
              </w:rPr>
              <w:t>不显著</w:t>
            </w:r>
          </w:p>
        </w:tc>
      </w:tr>
      <w:tr>
        <w:tc>
          <w:tcPr>
            <w:tcW w:type="dxa" w:w="4317"/>
          </w:tcPr>
          <w:p>
            <w:r>
              <w:rPr>
                <w:rFonts w:ascii="Times New Roman" w:hAnsi="Times New Roman" w:eastAsia="宋体"/>
                <w:b w:val="0"/>
                <w:sz w:val="21"/>
              </w:rPr>
              <w:t>Sen's斜率</w:t>
            </w:r>
          </w:p>
        </w:tc>
        <w:tc>
          <w:tcPr>
            <w:tcW w:type="dxa" w:w="4317"/>
          </w:tcPr>
          <w:p>
            <w:r>
              <w:rPr>
                <w:rFonts w:ascii="Times New Roman" w:hAnsi="Times New Roman" w:eastAsia="宋体"/>
                <w:b w:val="0"/>
                <w:sz w:val="21"/>
              </w:rPr>
              <w:t>-0.0402</w:t>
            </w:r>
          </w:p>
        </w:tc>
      </w:tr>
    </w:tbl>
    <w:p>
      <w:pPr>
        <w:spacing w:lineRule="exact" w:line="400" w:before="200" w:after="200"/>
        <w:ind w:firstLine="420"/>
        <w:jc w:val="both"/>
      </w:pPr>
      <w:r>
        <w:rPr>
          <w:rFonts w:ascii="Times New Roman" w:hAnsi="Times New Roman" w:eastAsia="宋体"/>
          <w:b/>
          <w:sz w:val="24"/>
        </w:rPr>
        <w:t>结论：</w:t>
      </w:r>
      <w:r>
        <w:rPr>
          <w:rFonts w:ascii="Times New Roman" w:hAnsi="Times New Roman" w:eastAsia="宋体"/>
          <w:b w:val="0"/>
          <w:sz w:val="24"/>
        </w:rPr>
        <w:t xml:space="preserve"> 桂林CCI在2011-2025年间呈微弱下降趋势（每年下降0.04），但p值远大于0.05，说明这一趋势在统计上不显著。</w:t>
      </w:r>
    </w:p>
    <w:p>
      <w:pPr>
        <w:spacing w:lineRule="exact" w:line="400" w:before="200" w:after="200"/>
        <w:ind w:firstLine="420"/>
        <w:jc w:val="both"/>
      </w:pPr>
      <w:r>
        <w:rPr>
          <w:rFonts w:ascii="Times New Roman" w:hAnsi="Times New Roman" w:eastAsia="宋体"/>
          <w:b/>
          <w:sz w:val="24"/>
        </w:rPr>
        <w:t>趋势分析的进一步讨论：</w:t>
      </w:r>
      <w:r>
        <w:rPr>
          <w:rFonts w:ascii="Times New Roman" w:hAnsi="Times New Roman" w:eastAsia="宋体"/>
          <w:b w:val="0"/>
          <w:sz w:val="24"/>
        </w:rPr>
        <w:t xml:space="preserve"> Sen's斜率β=-0.0402意味着CCI平均每年下降约0.04个单位，15年间累计下降约0.6个单位。考虑到CCI的取值范围为0-100，这一变化量仅占总范围的0.6%，属于微弱波动。p=0.7665远大于显著性水平α=0.05，说明即使在α=0.10的宽松标准下，也不能拒绝"CCI无趋势"的原假设。</w:t>
      </w:r>
    </w:p>
    <w:p>
      <w:pPr>
        <w:spacing w:lineRule="exact" w:line="400" w:before="200" w:after="200"/>
        <w:ind w:firstLine="420"/>
        <w:jc w:val="both"/>
      </w:pPr>
      <w:r>
        <w:rPr>
          <w:rFonts w:ascii="Times New Roman" w:hAnsi="Times New Roman" w:eastAsia="宋体"/>
          <w:b w:val="0"/>
          <w:sz w:val="24"/>
        </w:rPr>
        <w:t>从年度CCI的波动特征来看，2011-2025年间CCI在45-55之间波动，标准差约为3.2，变异系数约为6%，属于低变异水平。这一结果与桂林气候的稳定性特征一致：桂林地处中亚热带，四季分明但温差较小，气候舒适度的年际波动不大。值得注意的是，2020年和2022年CCI略有下降，可能与疫情期间游客活动减少、城市热岛效应减弱有关，但这一影响并不改变整体趋势判断。</w:t>
      </w:r>
    </w:p>
    <w:p>
      <w:pPr>
        <w:spacing w:lineRule="exact" w:line="400" w:before="200" w:after="120"/>
        <w:jc w:val="center"/>
      </w:pPr>
      <w:r>
        <w:t>[图片: 7_年度CCI趋势.html]</w:t>
      </w:r>
    </w:p>
    <w:p>
      <w:pPr>
        <w:spacing w:lineRule="exact" w:line="400" w:before="40" w:after="200"/>
        <w:jc w:val="center"/>
      </w:pPr>
      <w:r>
        <w:rPr>
          <w:rFonts w:ascii="Times New Roman" w:hAnsi="Times New Roman" w:eastAsia="宋体"/>
          <w:b/>
          <w:sz w:val="21"/>
        </w:rPr>
        <w:t>图2 2011-2025年桂林CCI年度变化趋势</w:t>
      </w:r>
    </w:p>
    <w:p>
      <w:pPr>
        <w:spacing w:lineRule="exact" w:line="400" w:before="200" w:after="120"/>
      </w:pPr>
      <w:r>
        <w:rPr>
          <w:rFonts w:ascii="Times New Roman" w:hAnsi="Times New Roman" w:eastAsia="黑体"/>
          <w:b/>
          <w:sz w:val="24"/>
        </w:rPr>
        <w:t>5.2.3 线性倾向估计与滑动平均分析</w:t>
      </w:r>
    </w:p>
    <w:p>
      <w:pPr>
        <w:spacing w:lineRule="exact" w:line="400" w:before="200" w:after="200"/>
        <w:ind w:firstLine="420"/>
        <w:jc w:val="both"/>
      </w:pPr>
      <w:r>
        <w:rPr>
          <w:rFonts w:ascii="Times New Roman" w:hAnsi="Times New Roman" w:eastAsia="宋体"/>
          <w:b w:val="0"/>
          <w:sz w:val="24"/>
        </w:rPr>
        <w:t>为进一步验证CCI的变化趋势，借鉴荣培君等[15]的线性倾向估计方法，对年度CCI序列建立一元线性回归方程：</w:t>
      </w:r>
    </w:p>
    <w:p>
      <w:pPr>
        <w:spacing w:lineRule="exact" w:line="400" w:before="200" w:after="200"/>
        <w:jc w:val="center"/>
      </w:pPr>
      <w:r>
        <w:rPr>
          <w:rFonts w:ascii="Times New Roman" w:hAnsi="Times New Roman" w:eastAsia="宋体"/>
          <w:b w:val="0"/>
          <w:sz w:val="22"/>
        </w:rPr>
        <w:t>CCIₙi = a + b cdot tₙi, quad i = 1, 2, ldots, n</w:t>
      </w:r>
      <w:r>
        <w:rPr>
          <w:rFonts w:ascii="Times New Roman" w:hAnsi="Times New Roman" w:eastAsia="宋体"/>
          <w:b w:val="0"/>
          <w:sz w:val="22"/>
        </w:rPr>
        <w:t xml:space="preserve">    (15)</w:t>
      </w:r>
    </w:p>
    <w:p>
      <w:pPr>
        <w:spacing w:lineRule="exact" w:line="400" w:before="200" w:after="200"/>
        <w:ind w:firstLine="420"/>
        <w:jc w:val="both"/>
      </w:pPr>
      <w:r>
        <w:rPr>
          <w:rFonts w:ascii="Times New Roman" w:hAnsi="Times New Roman" w:eastAsia="宋体"/>
          <w:b w:val="0"/>
          <w:sz w:val="24"/>
        </w:rPr>
        <w:t>式中，$t_i$为年份序号（2011年为1），$b$为线性倾向率，$b &lt; 0$表示CCI呈下降趋势。为剔除年际波动噪声的影响，同时采用3年、5年、7年和9年滑动平均对原始序列进行平滑处理，参考荣培君等[15]以9年滑动平均的结果为主进行讨论。</w:t>
      </w:r>
    </w:p>
    <w:p>
      <w:pPr>
        <w:spacing w:lineRule="exact" w:line="400" w:before="200" w:after="200"/>
      </w:pPr>
      <w:r>
        <w:rPr>
          <w:rFonts w:ascii="Times New Roman" w:hAnsi="Times New Roman" w:eastAsia="宋体"/>
          <w:b/>
          <w:sz w:val="24"/>
        </w:rPr>
        <w:t>滑动平均后的线性倾向率：</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rFonts w:ascii="Times New Roman" w:hAnsi="Times New Roman" w:eastAsia="宋体"/>
                <w:b/>
                <w:sz w:val="21"/>
              </w:rPr>
              <w:t>滑动窗口</w:t>
            </w:r>
          </w:p>
        </w:tc>
        <w:tc>
          <w:tcPr>
            <w:tcW w:type="dxa" w:w="1727"/>
          </w:tcPr>
          <w:p>
            <w:r>
              <w:rPr>
                <w:rFonts w:ascii="Times New Roman" w:hAnsi="Times New Roman" w:eastAsia="宋体"/>
                <w:b/>
                <w:sz w:val="21"/>
              </w:rPr>
              <w:t>倾向率b（/年）</w:t>
            </w:r>
          </w:p>
        </w:tc>
        <w:tc>
          <w:tcPr>
            <w:tcW w:type="dxa" w:w="1727"/>
          </w:tcPr>
          <w:p>
            <w:r>
              <w:rPr>
                <w:rFonts w:ascii="Times New Roman" w:hAnsi="Times New Roman" w:eastAsia="宋体"/>
                <w:b/>
                <w:sz w:val="21"/>
              </w:rPr>
              <w:t>倾向率（/10年）</w:t>
            </w:r>
          </w:p>
        </w:tc>
        <w:tc>
          <w:tcPr>
            <w:tcW w:type="dxa" w:w="1727"/>
          </w:tcPr>
          <w:p>
            <w:r>
              <w:rPr>
                <w:rFonts w:ascii="Times New Roman" w:hAnsi="Times New Roman" w:eastAsia="宋体"/>
                <w:b/>
                <w:sz w:val="21"/>
              </w:rPr>
              <w:t>R²</w:t>
            </w:r>
          </w:p>
        </w:tc>
        <w:tc>
          <w:tcPr>
            <w:tcW w:type="dxa" w:w="1727"/>
          </w:tcPr>
          <w:p>
            <w:r>
              <w:rPr>
                <w:rFonts w:ascii="Times New Roman" w:hAnsi="Times New Roman" w:eastAsia="宋体"/>
                <w:b/>
                <w:sz w:val="21"/>
              </w:rPr>
              <w:t>p值</w:t>
            </w:r>
          </w:p>
        </w:tc>
      </w:tr>
      <w:tr>
        <w:tc>
          <w:tcPr>
            <w:tcW w:type="dxa" w:w="1727"/>
          </w:tcPr>
          <w:p>
            <w:r>
              <w:rPr>
                <w:rFonts w:ascii="Times New Roman" w:hAnsi="Times New Roman" w:eastAsia="宋体"/>
                <w:b w:val="0"/>
                <w:sz w:val="21"/>
              </w:rPr>
              <w:t>原始序列</w:t>
            </w:r>
          </w:p>
        </w:tc>
        <w:tc>
          <w:tcPr>
            <w:tcW w:type="dxa" w:w="1727"/>
          </w:tcPr>
          <w:p>
            <w:r>
              <w:rPr>
                <w:rFonts w:ascii="Times New Roman" w:hAnsi="Times New Roman" w:eastAsia="宋体"/>
                <w:b w:val="0"/>
                <w:sz w:val="21"/>
              </w:rPr>
              <w:t>-0.0295</w:t>
            </w:r>
          </w:p>
        </w:tc>
        <w:tc>
          <w:tcPr>
            <w:tcW w:type="dxa" w:w="1727"/>
          </w:tcPr>
          <w:p>
            <w:r>
              <w:rPr>
                <w:rFonts w:ascii="Times New Roman" w:hAnsi="Times New Roman" w:eastAsia="宋体"/>
                <w:b w:val="0"/>
                <w:sz w:val="21"/>
              </w:rPr>
              <w:t>-0.30</w:t>
            </w:r>
          </w:p>
        </w:tc>
        <w:tc>
          <w:tcPr>
            <w:tcW w:type="dxa" w:w="1727"/>
          </w:tcPr>
          <w:p>
            <w:r>
              <w:rPr>
                <w:rFonts w:ascii="Times New Roman" w:hAnsi="Times New Roman" w:eastAsia="宋体"/>
                <w:b w:val="0"/>
                <w:sz w:val="21"/>
              </w:rPr>
              <w:t>0.005</w:t>
            </w:r>
          </w:p>
        </w:tc>
        <w:tc>
          <w:tcPr>
            <w:tcW w:type="dxa" w:w="1727"/>
          </w:tcPr>
          <w:p>
            <w:r>
              <w:rPr>
                <w:rFonts w:ascii="Times New Roman" w:hAnsi="Times New Roman" w:eastAsia="宋体"/>
                <w:b w:val="0"/>
                <w:sz w:val="21"/>
              </w:rPr>
              <w:t>0.802</w:t>
            </w:r>
          </w:p>
        </w:tc>
      </w:tr>
      <w:tr>
        <w:tc>
          <w:tcPr>
            <w:tcW w:type="dxa" w:w="1727"/>
          </w:tcPr>
          <w:p>
            <w:r>
              <w:rPr>
                <w:rFonts w:ascii="Times New Roman" w:hAnsi="Times New Roman" w:eastAsia="宋体"/>
                <w:b w:val="0"/>
                <w:sz w:val="21"/>
              </w:rPr>
              <w:t>3年滑动</w:t>
            </w:r>
          </w:p>
        </w:tc>
        <w:tc>
          <w:tcPr>
            <w:tcW w:type="dxa" w:w="1727"/>
          </w:tcPr>
          <w:p>
            <w:r>
              <w:rPr>
                <w:rFonts w:ascii="Times New Roman" w:hAnsi="Times New Roman" w:eastAsia="宋体"/>
                <w:b w:val="0"/>
                <w:sz w:val="21"/>
              </w:rPr>
              <w:t>-0.1278</w:t>
            </w:r>
          </w:p>
        </w:tc>
        <w:tc>
          <w:tcPr>
            <w:tcW w:type="dxa" w:w="1727"/>
          </w:tcPr>
          <w:p>
            <w:r>
              <w:rPr>
                <w:rFonts w:ascii="Times New Roman" w:hAnsi="Times New Roman" w:eastAsia="宋体"/>
                <w:b w:val="0"/>
                <w:sz w:val="21"/>
              </w:rPr>
              <w:t>-1.28</w:t>
            </w:r>
          </w:p>
        </w:tc>
        <w:tc>
          <w:tcPr>
            <w:tcW w:type="dxa" w:w="1727"/>
          </w:tcPr>
          <w:p>
            <w:r>
              <w:rPr>
                <w:rFonts w:ascii="Times New Roman" w:hAnsi="Times New Roman" w:eastAsia="宋体"/>
                <w:b w:val="0"/>
                <w:sz w:val="21"/>
              </w:rPr>
              <w:t>0.151</w:t>
            </w:r>
          </w:p>
        </w:tc>
        <w:tc>
          <w:tcPr>
            <w:tcW w:type="dxa" w:w="1727"/>
          </w:tcPr>
          <w:p>
            <w:r>
              <w:rPr>
                <w:rFonts w:ascii="Times New Roman" w:hAnsi="Times New Roman" w:eastAsia="宋体"/>
                <w:b w:val="0"/>
                <w:sz w:val="21"/>
              </w:rPr>
              <w:t>0.189</w:t>
            </w:r>
          </w:p>
        </w:tc>
      </w:tr>
      <w:tr>
        <w:tc>
          <w:tcPr>
            <w:tcW w:type="dxa" w:w="1727"/>
          </w:tcPr>
          <w:p>
            <w:r>
              <w:rPr>
                <w:rFonts w:ascii="Times New Roman" w:hAnsi="Times New Roman" w:eastAsia="宋体"/>
                <w:b w:val="0"/>
                <w:sz w:val="21"/>
              </w:rPr>
              <w:t>5年滑动</w:t>
            </w:r>
          </w:p>
        </w:tc>
        <w:tc>
          <w:tcPr>
            <w:tcW w:type="dxa" w:w="1727"/>
          </w:tcPr>
          <w:p>
            <w:r>
              <w:rPr>
                <w:rFonts w:ascii="Times New Roman" w:hAnsi="Times New Roman" w:eastAsia="宋体"/>
                <w:b w:val="0"/>
                <w:sz w:val="21"/>
              </w:rPr>
              <w:t>-0.2386</w:t>
            </w:r>
          </w:p>
        </w:tc>
        <w:tc>
          <w:tcPr>
            <w:tcW w:type="dxa" w:w="1727"/>
          </w:tcPr>
          <w:p>
            <w:r>
              <w:rPr>
                <w:rFonts w:ascii="Times New Roman" w:hAnsi="Times New Roman" w:eastAsia="宋体"/>
                <w:b w:val="0"/>
                <w:sz w:val="21"/>
              </w:rPr>
              <w:t>-2.39</w:t>
            </w:r>
          </w:p>
        </w:tc>
        <w:tc>
          <w:tcPr>
            <w:tcW w:type="dxa" w:w="1727"/>
          </w:tcPr>
          <w:p>
            <w:r>
              <w:rPr>
                <w:rFonts w:ascii="Times New Roman" w:hAnsi="Times New Roman" w:eastAsia="宋体"/>
                <w:b w:val="0"/>
                <w:sz w:val="21"/>
              </w:rPr>
              <w:t>0.630</w:t>
            </w:r>
          </w:p>
        </w:tc>
        <w:tc>
          <w:tcPr>
            <w:tcW w:type="dxa" w:w="1727"/>
          </w:tcPr>
          <w:p>
            <w:r>
              <w:rPr>
                <w:rFonts w:ascii="Times New Roman" w:hAnsi="Times New Roman" w:eastAsia="宋体"/>
                <w:b w:val="0"/>
                <w:sz w:val="21"/>
              </w:rPr>
              <w:t>0.004</w:t>
            </w:r>
          </w:p>
        </w:tc>
      </w:tr>
      <w:tr>
        <w:tc>
          <w:tcPr>
            <w:tcW w:type="dxa" w:w="1727"/>
          </w:tcPr>
          <w:p>
            <w:r>
              <w:rPr>
                <w:rFonts w:ascii="Times New Roman" w:hAnsi="Times New Roman" w:eastAsia="宋体"/>
                <w:b w:val="0"/>
                <w:sz w:val="21"/>
              </w:rPr>
              <w:t>7年滑动</w:t>
            </w:r>
          </w:p>
        </w:tc>
        <w:tc>
          <w:tcPr>
            <w:tcW w:type="dxa" w:w="1727"/>
          </w:tcPr>
          <w:p>
            <w:r>
              <w:rPr>
                <w:rFonts w:ascii="Times New Roman" w:hAnsi="Times New Roman" w:eastAsia="宋体"/>
                <w:b w:val="0"/>
                <w:sz w:val="21"/>
              </w:rPr>
              <w:t>-0.2274</w:t>
            </w:r>
          </w:p>
        </w:tc>
        <w:tc>
          <w:tcPr>
            <w:tcW w:type="dxa" w:w="1727"/>
          </w:tcPr>
          <w:p>
            <w:r>
              <w:rPr>
                <w:rFonts w:ascii="Times New Roman" w:hAnsi="Times New Roman" w:eastAsia="宋体"/>
                <w:b w:val="0"/>
                <w:sz w:val="21"/>
              </w:rPr>
              <w:t>-2.27</w:t>
            </w:r>
          </w:p>
        </w:tc>
        <w:tc>
          <w:tcPr>
            <w:tcW w:type="dxa" w:w="1727"/>
          </w:tcPr>
          <w:p>
            <w:r>
              <w:rPr>
                <w:rFonts w:ascii="Times New Roman" w:hAnsi="Times New Roman" w:eastAsia="宋体"/>
                <w:b w:val="0"/>
                <w:sz w:val="21"/>
              </w:rPr>
              <w:t>0.781</w:t>
            </w:r>
          </w:p>
        </w:tc>
        <w:tc>
          <w:tcPr>
            <w:tcW w:type="dxa" w:w="1727"/>
          </w:tcPr>
          <w:p>
            <w:r>
              <w:rPr>
                <w:rFonts w:ascii="Times New Roman" w:hAnsi="Times New Roman" w:eastAsia="宋体"/>
                <w:b w:val="0"/>
                <w:sz w:val="21"/>
              </w:rPr>
              <w:t>0.002</w:t>
            </w:r>
          </w:p>
        </w:tc>
      </w:tr>
      <w:tr>
        <w:tc>
          <w:tcPr>
            <w:tcW w:type="dxa" w:w="1727"/>
          </w:tcPr>
          <w:p>
            <w:r>
              <w:rPr>
                <w:rFonts w:ascii="Times New Roman" w:hAnsi="Times New Roman" w:eastAsia="宋体"/>
                <w:b w:val="0"/>
                <w:sz w:val="21"/>
              </w:rPr>
              <w:t>9年滑动</w:t>
            </w:r>
          </w:p>
        </w:tc>
        <w:tc>
          <w:tcPr>
            <w:tcW w:type="dxa" w:w="1727"/>
          </w:tcPr>
          <w:p>
            <w:r>
              <w:rPr>
                <w:rFonts w:ascii="Times New Roman" w:hAnsi="Times New Roman" w:eastAsia="宋体"/>
                <w:b w:val="0"/>
                <w:sz w:val="21"/>
              </w:rPr>
              <w:t>-0.1384</w:t>
            </w:r>
          </w:p>
        </w:tc>
        <w:tc>
          <w:tcPr>
            <w:tcW w:type="dxa" w:w="1727"/>
          </w:tcPr>
          <w:p>
            <w:r>
              <w:rPr>
                <w:rFonts w:ascii="Times New Roman" w:hAnsi="Times New Roman" w:eastAsia="宋体"/>
                <w:b w:val="0"/>
                <w:sz w:val="21"/>
              </w:rPr>
              <w:t>-1.38</w:t>
            </w:r>
          </w:p>
        </w:tc>
        <w:tc>
          <w:tcPr>
            <w:tcW w:type="dxa" w:w="1727"/>
          </w:tcPr>
          <w:p>
            <w:r>
              <w:rPr>
                <w:rFonts w:ascii="Times New Roman" w:hAnsi="Times New Roman" w:eastAsia="宋体"/>
                <w:b w:val="0"/>
                <w:sz w:val="21"/>
              </w:rPr>
              <w:t>0.897</w:t>
            </w:r>
          </w:p>
        </w:tc>
        <w:tc>
          <w:tcPr>
            <w:tcW w:type="dxa" w:w="1727"/>
          </w:tcPr>
          <w:p>
            <w:r>
              <w:rPr>
                <w:rFonts w:ascii="Times New Roman" w:hAnsi="Times New Roman" w:eastAsia="宋体"/>
                <w:b w:val="0"/>
                <w:sz w:val="21"/>
              </w:rPr>
              <w:t>0.001</w:t>
            </w:r>
          </w:p>
        </w:tc>
      </w:tr>
    </w:tbl>
    <w:p>
      <w:pPr>
        <w:spacing w:lineRule="exact" w:line="400" w:before="200" w:after="200"/>
        <w:ind w:firstLine="420"/>
        <w:jc w:val="both"/>
      </w:pPr>
      <w:r>
        <w:rPr>
          <w:rFonts w:ascii="Times New Roman" w:hAnsi="Times New Roman" w:eastAsia="宋体"/>
          <w:b/>
          <w:sz w:val="24"/>
        </w:rPr>
        <w:t>结果分析：</w:t>
      </w:r>
      <w:r>
        <w:rPr>
          <w:rFonts w:ascii="Times New Roman" w:hAnsi="Times New Roman" w:eastAsia="宋体"/>
          <w:b w:val="0"/>
          <w:sz w:val="24"/>
        </w:rPr>
        <w:t xml:space="preserve"> 原始序列的线性倾向率$b = -0.0295/年$（即每10年下降0.30），与Mann-Kendall检验的Sen's斜率（-0.0402/年）方向和量级一致，但线性回归的$R^2 = 0.005$极低，进一步确认了趋势的不显著性。值得注意的是，经滑动平均处理后，序列的决定系数$R^2$显著提高（9年滑动平均的$R^2 = 0.897$），CCI的下降趋势在平滑后变得更为明显（倾向率约-1~-2/10年），但与荣培君等[15]报道的中国大多数区域CCI倾向率-1/10年相当，属于正常的气候波动范围。</w:t>
      </w:r>
    </w:p>
    <w:p>
      <w:pPr>
        <w:spacing w:lineRule="exact" w:line="400" w:before="200" w:after="200"/>
        <w:ind w:firstLine="420"/>
        <w:jc w:val="both"/>
      </w:pPr>
      <w:r>
        <w:rPr>
          <w:rFonts w:ascii="Times New Roman" w:hAnsi="Times New Roman" w:eastAsia="宋体"/>
          <w:b w:val="0"/>
          <w:sz w:val="24"/>
        </w:rPr>
        <w:t>与MK检验的对比表明：两种方法结论一致——桂林CCI呈微弱下降趋势，但原始序列的统计不显著性说明这一变化尚不足以构成确定性的长期趋势。</w:t>
      </w:r>
    </w:p>
    <w:p>
      <w:pPr>
        <w:spacing w:lineRule="exact" w:line="400" w:before="200" w:after="120"/>
        <w:jc w:val="center"/>
      </w:pPr>
      <w:r>
        <w:t>[图片: 11_线性倾向估计.html]</w:t>
      </w:r>
    </w:p>
    <w:p>
      <w:pPr>
        <w:spacing w:lineRule="exact" w:line="400" w:before="40" w:after="200"/>
        <w:jc w:val="center"/>
      </w:pPr>
      <w:r>
        <w:rPr>
          <w:rFonts w:ascii="Times New Roman" w:hAnsi="Times New Roman" w:eastAsia="宋体"/>
          <w:b/>
          <w:sz w:val="21"/>
        </w:rPr>
        <w:t>图3 CCI线性倾向估计与9年滑动平均（荣培君方法）</w:t>
      </w:r>
    </w:p>
    <w:p>
      <w:pPr>
        <w:spacing w:lineRule="exact" w:line="400" w:before="200" w:after="120"/>
      </w:pPr>
      <w:r>
        <w:rPr>
          <w:rFonts w:ascii="Times New Roman" w:hAnsi="Times New Roman" w:eastAsia="黑体"/>
          <w:b/>
          <w:sz w:val="24"/>
        </w:rPr>
        <w:t>5.2.4 SI气候舒适度指数对比验证</w:t>
      </w:r>
    </w:p>
    <w:p>
      <w:pPr>
        <w:spacing w:lineRule="exact" w:line="400" w:before="200" w:after="200"/>
        <w:ind w:firstLine="420"/>
        <w:jc w:val="both"/>
      </w:pPr>
      <w:r>
        <w:rPr>
          <w:rFonts w:ascii="Times New Roman" w:hAnsi="Times New Roman" w:eastAsia="宋体"/>
          <w:b w:val="0"/>
          <w:sz w:val="24"/>
        </w:rPr>
        <w:t>为验证CCI模型的可靠性，借鉴荣培君等[15]提出的SI人体综合舒适度指数进行交叉验证。SI指数的原始公式为：</w:t>
      </w:r>
    </w:p>
    <w:p>
      <w:pPr>
        <w:spacing w:lineRule="exact" w:line="400" w:before="200" w:after="200"/>
        <w:jc w:val="center"/>
      </w:pPr>
      <w:r>
        <w:rPr>
          <w:rFonts w:ascii="Times New Roman" w:hAnsi="Times New Roman" w:eastAsia="宋体"/>
          <w:b w:val="0"/>
          <w:sz w:val="22"/>
        </w:rPr>
        <w:t>SI = 0.68 times |Tₙm - 24.0| + 0.07 times |Hₙu - 70| + 0.5 times |V - 2.0|</w:t>
      </w:r>
      <w:r>
        <w:rPr>
          <w:rFonts w:ascii="Times New Roman" w:hAnsi="Times New Roman" w:eastAsia="宋体"/>
          <w:b w:val="0"/>
          <w:sz w:val="22"/>
        </w:rPr>
        <w:t xml:space="preserve">    (16)</w:t>
      </w:r>
    </w:p>
    <w:p>
      <w:pPr>
        <w:spacing w:lineRule="exact" w:line="400" w:before="200" w:after="200"/>
        <w:ind w:firstLine="420"/>
        <w:jc w:val="both"/>
      </w:pPr>
      <w:r>
        <w:rPr>
          <w:rFonts w:ascii="Times New Roman" w:hAnsi="Times New Roman" w:eastAsia="宋体"/>
          <w:b w:val="0"/>
          <w:sz w:val="24"/>
        </w:rPr>
        <w:t>其中$T_m$为平均气温（°C），$H_u$为相对湿度（%），$V$为风速（m/s），24°C、70%湿度和2m/s风速为人体最舒适的小气候条件。SI值越大，表明气候越不舒适。</w:t>
      </w:r>
    </w:p>
    <w:p>
      <w:pPr>
        <w:spacing w:lineRule="exact" w:line="400" w:before="200" w:after="200"/>
        <w:ind w:firstLine="420"/>
        <w:jc w:val="both"/>
      </w:pPr>
      <w:r>
        <w:rPr>
          <w:rFonts w:ascii="Times New Roman" w:hAnsi="Times New Roman" w:eastAsia="宋体"/>
          <w:b w:val="0"/>
          <w:sz w:val="24"/>
        </w:rPr>
        <w:t>由于桂林气象数据中缺乏相对湿度数据，本研究采用简化公式（仅保留温度和风速项），并将风力描述（微风、1-2级等）映射为近似风速值：</w:t>
      </w:r>
    </w:p>
    <w:p>
      <w:pPr>
        <w:spacing w:lineRule="exact" w:line="400" w:before="200" w:after="200"/>
        <w:jc w:val="center"/>
      </w:pPr>
      <w:r>
        <w:rPr>
          <w:rFonts w:ascii="Times New Roman" w:hAnsi="Times New Roman" w:eastAsia="宋体"/>
          <w:b w:val="0"/>
          <w:sz w:val="22"/>
        </w:rPr>
        <w:t>SIₙ(简化) = 0.68 times |Tₙ(avg) - 24.0| + 0.5 times |Vₙ(approx) - 2.0|</w:t>
      </w:r>
      <w:r>
        <w:rPr>
          <w:rFonts w:ascii="Times New Roman" w:hAnsi="Times New Roman" w:eastAsia="宋体"/>
          <w:b w:val="0"/>
          <w:sz w:val="22"/>
        </w:rPr>
        <w:t xml:space="preserve">    (17)</w:t>
      </w:r>
    </w:p>
    <w:p>
      <w:pPr>
        <w:spacing w:lineRule="exact" w:line="400" w:before="200" w:after="200"/>
        <w:ind w:firstLine="420"/>
        <w:jc w:val="both"/>
      </w:pPr>
      <w:r>
        <w:rPr>
          <w:rFonts w:ascii="Times New Roman" w:hAnsi="Times New Roman" w:eastAsia="宋体"/>
          <w:b w:val="0"/>
          <w:sz w:val="24"/>
        </w:rPr>
        <w:t>为便于与CCI对比，将SI转换为正向指标$SI_{score} = 100 - SI/SI_{max} \times 100$（值越大越舒适）。</w:t>
      </w:r>
    </w:p>
    <w:p>
      <w:pPr>
        <w:spacing w:lineRule="exact" w:line="400" w:before="200" w:after="200"/>
      </w:pPr>
      <w:r>
        <w:rPr>
          <w:rFonts w:ascii="Times New Roman" w:hAnsi="Times New Roman" w:eastAsia="宋体"/>
          <w:b/>
          <w:sz w:val="24"/>
        </w:rPr>
        <w:t>验证结果：</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r>
              <w:rPr>
                <w:rFonts w:ascii="Times New Roman" w:hAnsi="Times New Roman" w:eastAsia="宋体"/>
                <w:b/>
                <w:sz w:val="21"/>
              </w:rPr>
              <w:t>指标</w:t>
            </w:r>
          </w:p>
        </w:tc>
        <w:tc>
          <w:tcPr>
            <w:tcW w:type="dxa" w:w="2878"/>
          </w:tcPr>
          <w:p>
            <w:r>
              <w:rPr>
                <w:rFonts w:ascii="Times New Roman" w:hAnsi="Times New Roman" w:eastAsia="宋体"/>
                <w:b/>
                <w:sz w:val="21"/>
              </w:rPr>
              <w:t>CCI（熵权TOPSIS）</w:t>
            </w:r>
          </w:p>
        </w:tc>
        <w:tc>
          <w:tcPr>
            <w:tcW w:type="dxa" w:w="2878"/>
          </w:tcPr>
          <w:p>
            <w:r>
              <w:rPr>
                <w:rFonts w:ascii="Times New Roman" w:hAnsi="Times New Roman" w:eastAsia="宋体"/>
                <w:b/>
                <w:sz w:val="21"/>
              </w:rPr>
              <w:t>SI_score（荣培君公式）</w:t>
            </w:r>
          </w:p>
        </w:tc>
      </w:tr>
      <w:tr>
        <w:tc>
          <w:tcPr>
            <w:tcW w:type="dxa" w:w="2878"/>
          </w:tcPr>
          <w:p>
            <w:r>
              <w:rPr>
                <w:rFonts w:ascii="Times New Roman" w:hAnsi="Times New Roman" w:eastAsia="宋体"/>
                <w:b w:val="0"/>
                <w:sz w:val="21"/>
              </w:rPr>
              <w:t>均值</w:t>
            </w:r>
          </w:p>
        </w:tc>
        <w:tc>
          <w:tcPr>
            <w:tcW w:type="dxa" w:w="2878"/>
          </w:tcPr>
          <w:p>
            <w:r>
              <w:rPr>
                <w:rFonts w:ascii="Times New Roman" w:hAnsi="Times New Roman" w:eastAsia="宋体"/>
                <w:b w:val="0"/>
                <w:sz w:val="21"/>
              </w:rPr>
              <w:t>52.63</w:t>
            </w:r>
          </w:p>
        </w:tc>
        <w:tc>
          <w:tcPr>
            <w:tcW w:type="dxa" w:w="2878"/>
          </w:tcPr>
          <w:p>
            <w:r>
              <w:rPr>
                <w:rFonts w:ascii="Times New Roman" w:hAnsi="Times New Roman" w:eastAsia="宋体"/>
                <w:b w:val="0"/>
                <w:sz w:val="21"/>
              </w:rPr>
              <w:t>70.59</w:t>
            </w:r>
          </w:p>
        </w:tc>
      </w:tr>
      <w:tr>
        <w:tc>
          <w:tcPr>
            <w:tcW w:type="dxa" w:w="2878"/>
          </w:tcPr>
          <w:p>
            <w:r>
              <w:rPr>
                <w:rFonts w:ascii="Times New Roman" w:hAnsi="Times New Roman" w:eastAsia="宋体"/>
                <w:b w:val="0"/>
                <w:sz w:val="21"/>
              </w:rPr>
              <w:t>范围</w:t>
            </w:r>
          </w:p>
        </w:tc>
        <w:tc>
          <w:tcPr>
            <w:tcW w:type="dxa" w:w="2878"/>
          </w:tcPr>
          <w:p>
            <w:r>
              <w:rPr>
                <w:rFonts w:ascii="Times New Roman" w:hAnsi="Times New Roman" w:eastAsia="宋体"/>
                <w:b w:val="0"/>
                <w:sz w:val="21"/>
              </w:rPr>
              <w:t>8.29 ~ 100.00</w:t>
            </w:r>
          </w:p>
        </w:tc>
        <w:tc>
          <w:tcPr>
            <w:tcW w:type="dxa" w:w="2878"/>
          </w:tcPr>
          <w:p>
            <w:r>
              <w:rPr>
                <w:rFonts w:ascii="Times New Roman" w:hAnsi="Times New Roman" w:eastAsia="宋体"/>
                <w:b w:val="0"/>
                <w:sz w:val="21"/>
              </w:rPr>
              <w:t>—</w:t>
            </w:r>
          </w:p>
        </w:tc>
      </w:tr>
      <w:tr>
        <w:tc>
          <w:tcPr>
            <w:tcW w:type="dxa" w:w="2878"/>
          </w:tcPr>
          <w:p>
            <w:r>
              <w:rPr>
                <w:rFonts w:ascii="Times New Roman" w:hAnsi="Times New Roman" w:eastAsia="宋体"/>
                <w:b w:val="0"/>
                <w:sz w:val="21"/>
              </w:rPr>
              <w:t>最舒适等级天数</w:t>
            </w:r>
          </w:p>
        </w:tc>
        <w:tc>
          <w:tcPr>
            <w:tcW w:type="dxa" w:w="2878"/>
          </w:tcPr>
          <w:p>
            <w:r>
              <w:rPr>
                <w:rFonts w:ascii="Times New Roman" w:hAnsi="Times New Roman" w:eastAsia="宋体"/>
                <w:b w:val="0"/>
                <w:sz w:val="21"/>
              </w:rPr>
              <w:t>548天（10%）</w:t>
            </w:r>
          </w:p>
        </w:tc>
        <w:tc>
          <w:tcPr>
            <w:tcW w:type="dxa" w:w="2878"/>
          </w:tcPr>
          <w:p>
            <w:r>
              <w:rPr>
                <w:rFonts w:ascii="Times New Roman" w:hAnsi="Times New Roman" w:eastAsia="宋体"/>
                <w:b w:val="0"/>
                <w:sz w:val="21"/>
              </w:rPr>
              <w:t>728天（13.3%）</w:t>
            </w:r>
          </w:p>
        </w:tc>
      </w:tr>
      <w:tr>
        <w:tc>
          <w:tcPr>
            <w:tcW w:type="dxa" w:w="2878"/>
          </w:tcPr>
          <w:p>
            <w:r>
              <w:rPr>
                <w:rFonts w:ascii="Times New Roman" w:hAnsi="Times New Roman" w:eastAsia="宋体"/>
                <w:b w:val="0"/>
                <w:sz w:val="21"/>
              </w:rPr>
              <w:t>最不舒适等级天数</w:t>
            </w:r>
          </w:p>
        </w:tc>
        <w:tc>
          <w:tcPr>
            <w:tcW w:type="dxa" w:w="2878"/>
          </w:tcPr>
          <w:p>
            <w:r>
              <w:rPr>
                <w:rFonts w:ascii="Times New Roman" w:hAnsi="Times New Roman" w:eastAsia="宋体"/>
                <w:b w:val="0"/>
                <w:sz w:val="21"/>
              </w:rPr>
              <w:t>540天（10%）</w:t>
            </w:r>
          </w:p>
        </w:tc>
        <w:tc>
          <w:tcPr>
            <w:tcW w:type="dxa" w:w="2878"/>
          </w:tcPr>
          <w:p>
            <w:r>
              <w:rPr>
                <w:rFonts w:ascii="Times New Roman" w:hAnsi="Times New Roman" w:eastAsia="宋体"/>
                <w:b w:val="0"/>
                <w:sz w:val="21"/>
              </w:rPr>
              <w:t>544天（10.0%）</w:t>
            </w:r>
          </w:p>
        </w:tc>
      </w:tr>
    </w:tbl>
    <w:p>
      <w:pPr>
        <w:spacing w:lineRule="exact" w:line="400" w:before="200" w:after="200"/>
        <w:ind w:firstLine="420"/>
        <w:jc w:val="both"/>
      </w:pPr>
      <w:r>
        <w:rPr>
          <w:rFonts w:ascii="Times New Roman" w:hAnsi="Times New Roman" w:eastAsia="宋体"/>
          <w:b w:val="0"/>
          <w:sz w:val="24"/>
        </w:rPr>
        <w:t>年度CCI均值与年度SI_score均值的Pearson相关系数$r = 0.7793$，表明两种指数对气候舒适度的评价</w:t>
      </w:r>
      <w:r>
        <w:rPr>
          <w:rFonts w:ascii="Times New Roman" w:hAnsi="Times New Roman" w:eastAsia="宋体"/>
          <w:b/>
          <w:sz w:val="24"/>
        </w:rPr>
        <w:t>高度一致</w:t>
      </w:r>
      <w:r>
        <w:rPr>
          <w:rFonts w:ascii="Times New Roman" w:hAnsi="Times New Roman" w:eastAsia="宋体"/>
          <w:b w:val="0"/>
          <w:sz w:val="24"/>
        </w:rPr>
        <w:t>。这一结果为CCI模型的合理性提供了有力支撑：尽管两种方法的构建思路完全不同（熵权TOPSIS vs. 加权绝对值偏差），但对桂林气候舒适度的评价结论高度吻合。同时，两种指数的互补性也增强了研究的稳健性——CCI更侧重游客体感的综合舒适度，SI更侧重偏离"最佳舒适状态"的程度。</w:t>
      </w:r>
    </w:p>
    <w:p>
      <w:pPr>
        <w:spacing w:lineRule="exact" w:line="400" w:before="200" w:after="120"/>
        <w:jc w:val="center"/>
      </w:pPr>
      <w:r>
        <w:t>[图片: 12_SI与CCI对比.html]</w:t>
      </w:r>
    </w:p>
    <w:p>
      <w:pPr>
        <w:spacing w:lineRule="exact" w:line="400" w:before="40" w:after="200"/>
        <w:jc w:val="center"/>
      </w:pPr>
      <w:r>
        <w:rPr>
          <w:rFonts w:ascii="Times New Roman" w:hAnsi="Times New Roman" w:eastAsia="宋体"/>
          <w:b/>
          <w:sz w:val="21"/>
        </w:rPr>
        <w:t>图4 SI指数与CCI年度对比验证</w:t>
      </w:r>
    </w:p>
    <w:p>
      <w:pPr>
        <w:spacing w:lineRule="exact" w:line="400" w:before="240" w:after="120"/>
      </w:pPr>
      <w:r>
        <w:rPr>
          <w:rFonts w:ascii="Times New Roman" w:hAnsi="Times New Roman" w:eastAsia="黑体"/>
          <w:b/>
          <w:sz w:val="24"/>
        </w:rPr>
        <w:t>5.3 问题二模型的建立与求解</w:t>
      </w:r>
    </w:p>
    <w:p>
      <w:pPr>
        <w:spacing w:lineRule="exact" w:line="400" w:before="200" w:after="120"/>
      </w:pPr>
      <w:r>
        <w:rPr>
          <w:rFonts w:ascii="Times New Roman" w:hAnsi="Times New Roman" w:eastAsia="黑体"/>
          <w:b/>
          <w:sz w:val="24"/>
        </w:rPr>
        <w:t>5.3.1 百分位数法等级划分</w:t>
      </w:r>
    </w:p>
    <w:p>
      <w:pPr>
        <w:spacing w:lineRule="exact" w:line="400" w:before="200" w:after="200"/>
        <w:ind w:firstLine="420"/>
        <w:jc w:val="both"/>
      </w:pPr>
      <w:r>
        <w:rPr>
          <w:rFonts w:ascii="Times New Roman" w:hAnsi="Times New Roman" w:eastAsia="宋体"/>
          <w:b w:val="0"/>
          <w:sz w:val="24"/>
        </w:rPr>
        <w:t>采用百分位数法将CCI划分为5个等级：</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r>
              <w:rPr>
                <w:rFonts w:ascii="Times New Roman" w:hAnsi="Times New Roman" w:eastAsia="宋体"/>
                <w:b/>
                <w:sz w:val="21"/>
              </w:rPr>
              <w:t>等级</w:t>
            </w:r>
          </w:p>
        </w:tc>
        <w:tc>
          <w:tcPr>
            <w:tcW w:type="dxa" w:w="2158"/>
          </w:tcPr>
          <w:p>
            <w:r>
              <w:rPr>
                <w:rFonts w:ascii="Times New Roman" w:hAnsi="Times New Roman" w:eastAsia="宋体"/>
                <w:b/>
                <w:sz w:val="21"/>
              </w:rPr>
              <w:t>阈值范围</w:t>
            </w:r>
          </w:p>
        </w:tc>
        <w:tc>
          <w:tcPr>
            <w:tcW w:type="dxa" w:w="2158"/>
          </w:tcPr>
          <w:p>
            <w:r>
              <w:rPr>
                <w:rFonts w:ascii="Times New Roman" w:hAnsi="Times New Roman" w:eastAsia="宋体"/>
                <w:b/>
                <w:sz w:val="21"/>
              </w:rPr>
              <w:t>天数</w:t>
            </w:r>
          </w:p>
        </w:tc>
        <w:tc>
          <w:tcPr>
            <w:tcW w:type="dxa" w:w="2158"/>
          </w:tcPr>
          <w:p>
            <w:r>
              <w:rPr>
                <w:rFonts w:ascii="Times New Roman" w:hAnsi="Times New Roman" w:eastAsia="宋体"/>
                <w:b/>
                <w:sz w:val="21"/>
              </w:rPr>
              <w:t>占比</w:t>
            </w:r>
          </w:p>
        </w:tc>
      </w:tr>
      <w:tr>
        <w:tc>
          <w:tcPr>
            <w:tcW w:type="dxa" w:w="2158"/>
          </w:tcPr>
          <w:p>
            <w:r>
              <w:rPr>
                <w:rFonts w:ascii="Times New Roman" w:hAnsi="Times New Roman" w:eastAsia="宋体"/>
                <w:b w:val="0"/>
                <w:sz w:val="21"/>
              </w:rPr>
              <w:t>1-最舒适</w:t>
            </w:r>
          </w:p>
        </w:tc>
        <w:tc>
          <w:tcPr>
            <w:tcW w:type="dxa" w:w="2158"/>
          </w:tcPr>
          <w:p>
            <w:r>
              <w:rPr>
                <w:rFonts w:ascii="Times New Roman" w:hAnsi="Times New Roman" w:eastAsia="宋体"/>
                <w:b w:val="0"/>
                <w:sz w:val="21"/>
              </w:rPr>
              <w:t>CCI ≥ P90</w:t>
            </w:r>
          </w:p>
        </w:tc>
        <w:tc>
          <w:tcPr>
            <w:tcW w:type="dxa" w:w="2158"/>
          </w:tcPr>
          <w:p>
            <w:r>
              <w:rPr>
                <w:rFonts w:ascii="Times New Roman" w:hAnsi="Times New Roman" w:eastAsia="宋体"/>
                <w:b w:val="0"/>
                <w:sz w:val="21"/>
              </w:rPr>
              <w:t>548</w:t>
            </w:r>
          </w:p>
        </w:tc>
        <w:tc>
          <w:tcPr>
            <w:tcW w:type="dxa" w:w="2158"/>
          </w:tcPr>
          <w:p>
            <w:r>
              <w:rPr>
                <w:rFonts w:ascii="Times New Roman" w:hAnsi="Times New Roman" w:eastAsia="宋体"/>
                <w:b w:val="0"/>
                <w:sz w:val="21"/>
              </w:rPr>
              <w:t>10%</w:t>
            </w:r>
          </w:p>
        </w:tc>
      </w:tr>
      <w:tr>
        <w:tc>
          <w:tcPr>
            <w:tcW w:type="dxa" w:w="2158"/>
          </w:tcPr>
          <w:p>
            <w:r>
              <w:rPr>
                <w:rFonts w:ascii="Times New Roman" w:hAnsi="Times New Roman" w:eastAsia="宋体"/>
                <w:b w:val="0"/>
                <w:sz w:val="21"/>
              </w:rPr>
              <w:t>2-较舒适</w:t>
            </w:r>
          </w:p>
        </w:tc>
        <w:tc>
          <w:tcPr>
            <w:tcW w:type="dxa" w:w="2158"/>
          </w:tcPr>
          <w:p>
            <w:r>
              <w:rPr>
                <w:rFonts w:ascii="Times New Roman" w:hAnsi="Times New Roman" w:eastAsia="宋体"/>
                <w:b w:val="0"/>
                <w:sz w:val="21"/>
              </w:rPr>
              <w:t>P70 ≤ CCI &lt; P90</w:t>
            </w:r>
          </w:p>
        </w:tc>
        <w:tc>
          <w:tcPr>
            <w:tcW w:type="dxa" w:w="2158"/>
          </w:tcPr>
          <w:p>
            <w:r>
              <w:rPr>
                <w:rFonts w:ascii="Times New Roman" w:hAnsi="Times New Roman" w:eastAsia="宋体"/>
                <w:b w:val="0"/>
                <w:sz w:val="21"/>
              </w:rPr>
              <w:t>1093</w:t>
            </w:r>
          </w:p>
        </w:tc>
        <w:tc>
          <w:tcPr>
            <w:tcW w:type="dxa" w:w="2158"/>
          </w:tcPr>
          <w:p>
            <w:r>
              <w:rPr>
                <w:rFonts w:ascii="Times New Roman" w:hAnsi="Times New Roman" w:eastAsia="宋体"/>
                <w:b w:val="0"/>
                <w:sz w:val="21"/>
              </w:rPr>
              <w:t>20%</w:t>
            </w:r>
          </w:p>
        </w:tc>
      </w:tr>
      <w:tr>
        <w:tc>
          <w:tcPr>
            <w:tcW w:type="dxa" w:w="2158"/>
          </w:tcPr>
          <w:p>
            <w:r>
              <w:rPr>
                <w:rFonts w:ascii="Times New Roman" w:hAnsi="Times New Roman" w:eastAsia="宋体"/>
                <w:b w:val="0"/>
                <w:sz w:val="21"/>
              </w:rPr>
              <w:t>3-正常</w:t>
            </w:r>
          </w:p>
        </w:tc>
        <w:tc>
          <w:tcPr>
            <w:tcW w:type="dxa" w:w="2158"/>
          </w:tcPr>
          <w:p>
            <w:r>
              <w:rPr>
                <w:rFonts w:ascii="Times New Roman" w:hAnsi="Times New Roman" w:eastAsia="宋体"/>
                <w:b w:val="0"/>
                <w:sz w:val="21"/>
              </w:rPr>
              <w:t>P30 ≤ CCI &lt; P70</w:t>
            </w:r>
          </w:p>
        </w:tc>
        <w:tc>
          <w:tcPr>
            <w:tcW w:type="dxa" w:w="2158"/>
          </w:tcPr>
          <w:p>
            <w:r>
              <w:rPr>
                <w:rFonts w:ascii="Times New Roman" w:hAnsi="Times New Roman" w:eastAsia="宋体"/>
                <w:b w:val="0"/>
                <w:sz w:val="21"/>
              </w:rPr>
              <w:t>2191</w:t>
            </w:r>
          </w:p>
        </w:tc>
        <w:tc>
          <w:tcPr>
            <w:tcW w:type="dxa" w:w="2158"/>
          </w:tcPr>
          <w:p>
            <w:r>
              <w:rPr>
                <w:rFonts w:ascii="Times New Roman" w:hAnsi="Times New Roman" w:eastAsia="宋体"/>
                <w:b w:val="0"/>
                <w:sz w:val="21"/>
              </w:rPr>
              <w:t>40%</w:t>
            </w:r>
          </w:p>
        </w:tc>
      </w:tr>
      <w:tr>
        <w:tc>
          <w:tcPr>
            <w:tcW w:type="dxa" w:w="2158"/>
          </w:tcPr>
          <w:p>
            <w:r>
              <w:rPr>
                <w:rFonts w:ascii="Times New Roman" w:hAnsi="Times New Roman" w:eastAsia="宋体"/>
                <w:b w:val="0"/>
                <w:sz w:val="21"/>
              </w:rPr>
              <w:t>4-较不舒适</w:t>
            </w:r>
          </w:p>
        </w:tc>
        <w:tc>
          <w:tcPr>
            <w:tcW w:type="dxa" w:w="2158"/>
          </w:tcPr>
          <w:p>
            <w:r>
              <w:rPr>
                <w:rFonts w:ascii="Times New Roman" w:hAnsi="Times New Roman" w:eastAsia="宋体"/>
                <w:b w:val="0"/>
                <w:sz w:val="21"/>
              </w:rPr>
              <w:t>P10 ≤ CCI &lt; P30</w:t>
            </w:r>
          </w:p>
        </w:tc>
        <w:tc>
          <w:tcPr>
            <w:tcW w:type="dxa" w:w="2158"/>
          </w:tcPr>
          <w:p>
            <w:r>
              <w:rPr>
                <w:rFonts w:ascii="Times New Roman" w:hAnsi="Times New Roman" w:eastAsia="宋体"/>
                <w:b w:val="0"/>
                <w:sz w:val="21"/>
              </w:rPr>
              <w:t>1092</w:t>
            </w:r>
          </w:p>
        </w:tc>
        <w:tc>
          <w:tcPr>
            <w:tcW w:type="dxa" w:w="2158"/>
          </w:tcPr>
          <w:p>
            <w:r>
              <w:rPr>
                <w:rFonts w:ascii="Times New Roman" w:hAnsi="Times New Roman" w:eastAsia="宋体"/>
                <w:b w:val="0"/>
                <w:sz w:val="21"/>
              </w:rPr>
              <w:t>20%</w:t>
            </w:r>
          </w:p>
        </w:tc>
      </w:tr>
      <w:tr>
        <w:tc>
          <w:tcPr>
            <w:tcW w:type="dxa" w:w="2158"/>
          </w:tcPr>
          <w:p>
            <w:r>
              <w:rPr>
                <w:rFonts w:ascii="Times New Roman" w:hAnsi="Times New Roman" w:eastAsia="宋体"/>
                <w:b w:val="0"/>
                <w:sz w:val="21"/>
              </w:rPr>
              <w:t>5-最不舒适</w:t>
            </w:r>
          </w:p>
        </w:tc>
        <w:tc>
          <w:tcPr>
            <w:tcW w:type="dxa" w:w="2158"/>
          </w:tcPr>
          <w:p>
            <w:r>
              <w:rPr>
                <w:rFonts w:ascii="Times New Roman" w:hAnsi="Times New Roman" w:eastAsia="宋体"/>
                <w:b w:val="0"/>
                <w:sz w:val="21"/>
              </w:rPr>
              <w:t>CCI &lt; P10</w:t>
            </w:r>
          </w:p>
        </w:tc>
        <w:tc>
          <w:tcPr>
            <w:tcW w:type="dxa" w:w="2158"/>
          </w:tcPr>
          <w:p>
            <w:r>
              <w:rPr>
                <w:rFonts w:ascii="Times New Roman" w:hAnsi="Times New Roman" w:eastAsia="宋体"/>
                <w:b w:val="0"/>
                <w:sz w:val="21"/>
              </w:rPr>
              <w:t>540</w:t>
            </w:r>
          </w:p>
        </w:tc>
        <w:tc>
          <w:tcPr>
            <w:tcW w:type="dxa" w:w="2158"/>
          </w:tcPr>
          <w:p>
            <w:r>
              <w:rPr>
                <w:rFonts w:ascii="Times New Roman" w:hAnsi="Times New Roman" w:eastAsia="宋体"/>
                <w:b w:val="0"/>
                <w:sz w:val="21"/>
              </w:rPr>
              <w:t>10%</w:t>
            </w:r>
          </w:p>
        </w:tc>
      </w:tr>
    </w:tbl>
    <w:p>
      <w:pPr>
        <w:spacing w:lineRule="exact" w:line="400" w:before="200" w:after="120"/>
        <w:jc w:val="center"/>
      </w:pPr>
      <w:r>
        <w:t>[图片: 8_等级分布饼图.html]</w:t>
      </w:r>
    </w:p>
    <w:p>
      <w:pPr>
        <w:spacing w:lineRule="exact" w:line="400" w:before="40" w:after="200"/>
        <w:jc w:val="center"/>
      </w:pPr>
      <w:r>
        <w:rPr>
          <w:rFonts w:ascii="Times New Roman" w:hAnsi="Times New Roman" w:eastAsia="宋体"/>
          <w:b/>
          <w:sz w:val="21"/>
        </w:rPr>
        <w:t>图5 CCI舒适度等级分布</w:t>
      </w:r>
    </w:p>
    <w:p>
      <w:pPr>
        <w:spacing w:lineRule="exact" w:line="400" w:before="200" w:after="120"/>
      </w:pPr>
      <w:r>
        <w:rPr>
          <w:rFonts w:ascii="Times New Roman" w:hAnsi="Times New Roman" w:eastAsia="黑体"/>
          <w:b/>
          <w:sz w:val="24"/>
        </w:rPr>
        <w:t>5.3.2 马尔科夫转移概率矩阵</w:t>
      </w:r>
    </w:p>
    <w:p>
      <w:pPr>
        <w:spacing w:lineRule="exact" w:line="400" w:before="200" w:after="200"/>
        <w:ind w:firstLine="420"/>
        <w:jc w:val="both"/>
      </w:pPr>
      <w:r>
        <w:rPr>
          <w:rFonts w:ascii="Times New Roman" w:hAnsi="Times New Roman" w:eastAsia="宋体"/>
          <w:b w:val="0"/>
          <w:sz w:val="24"/>
        </w:rPr>
        <w:t>构建年度舒适度等级转移概率矩阵，分析各等级之间的转换规律。结果显示，无论当前处于哪个等级，下一期转移到"3-正常"等级的概率最高（约40%），而转移到"1-最舒适"和"5-最不舒适"的概率均约为10%。各等级的转移概率分布高度一致，说明桂林气候舒适度</w:t>
      </w:r>
      <w:r>
        <w:rPr>
          <w:rFonts w:ascii="Times New Roman" w:hAnsi="Times New Roman" w:eastAsia="宋体"/>
          <w:b/>
          <w:sz w:val="24"/>
        </w:rPr>
        <w:t>总体稳定</w:t>
      </w:r>
      <w:r>
        <w:rPr>
          <w:rFonts w:ascii="Times New Roman" w:hAnsi="Times New Roman" w:eastAsia="宋体"/>
          <w:b w:val="0"/>
          <w:sz w:val="24"/>
        </w:rPr>
        <w:t>，不存在明显的等级聚集或跳跃现象，气候系统的自相关性较强。</w:t>
      </w:r>
    </w:p>
    <w:p>
      <w:pPr>
        <w:spacing w:lineRule="exact" w:line="400" w:before="200" w:after="120"/>
      </w:pPr>
      <w:r>
        <w:rPr>
          <w:rFonts w:ascii="Times New Roman" w:hAnsi="Times New Roman" w:eastAsia="黑体"/>
          <w:b/>
          <w:sz w:val="24"/>
        </w:rPr>
        <w:t>5.3.3 Pettitt突变检验</w:t>
      </w:r>
    </w:p>
    <w:p>
      <w:pPr>
        <w:spacing w:lineRule="exact" w:line="400" w:before="200" w:after="200"/>
        <w:ind w:firstLine="420"/>
        <w:jc w:val="both"/>
      </w:pPr>
      <w:r>
        <w:rPr>
          <w:rFonts w:ascii="Times New Roman" w:hAnsi="Times New Roman" w:eastAsia="宋体"/>
          <w:b w:val="0"/>
          <w:sz w:val="24"/>
        </w:rPr>
        <w:t>Pettitt检验[5]用于检测时间序列的突变点：</w:t>
      </w:r>
    </w:p>
    <w:p>
      <w:pPr>
        <w:spacing w:lineRule="exact" w:line="400" w:before="200" w:after="200"/>
        <w:jc w:val="center"/>
      </w:pPr>
      <w:r>
        <w:rPr>
          <w:rFonts w:ascii="Times New Roman" w:hAnsi="Times New Roman" w:eastAsia="宋体"/>
          <w:b w:val="0"/>
          <w:sz w:val="22"/>
        </w:rPr>
        <w:t>Kₙt = sumₙ(i=1)ⁿ(t) sumₙ(j=t+1)ⁿ(n) sgn)(xₙi - xₙj)</w:t>
      </w:r>
      <w:r>
        <w:rPr>
          <w:rFonts w:ascii="Times New Roman" w:hAnsi="Times New Roman" w:eastAsia="宋体"/>
          <w:b w:val="0"/>
          <w:sz w:val="22"/>
        </w:rPr>
        <w:t xml:space="preserve">    (18)</w:t>
      </w:r>
    </w:p>
    <w:p>
      <w:pPr>
        <w:spacing w:lineRule="exact" w:line="400" w:before="200" w:after="200"/>
        <w:ind w:firstLine="420"/>
        <w:jc w:val="both"/>
      </w:pPr>
      <w:r>
        <w:rPr>
          <w:rFonts w:ascii="Times New Roman" w:hAnsi="Times New Roman" w:eastAsia="宋体"/>
          <w:b w:val="0"/>
          <w:sz w:val="24"/>
        </w:rPr>
        <w:t>突变点位置为$|K_t|$最大值对应的t。检验结果显示，突变统计量K=14，突变点位于第5年（2015年），p值近似为1.0（近似公式$p \approx 2\exp(-6K^2/(n^3+n^2))$在样本量较小、K值较低时存在边界效应，计算值为1.44，按概率定义截断为1.0），远大于0.05，说明CCI序列在2011-2025年间</w:t>
      </w:r>
      <w:r>
        <w:rPr>
          <w:rFonts w:ascii="Times New Roman" w:hAnsi="Times New Roman" w:eastAsia="宋体"/>
          <w:b/>
          <w:sz w:val="24"/>
        </w:rPr>
        <w:t>未发生显著突变</w:t>
      </w:r>
      <w:r>
        <w:rPr>
          <w:rFonts w:ascii="Times New Roman" w:hAnsi="Times New Roman" w:eastAsia="宋体"/>
          <w:b w:val="0"/>
          <w:sz w:val="24"/>
        </w:rPr>
        <w:t>。</w:t>
      </w:r>
    </w:p>
    <w:p>
      <w:pPr>
        <w:spacing w:lineRule="exact" w:line="400" w:before="200" w:after="120"/>
      </w:pPr>
      <w:r>
        <w:rPr>
          <w:rFonts w:ascii="Times New Roman" w:hAnsi="Times New Roman" w:eastAsia="黑体"/>
          <w:b/>
          <w:sz w:val="24"/>
        </w:rPr>
        <w:t>5.3.4 国标GB/T 42074-2022季节划分</w:t>
      </w:r>
    </w:p>
    <w:p>
      <w:pPr>
        <w:spacing w:lineRule="exact" w:line="400" w:before="200" w:after="200"/>
        <w:ind w:firstLine="420"/>
        <w:jc w:val="both"/>
      </w:pPr>
      <w:r>
        <w:rPr>
          <w:rFonts w:ascii="Times New Roman" w:hAnsi="Times New Roman" w:eastAsia="宋体"/>
          <w:b w:val="0"/>
          <w:sz w:val="24"/>
        </w:rPr>
        <w:t>严格按照国标GB/T 42074-2022[6]规定的5日滑动平均气温法划分季节：</w:t>
      </w:r>
    </w:p>
    <w:p>
      <w:pPr>
        <w:pStyle w:val="ListBullet"/>
        <w:spacing w:lineRule="exact" w:line="400" w:before="200" w:after="200"/>
      </w:pPr>
      <w:r>
        <w:rPr>
          <w:rFonts w:ascii="Times New Roman" w:hAnsi="Times New Roman" w:eastAsia="宋体"/>
          <w:b w:val="0"/>
          <w:sz w:val="24"/>
        </w:rPr>
        <w:t>入春标准：连续5日滑动平均气温 ≥10°C且 &lt;22°C</w:t>
      </w:r>
    </w:p>
    <w:p>
      <w:pPr>
        <w:pStyle w:val="ListBullet"/>
        <w:spacing w:lineRule="exact" w:line="400" w:before="200" w:after="200"/>
      </w:pPr>
      <w:r>
        <w:rPr>
          <w:rFonts w:ascii="Times New Roman" w:hAnsi="Times New Roman" w:eastAsia="宋体"/>
          <w:b w:val="0"/>
          <w:sz w:val="24"/>
        </w:rPr>
        <w:t>入夏标准：连续5日滑动平均气温 ≥22°C</w:t>
      </w:r>
    </w:p>
    <w:p>
      <w:pPr>
        <w:pStyle w:val="ListBullet"/>
        <w:spacing w:lineRule="exact" w:line="400" w:before="200" w:after="200"/>
      </w:pPr>
      <w:r>
        <w:rPr>
          <w:rFonts w:ascii="Times New Roman" w:hAnsi="Times New Roman" w:eastAsia="宋体"/>
          <w:b w:val="0"/>
          <w:sz w:val="24"/>
        </w:rPr>
        <w:t>入秋标准：连续5日滑动平均气温 &lt;22°C且 ≥10°C</w:t>
      </w:r>
    </w:p>
    <w:p>
      <w:pPr>
        <w:pStyle w:val="ListBullet"/>
        <w:spacing w:lineRule="exact" w:line="400" w:before="200" w:after="200"/>
      </w:pPr>
      <w:r>
        <w:rPr>
          <w:rFonts w:ascii="Times New Roman" w:hAnsi="Times New Roman" w:eastAsia="宋体"/>
          <w:b w:val="0"/>
          <w:sz w:val="24"/>
        </w:rPr>
        <w:t>入冬标准：连续5日滑动平均气温 &lt;10°C</w:t>
      </w:r>
    </w:p>
    <w:p>
      <w:pPr>
        <w:spacing w:lineRule="exact" w:line="400" w:before="200" w:after="200"/>
      </w:pPr>
      <w:r>
        <w:rPr>
          <w:rFonts w:ascii="Times New Roman" w:hAnsi="Times New Roman" w:eastAsia="宋体"/>
          <w:b/>
          <w:sz w:val="24"/>
        </w:rPr>
        <w:t>求解结果：</w:t>
      </w:r>
    </w:p>
    <w:tbl>
      <w:tblPr>
        <w:tblStyle w:val="TableGrid"/>
        <w:tblW w:type="auto" w:w="0"/>
        <w:jc w:val="center"/>
        <w:tblLook w:firstColumn="1" w:firstRow="1" w:lastColumn="0" w:lastRow="0" w:noHBand="0" w:noVBand="1" w:val="04A0"/>
      </w:tblPr>
      <w:tblGrid>
        <w:gridCol w:w="4317"/>
        <w:gridCol w:w="4317"/>
      </w:tblGrid>
      <w:tr>
        <w:tc>
          <w:tcPr>
            <w:tcW w:type="dxa" w:w="4317"/>
          </w:tcPr>
          <w:p>
            <w:r>
              <w:rPr>
                <w:rFonts w:ascii="Times New Roman" w:hAnsi="Times New Roman" w:eastAsia="宋体"/>
                <w:b/>
                <w:sz w:val="21"/>
              </w:rPr>
              <w:t>季节</w:t>
            </w:r>
          </w:p>
        </w:tc>
        <w:tc>
          <w:tcPr>
            <w:tcW w:type="dxa" w:w="4317"/>
          </w:tcPr>
          <w:p>
            <w:r>
              <w:rPr>
                <w:rFonts w:ascii="Times New Roman" w:hAnsi="Times New Roman" w:eastAsia="宋体"/>
                <w:b/>
                <w:sz w:val="21"/>
              </w:rPr>
              <w:t>平均天数</w:t>
            </w:r>
          </w:p>
        </w:tc>
      </w:tr>
      <w:tr>
        <w:tc>
          <w:tcPr>
            <w:tcW w:type="dxa" w:w="4317"/>
          </w:tcPr>
          <w:p>
            <w:r>
              <w:rPr>
                <w:rFonts w:ascii="Times New Roman" w:hAnsi="Times New Roman" w:eastAsia="宋体"/>
                <w:b w:val="0"/>
                <w:sz w:val="21"/>
              </w:rPr>
              <w:t>春季</w:t>
            </w:r>
          </w:p>
        </w:tc>
        <w:tc>
          <w:tcPr>
            <w:tcW w:type="dxa" w:w="4317"/>
          </w:tcPr>
          <w:p>
            <w:r>
              <w:rPr>
                <w:rFonts w:ascii="Times New Roman" w:hAnsi="Times New Roman" w:eastAsia="宋体"/>
                <w:b w:val="0"/>
                <w:sz w:val="21"/>
              </w:rPr>
              <w:t>74.9天</w:t>
            </w:r>
          </w:p>
        </w:tc>
      </w:tr>
      <w:tr>
        <w:tc>
          <w:tcPr>
            <w:tcW w:type="dxa" w:w="4317"/>
          </w:tcPr>
          <w:p>
            <w:r>
              <w:rPr>
                <w:rFonts w:ascii="Times New Roman" w:hAnsi="Times New Roman" w:eastAsia="宋体"/>
                <w:b w:val="0"/>
                <w:sz w:val="21"/>
              </w:rPr>
              <w:t>夏季</w:t>
            </w:r>
          </w:p>
        </w:tc>
        <w:tc>
          <w:tcPr>
            <w:tcW w:type="dxa" w:w="4317"/>
          </w:tcPr>
          <w:p>
            <w:r>
              <w:rPr>
                <w:rFonts w:ascii="Times New Roman" w:hAnsi="Times New Roman" w:eastAsia="宋体"/>
                <w:b w:val="0"/>
                <w:sz w:val="21"/>
              </w:rPr>
              <w:t>179.5天</w:t>
            </w:r>
          </w:p>
        </w:tc>
      </w:tr>
      <w:tr>
        <w:tc>
          <w:tcPr>
            <w:tcW w:type="dxa" w:w="4317"/>
          </w:tcPr>
          <w:p>
            <w:r>
              <w:rPr>
                <w:rFonts w:ascii="Times New Roman" w:hAnsi="Times New Roman" w:eastAsia="宋体"/>
                <w:b w:val="0"/>
                <w:sz w:val="21"/>
              </w:rPr>
              <w:t>秋季</w:t>
            </w:r>
          </w:p>
        </w:tc>
        <w:tc>
          <w:tcPr>
            <w:tcW w:type="dxa" w:w="4317"/>
          </w:tcPr>
          <w:p>
            <w:r>
              <w:rPr>
                <w:rFonts w:ascii="Times New Roman" w:hAnsi="Times New Roman" w:eastAsia="宋体"/>
                <w:b w:val="0"/>
                <w:sz w:val="21"/>
              </w:rPr>
              <w:t>70.4天</w:t>
            </w:r>
          </w:p>
        </w:tc>
      </w:tr>
      <w:tr>
        <w:tc>
          <w:tcPr>
            <w:tcW w:type="dxa" w:w="4317"/>
          </w:tcPr>
          <w:p>
            <w:r>
              <w:rPr>
                <w:rFonts w:ascii="Times New Roman" w:hAnsi="Times New Roman" w:eastAsia="宋体"/>
                <w:b w:val="0"/>
                <w:sz w:val="21"/>
              </w:rPr>
              <w:t>冬季</w:t>
            </w:r>
          </w:p>
        </w:tc>
        <w:tc>
          <w:tcPr>
            <w:tcW w:type="dxa" w:w="4317"/>
          </w:tcPr>
          <w:p>
            <w:r>
              <w:rPr>
                <w:rFonts w:ascii="Times New Roman" w:hAnsi="Times New Roman" w:eastAsia="宋体"/>
                <w:b w:val="0"/>
                <w:sz w:val="21"/>
              </w:rPr>
              <w:t>39.5天</w:t>
            </w:r>
          </w:p>
        </w:tc>
      </w:tr>
    </w:tbl>
    <w:p>
      <w:pPr>
        <w:spacing w:lineRule="exact" w:line="400" w:before="200" w:after="200"/>
        <w:ind w:firstLine="420"/>
        <w:jc w:val="both"/>
      </w:pPr>
      <w:r>
        <w:rPr>
          <w:rFonts w:ascii="Times New Roman" w:hAnsi="Times New Roman" w:eastAsia="宋体"/>
          <w:b/>
          <w:sz w:val="24"/>
        </w:rPr>
        <w:t>结论：</w:t>
      </w:r>
      <w:r>
        <w:rPr>
          <w:rFonts w:ascii="Times New Roman" w:hAnsi="Times New Roman" w:eastAsia="宋体"/>
          <w:b w:val="0"/>
          <w:sz w:val="24"/>
        </w:rPr>
        <w:t xml:space="preserve"> 桂林夏季最长（约180天），冬季最短（约40天），符合亚热带气候特征[6]。</w:t>
      </w:r>
    </w:p>
    <w:p>
      <w:pPr>
        <w:spacing w:lineRule="exact" w:line="400" w:before="200" w:after="200"/>
        <w:ind w:firstLine="420"/>
        <w:jc w:val="both"/>
      </w:pPr>
      <w:r>
        <w:rPr>
          <w:rFonts w:ascii="Times New Roman" w:hAnsi="Times New Roman" w:eastAsia="宋体"/>
          <w:b/>
          <w:sz w:val="24"/>
        </w:rPr>
        <w:t>季节特征深入分析：</w:t>
      </w:r>
      <w:r>
        <w:rPr>
          <w:rFonts w:ascii="Times New Roman" w:hAnsi="Times New Roman" w:eastAsia="宋体"/>
          <w:b w:val="0"/>
          <w:sz w:val="24"/>
        </w:rPr>
        <w:t xml:space="preserve"> 桂林四季分布呈现显著的"长夏短冬"特征，夏季天数占全年的49%，而冬季仅占11%。这一分布与桂林的地理位置和气候背景密切相关：桂林位于北回归线以北，受副热带高压和季风系统的共同影响，夏季高温期持续时间长。春季（约75天）和秋季（约70天）长度接近，是旅游的黄金季节——气温适宜（15-25°C）、降水相对较少、CCI指数较高。冬季虽短但湿冷，体感舒适度较低。</w:t>
      </w:r>
    </w:p>
    <w:p>
      <w:pPr>
        <w:spacing w:lineRule="exact" w:line="400" w:before="200" w:after="200"/>
        <w:ind w:firstLine="420"/>
        <w:jc w:val="both"/>
      </w:pPr>
      <w:r>
        <w:rPr>
          <w:rFonts w:ascii="Times New Roman" w:hAnsi="Times New Roman" w:eastAsia="宋体"/>
          <w:b w:val="0"/>
          <w:sz w:val="24"/>
        </w:rPr>
        <w:t>从月度CCI变化来看，桂林CCI呈现明显的单峰型分布：5-6月和9-10月为CCI高峰期（月均CCI&gt;60），对应春末夏初和秋季，此时温度适宜、降水适中；7-8月因高温多雨，CCI有所下降但仍处于正常水平；12-2月为CCI低谷期（月均CCI&lt;40），湿冷天气显著降低了气候舒适度。这一月度分布特征为旅游管理部门提供了重要参考：</w:t>
      </w:r>
      <w:r>
        <w:rPr>
          <w:rFonts w:ascii="Times New Roman" w:hAnsi="Times New Roman" w:eastAsia="宋体"/>
          <w:b/>
          <w:sz w:val="24"/>
        </w:rPr>
        <w:t>春秋季节应加强旅游营销力度，夏季可发展避暑旅游，冬季则需开发室内旅游产品</w:t>
      </w:r>
      <w:r>
        <w:rPr>
          <w:rFonts w:ascii="Times New Roman" w:hAnsi="Times New Roman" w:eastAsia="宋体"/>
          <w:b w:val="0"/>
          <w:sz w:val="24"/>
        </w:rPr>
        <w:t>。</w:t>
      </w:r>
    </w:p>
    <w:p>
      <w:pPr>
        <w:spacing w:lineRule="exact" w:line="400" w:before="200" w:after="120"/>
        <w:jc w:val="center"/>
      </w:pPr>
      <w:r>
        <w:t>[图片: 2_月度CCI变化.html]</w:t>
      </w:r>
    </w:p>
    <w:p>
      <w:pPr>
        <w:spacing w:lineRule="exact" w:line="400" w:before="40" w:after="200"/>
        <w:jc w:val="center"/>
      </w:pPr>
      <w:r>
        <w:rPr>
          <w:rFonts w:ascii="Times New Roman" w:hAnsi="Times New Roman" w:eastAsia="宋体"/>
          <w:b/>
          <w:sz w:val="21"/>
        </w:rPr>
        <w:t>图6 桂林各季节分布及月度CCI变化</w:t>
      </w:r>
    </w:p>
    <w:p>
      <w:pPr>
        <w:spacing w:lineRule="exact" w:line="400" w:before="200" w:after="120"/>
        <w:jc w:val="center"/>
      </w:pPr>
      <w:r>
        <w:drawing>
          <wp:inline xmlns:a="http://schemas.openxmlformats.org/drawingml/2006/main" xmlns:pic="http://schemas.openxmlformats.org/drawingml/2006/picture">
            <wp:extent cx="5029200" cy="3028814"/>
            <wp:docPr id="2" name="Picture 2"/>
            <wp:cNvGraphicFramePr>
              <a:graphicFrameLocks noChangeAspect="1"/>
            </wp:cNvGraphicFramePr>
            <a:graphic>
              <a:graphicData uri="http://schemas.openxmlformats.org/drawingml/2006/picture">
                <pic:pic>
                  <pic:nvPicPr>
                    <pic:cNvPr id="0" name="图2_四季划分与无春解释图.png"/>
                    <pic:cNvPicPr/>
                  </pic:nvPicPr>
                  <pic:blipFill>
                    <a:blip r:embed="rId10"/>
                    <a:stretch>
                      <a:fillRect/>
                    </a:stretch>
                  </pic:blipFill>
                  <pic:spPr>
                    <a:xfrm>
                      <a:off x="0" y="0"/>
                      <a:ext cx="5029200" cy="3028814"/>
                    </a:xfrm>
                    <a:prstGeom prst="rect"/>
                  </pic:spPr>
                </pic:pic>
              </a:graphicData>
            </a:graphic>
          </wp:inline>
        </w:drawing>
      </w:r>
    </w:p>
    <w:p>
      <w:pPr>
        <w:spacing w:lineRule="exact" w:line="400" w:before="40" w:after="200"/>
        <w:jc w:val="center"/>
      </w:pPr>
      <w:r>
        <w:rPr>
          <w:rFonts w:ascii="Times New Roman" w:hAnsi="Times New Roman" w:eastAsia="宋体"/>
          <w:b/>
          <w:sz w:val="21"/>
        </w:rPr>
        <w:t>图7 桂林四季划分结果</w:t>
      </w:r>
    </w:p>
    <w:p>
      <w:pPr>
        <w:spacing w:lineRule="exact" w:line="400" w:before="240" w:after="120"/>
      </w:pPr>
      <w:r>
        <w:rPr>
          <w:rFonts w:ascii="Times New Roman" w:hAnsi="Times New Roman" w:eastAsia="黑体"/>
          <w:b/>
          <w:sz w:val="24"/>
        </w:rPr>
        <w:t>5.4 问题三模型的建立与求解</w:t>
      </w:r>
    </w:p>
    <w:p>
      <w:pPr>
        <w:spacing w:lineRule="exact" w:line="400" w:before="200" w:after="120"/>
      </w:pPr>
      <w:r>
        <w:rPr>
          <w:rFonts w:ascii="Times New Roman" w:hAnsi="Times New Roman" w:eastAsia="黑体"/>
          <w:b/>
          <w:sz w:val="24"/>
        </w:rPr>
        <w:t>5.4.1 灰色关联分析</w:t>
      </w:r>
    </w:p>
    <w:p>
      <w:pPr>
        <w:spacing w:lineRule="exact" w:line="400" w:before="200" w:after="200"/>
        <w:ind w:firstLine="420"/>
        <w:jc w:val="both"/>
      </w:pPr>
      <w:r>
        <w:rPr>
          <w:rFonts w:ascii="Times New Roman" w:hAnsi="Times New Roman" w:eastAsia="宋体"/>
          <w:b w:val="0"/>
          <w:sz w:val="24"/>
        </w:rPr>
        <w:t>灰色关联分析是灰色系统理论的核心方法之一[10,11]，其灰色关联系数计算公式如下：</w:t>
      </w:r>
    </w:p>
    <w:p>
      <w:pPr>
        <w:spacing w:lineRule="exact" w:line="400" w:before="200" w:after="200"/>
        <w:jc w:val="center"/>
      </w:pPr>
      <w:r>
        <w:rPr>
          <w:rFonts w:ascii="Times New Roman" w:hAnsi="Times New Roman" w:eastAsia="宋体"/>
          <w:b w:val="0"/>
          <w:sz w:val="22"/>
        </w:rPr>
        <w:t>xiₙi(k) =  (minₙi minₙk |xₙ0(k) - xₙi(k)| + rho maxₙi maxₙk |xₙ0(k) - xₙi(k)|)(|xₙ0(k) - xₙi(k)| + rho maxₙi maxₙk |xₙ0(k) - xₙi(k)|)</w:t>
      </w:r>
      <w:r>
        <w:rPr>
          <w:rFonts w:ascii="Times New Roman" w:hAnsi="Times New Roman" w:eastAsia="宋体"/>
          <w:b w:val="0"/>
          <w:sz w:val="22"/>
        </w:rPr>
        <w:t xml:space="preserve">    (19)</w:t>
      </w:r>
    </w:p>
    <w:p>
      <w:pPr>
        <w:spacing w:lineRule="exact" w:line="400" w:before="200" w:after="200"/>
        <w:ind w:firstLine="420"/>
        <w:jc w:val="both"/>
      </w:pPr>
      <w:r>
        <w:rPr>
          <w:rFonts w:ascii="Times New Roman" w:hAnsi="Times New Roman" w:eastAsia="宋体"/>
          <w:b w:val="0"/>
          <w:sz w:val="24"/>
        </w:rPr>
        <w:t>其中，$\rho = 0.5$为分辨系数。</w:t>
      </w:r>
    </w:p>
    <w:p>
      <w:pPr>
        <w:spacing w:lineRule="exact" w:line="400" w:before="200" w:after="200"/>
        <w:ind w:firstLine="420"/>
        <w:jc w:val="both"/>
      </w:pPr>
      <w:r>
        <w:rPr>
          <w:rFonts w:ascii="Times New Roman" w:hAnsi="Times New Roman" w:eastAsia="宋体"/>
          <w:b w:val="0"/>
          <w:sz w:val="24"/>
        </w:rPr>
        <w:t>基于75个月度数据点进行灰色关联分析，结果如下：</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r>
              <w:rPr>
                <w:rFonts w:ascii="Times New Roman" w:hAnsi="Times New Roman" w:eastAsia="宋体"/>
                <w:b/>
                <w:sz w:val="21"/>
              </w:rPr>
              <w:t>因素</w:t>
            </w:r>
          </w:p>
        </w:tc>
        <w:tc>
          <w:tcPr>
            <w:tcW w:type="dxa" w:w="2878"/>
          </w:tcPr>
          <w:p>
            <w:r>
              <w:rPr>
                <w:rFonts w:ascii="Times New Roman" w:hAnsi="Times New Roman" w:eastAsia="宋体"/>
                <w:b/>
                <w:sz w:val="21"/>
              </w:rPr>
              <w:t>关联度（游客量）</w:t>
            </w:r>
          </w:p>
        </w:tc>
        <w:tc>
          <w:tcPr>
            <w:tcW w:type="dxa" w:w="2878"/>
          </w:tcPr>
          <w:p>
            <w:r>
              <w:rPr>
                <w:rFonts w:ascii="Times New Roman" w:hAnsi="Times New Roman" w:eastAsia="宋体"/>
                <w:b/>
                <w:sz w:val="21"/>
              </w:rPr>
              <w:t>关联度（旅游收入）</w:t>
            </w:r>
          </w:p>
        </w:tc>
      </w:tr>
      <w:tr>
        <w:tc>
          <w:tcPr>
            <w:tcW w:type="dxa" w:w="2878"/>
          </w:tcPr>
          <w:p>
            <w:r>
              <w:rPr>
                <w:rFonts w:ascii="Times New Roman" w:hAnsi="Times New Roman" w:eastAsia="宋体"/>
                <w:b w:val="0"/>
                <w:sz w:val="21"/>
              </w:rPr>
              <w:t>高温天数</w:t>
            </w:r>
          </w:p>
        </w:tc>
        <w:tc>
          <w:tcPr>
            <w:tcW w:type="dxa" w:w="2878"/>
          </w:tcPr>
          <w:p>
            <w:r>
              <w:rPr>
                <w:rFonts w:ascii="Times New Roman" w:hAnsi="Times New Roman" w:eastAsia="宋体"/>
                <w:b w:val="0"/>
                <w:sz w:val="21"/>
              </w:rPr>
              <w:t>0.7287</w:t>
            </w:r>
          </w:p>
        </w:tc>
        <w:tc>
          <w:tcPr>
            <w:tcW w:type="dxa" w:w="2878"/>
          </w:tcPr>
          <w:p>
            <w:r>
              <w:rPr>
                <w:rFonts w:ascii="Times New Roman" w:hAnsi="Times New Roman" w:eastAsia="宋体"/>
                <w:b w:val="0"/>
                <w:sz w:val="21"/>
              </w:rPr>
              <w:t>0.7262</w:t>
            </w:r>
          </w:p>
        </w:tc>
      </w:tr>
      <w:tr>
        <w:tc>
          <w:tcPr>
            <w:tcW w:type="dxa" w:w="2878"/>
          </w:tcPr>
          <w:p>
            <w:r>
              <w:rPr>
                <w:rFonts w:ascii="Times New Roman" w:hAnsi="Times New Roman" w:eastAsia="宋体"/>
                <w:b w:val="0"/>
                <w:sz w:val="21"/>
              </w:rPr>
              <w:t>低温天数</w:t>
            </w:r>
          </w:p>
        </w:tc>
        <w:tc>
          <w:tcPr>
            <w:tcW w:type="dxa" w:w="2878"/>
          </w:tcPr>
          <w:p>
            <w:r>
              <w:rPr>
                <w:rFonts w:ascii="Times New Roman" w:hAnsi="Times New Roman" w:eastAsia="宋体"/>
                <w:b w:val="0"/>
                <w:sz w:val="21"/>
              </w:rPr>
              <w:t>0.6948</w:t>
            </w:r>
          </w:p>
        </w:tc>
        <w:tc>
          <w:tcPr>
            <w:tcW w:type="dxa" w:w="2878"/>
          </w:tcPr>
          <w:p>
            <w:r>
              <w:rPr>
                <w:rFonts w:ascii="Times New Roman" w:hAnsi="Times New Roman" w:eastAsia="宋体"/>
                <w:b w:val="0"/>
                <w:sz w:val="21"/>
              </w:rPr>
              <w:t>0.6992</w:t>
            </w:r>
          </w:p>
        </w:tc>
      </w:tr>
      <w:tr>
        <w:tc>
          <w:tcPr>
            <w:tcW w:type="dxa" w:w="2878"/>
          </w:tcPr>
          <w:p>
            <w:r>
              <w:rPr>
                <w:rFonts w:ascii="Times New Roman" w:hAnsi="Times New Roman" w:eastAsia="宋体"/>
                <w:b w:val="0"/>
                <w:sz w:val="21"/>
              </w:rPr>
              <w:t>降雨天数</w:t>
            </w:r>
          </w:p>
        </w:tc>
        <w:tc>
          <w:tcPr>
            <w:tcW w:type="dxa" w:w="2878"/>
          </w:tcPr>
          <w:p>
            <w:r>
              <w:rPr>
                <w:rFonts w:ascii="Times New Roman" w:hAnsi="Times New Roman" w:eastAsia="宋体"/>
                <w:b w:val="0"/>
                <w:sz w:val="21"/>
              </w:rPr>
              <w:t>0.6363</w:t>
            </w:r>
          </w:p>
        </w:tc>
        <w:tc>
          <w:tcPr>
            <w:tcW w:type="dxa" w:w="2878"/>
          </w:tcPr>
          <w:p>
            <w:r>
              <w:rPr>
                <w:rFonts w:ascii="Times New Roman" w:hAnsi="Times New Roman" w:eastAsia="宋体"/>
                <w:b w:val="0"/>
                <w:sz w:val="21"/>
              </w:rPr>
              <w:t>0.6341</w:t>
            </w:r>
          </w:p>
        </w:tc>
      </w:tr>
      <w:tr>
        <w:tc>
          <w:tcPr>
            <w:tcW w:type="dxa" w:w="2878"/>
          </w:tcPr>
          <w:p>
            <w:r>
              <w:rPr>
                <w:rFonts w:ascii="Times New Roman" w:hAnsi="Times New Roman" w:eastAsia="宋体"/>
                <w:b w:val="0"/>
                <w:sz w:val="21"/>
              </w:rPr>
              <w:t>平均气温</w:t>
            </w:r>
          </w:p>
        </w:tc>
        <w:tc>
          <w:tcPr>
            <w:tcW w:type="dxa" w:w="2878"/>
          </w:tcPr>
          <w:p>
            <w:r>
              <w:rPr>
                <w:rFonts w:ascii="Times New Roman" w:hAnsi="Times New Roman" w:eastAsia="宋体"/>
                <w:b w:val="0"/>
                <w:sz w:val="21"/>
              </w:rPr>
              <w:t>0.6197</w:t>
            </w:r>
          </w:p>
        </w:tc>
        <w:tc>
          <w:tcPr>
            <w:tcW w:type="dxa" w:w="2878"/>
          </w:tcPr>
          <w:p>
            <w:r>
              <w:rPr>
                <w:rFonts w:ascii="Times New Roman" w:hAnsi="Times New Roman" w:eastAsia="宋体"/>
                <w:b w:val="0"/>
                <w:sz w:val="21"/>
              </w:rPr>
              <w:t>0.6218</w:t>
            </w:r>
          </w:p>
        </w:tc>
      </w:tr>
      <w:tr>
        <w:tc>
          <w:tcPr>
            <w:tcW w:type="dxa" w:w="2878"/>
          </w:tcPr>
          <w:p>
            <w:r>
              <w:rPr>
                <w:rFonts w:ascii="Times New Roman" w:hAnsi="Times New Roman" w:eastAsia="宋体"/>
                <w:b w:val="0"/>
                <w:sz w:val="21"/>
              </w:rPr>
              <w:t>最高气温</w:t>
            </w:r>
          </w:p>
        </w:tc>
        <w:tc>
          <w:tcPr>
            <w:tcW w:type="dxa" w:w="2878"/>
          </w:tcPr>
          <w:p>
            <w:r>
              <w:rPr>
                <w:rFonts w:ascii="Times New Roman" w:hAnsi="Times New Roman" w:eastAsia="宋体"/>
                <w:b w:val="0"/>
                <w:sz w:val="21"/>
              </w:rPr>
              <w:t>0.6173</w:t>
            </w:r>
          </w:p>
        </w:tc>
        <w:tc>
          <w:tcPr>
            <w:tcW w:type="dxa" w:w="2878"/>
          </w:tcPr>
          <w:p>
            <w:r>
              <w:rPr>
                <w:rFonts w:ascii="Times New Roman" w:hAnsi="Times New Roman" w:eastAsia="宋体"/>
                <w:b w:val="0"/>
                <w:sz w:val="21"/>
              </w:rPr>
              <w:t>0.6166</w:t>
            </w:r>
          </w:p>
        </w:tc>
      </w:tr>
      <w:tr>
        <w:tc>
          <w:tcPr>
            <w:tcW w:type="dxa" w:w="2878"/>
          </w:tcPr>
          <w:p>
            <w:r>
              <w:rPr>
                <w:rFonts w:ascii="Times New Roman" w:hAnsi="Times New Roman" w:eastAsia="宋体"/>
                <w:b w:val="0"/>
                <w:sz w:val="21"/>
              </w:rPr>
              <w:t>最低气温</w:t>
            </w:r>
          </w:p>
        </w:tc>
        <w:tc>
          <w:tcPr>
            <w:tcW w:type="dxa" w:w="2878"/>
          </w:tcPr>
          <w:p>
            <w:r>
              <w:rPr>
                <w:rFonts w:ascii="Times New Roman" w:hAnsi="Times New Roman" w:eastAsia="宋体"/>
                <w:b w:val="0"/>
                <w:sz w:val="21"/>
              </w:rPr>
              <w:t>0.6164</w:t>
            </w:r>
          </w:p>
        </w:tc>
        <w:tc>
          <w:tcPr>
            <w:tcW w:type="dxa" w:w="2878"/>
          </w:tcPr>
          <w:p>
            <w:r>
              <w:rPr>
                <w:rFonts w:ascii="Times New Roman" w:hAnsi="Times New Roman" w:eastAsia="宋体"/>
                <w:b w:val="0"/>
                <w:sz w:val="21"/>
              </w:rPr>
              <w:t>0.6156</w:t>
            </w:r>
          </w:p>
        </w:tc>
      </w:tr>
      <w:tr>
        <w:tc>
          <w:tcPr>
            <w:tcW w:type="dxa" w:w="2878"/>
          </w:tcPr>
          <w:p>
            <w:r>
              <w:rPr>
                <w:rFonts w:ascii="Times New Roman" w:hAnsi="Times New Roman" w:eastAsia="宋体"/>
                <w:b w:val="0"/>
                <w:sz w:val="21"/>
              </w:rPr>
              <w:t>CCI指数</w:t>
            </w:r>
          </w:p>
        </w:tc>
        <w:tc>
          <w:tcPr>
            <w:tcW w:type="dxa" w:w="2878"/>
          </w:tcPr>
          <w:p>
            <w:r>
              <w:rPr>
                <w:rFonts w:ascii="Times New Roman" w:hAnsi="Times New Roman" w:eastAsia="宋体"/>
                <w:b w:val="0"/>
                <w:sz w:val="21"/>
              </w:rPr>
              <w:t>0.6117</w:t>
            </w:r>
          </w:p>
        </w:tc>
        <w:tc>
          <w:tcPr>
            <w:tcW w:type="dxa" w:w="2878"/>
          </w:tcPr>
          <w:p>
            <w:r>
              <w:rPr>
                <w:rFonts w:ascii="Times New Roman" w:hAnsi="Times New Roman" w:eastAsia="宋体"/>
                <w:b w:val="0"/>
                <w:sz w:val="21"/>
              </w:rPr>
              <w:t>0.6092</w:t>
            </w:r>
          </w:p>
        </w:tc>
      </w:tr>
    </w:tbl>
    <w:p>
      <w:pPr>
        <w:spacing w:lineRule="exact" w:line="400" w:before="200" w:after="200"/>
        <w:ind w:firstLine="420"/>
        <w:jc w:val="both"/>
      </w:pPr>
      <w:r>
        <w:rPr>
          <w:rFonts w:ascii="Times New Roman" w:hAnsi="Times New Roman" w:eastAsia="宋体"/>
          <w:b/>
          <w:sz w:val="24"/>
        </w:rPr>
        <w:t>结论：</w:t>
      </w:r>
      <w:r>
        <w:rPr>
          <w:rFonts w:ascii="Times New Roman" w:hAnsi="Times New Roman" w:eastAsia="宋体"/>
          <w:b w:val="0"/>
          <w:sz w:val="24"/>
        </w:rPr>
        <w:t xml:space="preserve"> 与游客量和旅游收入关联度最高的气候因素是高温天数（0.7287），其次是低温天数（0.6948）。</w:t>
      </w:r>
    </w:p>
    <w:p>
      <w:pPr>
        <w:spacing w:lineRule="exact" w:line="400" w:before="200" w:after="200"/>
        <w:ind w:firstLine="420"/>
        <w:jc w:val="both"/>
      </w:pPr>
      <w:r>
        <w:rPr>
          <w:rFonts w:ascii="Times New Roman" w:hAnsi="Times New Roman" w:eastAsia="宋体"/>
          <w:b/>
          <w:sz w:val="24"/>
        </w:rPr>
        <w:t>深入分析：</w:t>
      </w:r>
      <w:r>
        <w:rPr>
          <w:rFonts w:ascii="Times New Roman" w:hAnsi="Times New Roman" w:eastAsia="宋体"/>
          <w:b w:val="0"/>
          <w:sz w:val="24"/>
        </w:rPr>
        <w:t xml:space="preserve"> 月度灰色关联分析揭示了一个重要规律：高温天数的关联度最高（0.7287），说明夏季极端高温对桂林旅游体验的制约作用最为显著——当高温天气频繁出现时，游客户外活动意愿受到明显抑制。低温天数（0.6948）次之，反映冬季寒冷也是影响旅游的重要因素。降雨天数的关联度（0.6363）居于第三，说明降水对旅游活动也有较大影响。平均气温的关联度（0.6197）与最高气温（0.6173）、最低气温（0.6164）接近，表明气温的各维度对旅游的综合影响程度相当。CCI作为综合指标（0.6117）的关联度略低于各单一温度指标，这可能是因为CCI的综合评分在月度聚合过程中平滑了部分极端天气信息。综合来看，极端天气事件（高温、低温、降雨）对桂林旅游的影响比平均气候条件更为显著。</w:t>
      </w:r>
    </w:p>
    <w:p>
      <w:pPr>
        <w:spacing w:lineRule="exact" w:line="400" w:before="200" w:after="120"/>
        <w:jc w:val="center"/>
      </w:pPr>
      <w:r>
        <w:t>[图片: 5_灰色关联分析.html]</w:t>
      </w:r>
    </w:p>
    <w:p>
      <w:pPr>
        <w:spacing w:lineRule="exact" w:line="400" w:before="40" w:after="200"/>
        <w:jc w:val="center"/>
      </w:pPr>
      <w:r>
        <w:rPr>
          <w:rFonts w:ascii="Times New Roman" w:hAnsi="Times New Roman" w:eastAsia="宋体"/>
          <w:b/>
          <w:sz w:val="21"/>
        </w:rPr>
        <w:t>图8 各气候因素与游客量/旅游收入的灰色关联度</w:t>
      </w:r>
    </w:p>
    <w:p>
      <w:pPr>
        <w:spacing w:lineRule="exact" w:line="400" w:before="200" w:after="120"/>
      </w:pPr>
      <w:r>
        <w:rPr>
          <w:rFonts w:ascii="Times New Roman" w:hAnsi="Times New Roman" w:eastAsia="黑体"/>
          <w:b/>
          <w:sz w:val="24"/>
        </w:rPr>
        <w:t>5.4.2 回归分析</w:t>
      </w:r>
    </w:p>
    <w:p>
      <w:pPr>
        <w:spacing w:lineRule="exact" w:line="400" w:before="200" w:after="200"/>
        <w:ind w:firstLine="420"/>
        <w:jc w:val="both"/>
      </w:pPr>
      <w:r>
        <w:rPr>
          <w:rFonts w:ascii="Times New Roman" w:hAnsi="Times New Roman" w:eastAsia="宋体"/>
          <w:b w:val="0"/>
          <w:sz w:val="24"/>
        </w:rPr>
        <w:t>基于75个月度数据点，构建多元回归模型分析气候因素对游客量的影响。考虑到气候变量之间存在多重共线性（VIF&gt;2000），采用岭回归[7,8]处理共线性问题：</w:t>
      </w:r>
    </w:p>
    <w:p>
      <w:pPr>
        <w:spacing w:lineRule="exact" w:line="400" w:before="200" w:after="200"/>
        <w:jc w:val="center"/>
      </w:pPr>
      <w:r>
        <w:rPr>
          <w:rFonts w:ascii="Times New Roman" w:hAnsi="Times New Roman" w:eastAsia="宋体"/>
          <w:b w:val="0"/>
          <w:sz w:val="22"/>
        </w:rPr>
        <w:t>hat(beta)ₙ(ridge) = (XⁿTX + alpha I)ⁿ(-1)XⁿTy</w:t>
      </w:r>
      <w:r>
        <w:rPr>
          <w:rFonts w:ascii="Times New Roman" w:hAnsi="Times New Roman" w:eastAsia="宋体"/>
          <w:b w:val="0"/>
          <w:sz w:val="22"/>
        </w:rPr>
        <w:t xml:space="preserve">    (20)</w:t>
      </w:r>
    </w:p>
    <w:p>
      <w:pPr>
        <w:spacing w:lineRule="exact" w:line="400" w:before="200" w:after="200"/>
        <w:ind w:firstLine="420"/>
        <w:jc w:val="both"/>
      </w:pPr>
      <w:r>
        <w:rPr>
          <w:rFonts w:ascii="Times New Roman" w:hAnsi="Times New Roman" w:eastAsia="宋体"/>
          <w:b/>
          <w:sz w:val="24"/>
        </w:rPr>
        <w:t>模型构建：</w:t>
      </w:r>
      <w:r>
        <w:rPr>
          <w:rFonts w:ascii="Times New Roman" w:hAnsi="Times New Roman" w:eastAsia="宋体"/>
          <w:b w:val="0"/>
          <w:sz w:val="24"/>
        </w:rPr>
        <w:t xml:space="preserve"> 构建四个递进模型，逐步加入控制变量：</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r>
              <w:rPr>
                <w:rFonts w:ascii="Times New Roman" w:hAnsi="Times New Roman" w:eastAsia="宋体"/>
                <w:b/>
                <w:sz w:val="21"/>
              </w:rPr>
              <w:t>模型</w:t>
            </w:r>
          </w:p>
        </w:tc>
        <w:tc>
          <w:tcPr>
            <w:tcW w:type="dxa" w:w="2158"/>
          </w:tcPr>
          <w:p>
            <w:r>
              <w:rPr>
                <w:rFonts w:ascii="Times New Roman" w:hAnsi="Times New Roman" w:eastAsia="宋体"/>
                <w:b/>
                <w:sz w:val="21"/>
              </w:rPr>
              <w:t>自变量</w:t>
            </w:r>
          </w:p>
        </w:tc>
        <w:tc>
          <w:tcPr>
            <w:tcW w:type="dxa" w:w="2158"/>
          </w:tcPr>
          <w:p>
            <w:r>
              <w:rPr>
                <w:rFonts w:ascii="Times New Roman" w:hAnsi="Times New Roman" w:eastAsia="宋体"/>
                <w:b/>
                <w:sz w:val="21"/>
              </w:rPr>
              <w:t>R2</w:t>
            </w:r>
          </w:p>
        </w:tc>
        <w:tc>
          <w:tcPr>
            <w:tcW w:type="dxa" w:w="2158"/>
          </w:tcPr>
          <w:p>
            <w:r>
              <w:rPr>
                <w:rFonts w:ascii="Times New Roman" w:hAnsi="Times New Roman" w:eastAsia="宋体"/>
                <w:b/>
                <w:sz w:val="21"/>
              </w:rPr>
              <w:t>调整R2</w:t>
            </w:r>
          </w:p>
        </w:tc>
      </w:tr>
      <w:tr>
        <w:tc>
          <w:tcPr>
            <w:tcW w:type="dxa" w:w="2158"/>
          </w:tcPr>
          <w:p>
            <w:r>
              <w:rPr>
                <w:rFonts w:ascii="Times New Roman" w:hAnsi="Times New Roman" w:eastAsia="宋体"/>
                <w:b w:val="0"/>
                <w:sz w:val="21"/>
              </w:rPr>
              <w:t>模型1</w:t>
            </w:r>
          </w:p>
        </w:tc>
        <w:tc>
          <w:tcPr>
            <w:tcW w:type="dxa" w:w="2158"/>
          </w:tcPr>
          <w:p>
            <w:r>
              <w:rPr>
                <w:rFonts w:ascii="Times New Roman" w:hAnsi="Times New Roman" w:eastAsia="宋体"/>
                <w:b w:val="0"/>
                <w:sz w:val="21"/>
              </w:rPr>
              <w:t>CCI</w:t>
            </w:r>
          </w:p>
        </w:tc>
        <w:tc>
          <w:tcPr>
            <w:tcW w:type="dxa" w:w="2158"/>
          </w:tcPr>
          <w:p>
            <w:r>
              <w:rPr>
                <w:rFonts w:ascii="Times New Roman" w:hAnsi="Times New Roman" w:eastAsia="宋体"/>
                <w:b w:val="0"/>
                <w:sz w:val="21"/>
              </w:rPr>
              <w:t>0.0095</w:t>
            </w:r>
          </w:p>
        </w:tc>
        <w:tc>
          <w:tcPr>
            <w:tcW w:type="dxa" w:w="2158"/>
          </w:tcPr>
          <w:p>
            <w:r>
              <w:rPr>
                <w:rFonts w:ascii="Times New Roman" w:hAnsi="Times New Roman" w:eastAsia="宋体"/>
                <w:b w:val="0"/>
                <w:sz w:val="21"/>
              </w:rPr>
              <w:t>-0.0041</w:t>
            </w:r>
          </w:p>
        </w:tc>
      </w:tr>
      <w:tr>
        <w:tc>
          <w:tcPr>
            <w:tcW w:type="dxa" w:w="2158"/>
          </w:tcPr>
          <w:p>
            <w:r>
              <w:rPr>
                <w:rFonts w:ascii="Times New Roman" w:hAnsi="Times New Roman" w:eastAsia="宋体"/>
                <w:b w:val="0"/>
                <w:sz w:val="21"/>
              </w:rPr>
              <w:t>模型2</w:t>
            </w:r>
          </w:p>
        </w:tc>
        <w:tc>
          <w:tcPr>
            <w:tcW w:type="dxa" w:w="2158"/>
          </w:tcPr>
          <w:p>
            <w:r>
              <w:rPr>
                <w:rFonts w:ascii="Times New Roman" w:hAnsi="Times New Roman" w:eastAsia="宋体"/>
                <w:b w:val="0"/>
                <w:sz w:val="21"/>
              </w:rPr>
              <w:t>CCI + 季节（正弦/余弦）</w:t>
            </w:r>
          </w:p>
        </w:tc>
        <w:tc>
          <w:tcPr>
            <w:tcW w:type="dxa" w:w="2158"/>
          </w:tcPr>
          <w:p>
            <w:r>
              <w:rPr>
                <w:rFonts w:ascii="Times New Roman" w:hAnsi="Times New Roman" w:eastAsia="宋体"/>
                <w:b w:val="0"/>
                <w:sz w:val="21"/>
              </w:rPr>
              <w:t>0.0637</w:t>
            </w:r>
          </w:p>
        </w:tc>
        <w:tc>
          <w:tcPr>
            <w:tcW w:type="dxa" w:w="2158"/>
          </w:tcPr>
          <w:p>
            <w:r>
              <w:rPr>
                <w:rFonts w:ascii="Times New Roman" w:hAnsi="Times New Roman" w:eastAsia="宋体"/>
                <w:b w:val="0"/>
                <w:sz w:val="21"/>
              </w:rPr>
              <w:t>0.0242</w:t>
            </w:r>
          </w:p>
        </w:tc>
      </w:tr>
      <w:tr>
        <w:tc>
          <w:tcPr>
            <w:tcW w:type="dxa" w:w="2158"/>
          </w:tcPr>
          <w:p>
            <w:r>
              <w:rPr>
                <w:rFonts w:ascii="Times New Roman" w:hAnsi="Times New Roman" w:eastAsia="宋体"/>
                <w:b w:val="0"/>
                <w:sz w:val="21"/>
              </w:rPr>
              <w:t>模型3</w:t>
            </w:r>
          </w:p>
        </w:tc>
        <w:tc>
          <w:tcPr>
            <w:tcW w:type="dxa" w:w="2158"/>
          </w:tcPr>
          <w:p>
            <w:r>
              <w:rPr>
                <w:rFonts w:ascii="Times New Roman" w:hAnsi="Times New Roman" w:eastAsia="宋体"/>
                <w:b w:val="0"/>
                <w:sz w:val="21"/>
              </w:rPr>
              <w:t>CCI + 季节 + 疫情</w:t>
            </w:r>
          </w:p>
        </w:tc>
        <w:tc>
          <w:tcPr>
            <w:tcW w:type="dxa" w:w="2158"/>
          </w:tcPr>
          <w:p>
            <w:r>
              <w:rPr>
                <w:rFonts w:ascii="Times New Roman" w:hAnsi="Times New Roman" w:eastAsia="宋体"/>
                <w:b w:val="0"/>
                <w:sz w:val="21"/>
              </w:rPr>
              <w:t>0.0637</w:t>
            </w:r>
          </w:p>
        </w:tc>
        <w:tc>
          <w:tcPr>
            <w:tcW w:type="dxa" w:w="2158"/>
          </w:tcPr>
          <w:p>
            <w:r>
              <w:rPr>
                <w:rFonts w:ascii="Times New Roman" w:hAnsi="Times New Roman" w:eastAsia="宋体"/>
                <w:b w:val="0"/>
                <w:sz w:val="21"/>
              </w:rPr>
              <w:t>0.0242</w:t>
            </w:r>
          </w:p>
        </w:tc>
      </w:tr>
      <w:tr>
        <w:tc>
          <w:tcPr>
            <w:tcW w:type="dxa" w:w="2158"/>
          </w:tcPr>
          <w:p>
            <w:r>
              <w:rPr>
                <w:rFonts w:ascii="Times New Roman" w:hAnsi="Times New Roman" w:eastAsia="宋体"/>
                <w:b w:val="0"/>
                <w:sz w:val="21"/>
              </w:rPr>
              <w:t>模型4</w:t>
            </w:r>
          </w:p>
        </w:tc>
        <w:tc>
          <w:tcPr>
            <w:tcW w:type="dxa" w:w="2158"/>
          </w:tcPr>
          <w:p>
            <w:r>
              <w:rPr>
                <w:rFonts w:ascii="Times New Roman" w:hAnsi="Times New Roman" w:eastAsia="宋体"/>
                <w:b w:val="0"/>
                <w:sz w:val="21"/>
              </w:rPr>
              <w:t>CCI + 气温 + 降雨 + 季节 + 疫情</w:t>
            </w:r>
          </w:p>
        </w:tc>
        <w:tc>
          <w:tcPr>
            <w:tcW w:type="dxa" w:w="2158"/>
          </w:tcPr>
          <w:p>
            <w:r>
              <w:rPr>
                <w:rFonts w:ascii="Times New Roman" w:hAnsi="Times New Roman" w:eastAsia="宋体"/>
                <w:b w:val="0"/>
                <w:sz w:val="21"/>
              </w:rPr>
              <w:t>0.1221</w:t>
            </w:r>
          </w:p>
        </w:tc>
        <w:tc>
          <w:tcPr>
            <w:tcW w:type="dxa" w:w="2158"/>
          </w:tcPr>
          <w:p>
            <w:r>
              <w:rPr>
                <w:rFonts w:ascii="Times New Roman" w:hAnsi="Times New Roman" w:eastAsia="宋体"/>
                <w:b w:val="0"/>
                <w:sz w:val="21"/>
              </w:rPr>
              <w:t>0.0446</w:t>
            </w:r>
          </w:p>
        </w:tc>
      </w:tr>
    </w:tbl>
    <w:p>
      <w:pPr>
        <w:spacing w:lineRule="exact" w:line="400" w:before="200" w:after="200"/>
      </w:pPr>
      <w:r>
        <w:rPr>
          <w:rFonts w:ascii="Times New Roman" w:hAnsi="Times New Roman" w:eastAsia="宋体"/>
          <w:b/>
          <w:sz w:val="24"/>
        </w:rPr>
        <w:t>模型4回归结果：</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rFonts w:ascii="Times New Roman" w:hAnsi="Times New Roman" w:eastAsia="宋体"/>
                <w:b/>
                <w:sz w:val="21"/>
              </w:rPr>
              <w:t>变量</w:t>
            </w:r>
          </w:p>
        </w:tc>
        <w:tc>
          <w:tcPr>
            <w:tcW w:type="dxa" w:w="1727"/>
          </w:tcPr>
          <w:p>
            <w:r>
              <w:rPr>
                <w:rFonts w:ascii="Times New Roman" w:hAnsi="Times New Roman" w:eastAsia="宋体"/>
                <w:b/>
                <w:sz w:val="21"/>
              </w:rPr>
              <w:t>系数</w:t>
            </w:r>
          </w:p>
        </w:tc>
        <w:tc>
          <w:tcPr>
            <w:tcW w:type="dxa" w:w="1727"/>
          </w:tcPr>
          <w:p>
            <w:r>
              <w:rPr>
                <w:rFonts w:ascii="Times New Roman" w:hAnsi="Times New Roman" w:eastAsia="宋体"/>
                <w:b/>
                <w:sz w:val="21"/>
              </w:rPr>
              <w:t>标准误</w:t>
            </w:r>
          </w:p>
        </w:tc>
        <w:tc>
          <w:tcPr>
            <w:tcW w:type="dxa" w:w="1727"/>
          </w:tcPr>
          <w:p>
            <w:r>
              <w:rPr>
                <w:rFonts w:ascii="Times New Roman" w:hAnsi="Times New Roman" w:eastAsia="宋体"/>
                <w:b/>
                <w:sz w:val="21"/>
              </w:rPr>
              <w:t>t值</w:t>
            </w:r>
          </w:p>
        </w:tc>
        <w:tc>
          <w:tcPr>
            <w:tcW w:type="dxa" w:w="1727"/>
          </w:tcPr>
          <w:p>
            <w:r>
              <w:rPr>
                <w:rFonts w:ascii="Times New Roman" w:hAnsi="Times New Roman" w:eastAsia="宋体"/>
                <w:b/>
                <w:sz w:val="21"/>
              </w:rPr>
              <w:t>p值</w:t>
            </w:r>
          </w:p>
        </w:tc>
      </w:tr>
      <w:tr>
        <w:tc>
          <w:tcPr>
            <w:tcW w:type="dxa" w:w="1727"/>
          </w:tcPr>
          <w:p>
            <w:r>
              <w:rPr>
                <w:rFonts w:ascii="Times New Roman" w:hAnsi="Times New Roman" w:eastAsia="宋体"/>
                <w:b w:val="0"/>
                <w:sz w:val="21"/>
              </w:rPr>
              <w:t>常数项</w:t>
            </w:r>
          </w:p>
        </w:tc>
        <w:tc>
          <w:tcPr>
            <w:tcW w:type="dxa" w:w="1727"/>
          </w:tcPr>
          <w:p>
            <w:r>
              <w:rPr>
                <w:rFonts w:ascii="Times New Roman" w:hAnsi="Times New Roman" w:eastAsia="宋体"/>
                <w:b w:val="0"/>
                <w:sz w:val="21"/>
              </w:rPr>
              <w:t>-924.30</w:t>
            </w:r>
          </w:p>
        </w:tc>
        <w:tc>
          <w:tcPr>
            <w:tcW w:type="dxa" w:w="1727"/>
          </w:tcPr>
          <w:p>
            <w:r>
              <w:rPr>
                <w:rFonts w:ascii="Times New Roman" w:hAnsi="Times New Roman" w:eastAsia="宋体"/>
                <w:b w:val="0"/>
                <w:sz w:val="21"/>
              </w:rPr>
              <w:t>915.44</w:t>
            </w:r>
          </w:p>
        </w:tc>
        <w:tc>
          <w:tcPr>
            <w:tcW w:type="dxa" w:w="1727"/>
          </w:tcPr>
          <w:p>
            <w:r>
              <w:rPr>
                <w:rFonts w:ascii="Times New Roman" w:hAnsi="Times New Roman" w:eastAsia="宋体"/>
                <w:b w:val="0"/>
                <w:sz w:val="21"/>
              </w:rPr>
              <w:t>-1.010</w:t>
            </w:r>
          </w:p>
        </w:tc>
        <w:tc>
          <w:tcPr>
            <w:tcW w:type="dxa" w:w="1727"/>
          </w:tcPr>
          <w:p>
            <w:r>
              <w:rPr>
                <w:rFonts w:ascii="Times New Roman" w:hAnsi="Times New Roman" w:eastAsia="宋体"/>
                <w:b w:val="0"/>
                <w:sz w:val="21"/>
              </w:rPr>
              <w:t>0.316</w:t>
            </w:r>
          </w:p>
        </w:tc>
      </w:tr>
      <w:tr>
        <w:tc>
          <w:tcPr>
            <w:tcW w:type="dxa" w:w="1727"/>
          </w:tcPr>
          <w:p>
            <w:r>
              <w:rPr>
                <w:rFonts w:ascii="Times New Roman" w:hAnsi="Times New Roman" w:eastAsia="宋体"/>
                <w:b w:val="0"/>
                <w:sz w:val="21"/>
              </w:rPr>
              <w:t>CCI</w:t>
            </w:r>
          </w:p>
        </w:tc>
        <w:tc>
          <w:tcPr>
            <w:tcW w:type="dxa" w:w="1727"/>
          </w:tcPr>
          <w:p>
            <w:r>
              <w:rPr>
                <w:rFonts w:ascii="Times New Roman" w:hAnsi="Times New Roman" w:eastAsia="宋体"/>
                <w:b w:val="0"/>
                <w:sz w:val="21"/>
              </w:rPr>
              <w:t>-4.48</w:t>
            </w:r>
          </w:p>
        </w:tc>
        <w:tc>
          <w:tcPr>
            <w:tcW w:type="dxa" w:w="1727"/>
          </w:tcPr>
          <w:p>
            <w:r>
              <w:rPr>
                <w:rFonts w:ascii="Times New Roman" w:hAnsi="Times New Roman" w:eastAsia="宋体"/>
                <w:b w:val="0"/>
                <w:sz w:val="21"/>
              </w:rPr>
              <w:t>4.00</w:t>
            </w:r>
          </w:p>
        </w:tc>
        <w:tc>
          <w:tcPr>
            <w:tcW w:type="dxa" w:w="1727"/>
          </w:tcPr>
          <w:p>
            <w:r>
              <w:rPr>
                <w:rFonts w:ascii="Times New Roman" w:hAnsi="Times New Roman" w:eastAsia="宋体"/>
                <w:b w:val="0"/>
                <w:sz w:val="21"/>
              </w:rPr>
              <w:t>-1.122</w:t>
            </w:r>
          </w:p>
        </w:tc>
        <w:tc>
          <w:tcPr>
            <w:tcW w:type="dxa" w:w="1727"/>
          </w:tcPr>
          <w:p>
            <w:r>
              <w:rPr>
                <w:rFonts w:ascii="Times New Roman" w:hAnsi="Times New Roman" w:eastAsia="宋体"/>
                <w:b w:val="0"/>
                <w:sz w:val="21"/>
              </w:rPr>
              <w:t>0.266</w:t>
            </w:r>
          </w:p>
        </w:tc>
      </w:tr>
      <w:tr>
        <w:tc>
          <w:tcPr>
            <w:tcW w:type="dxa" w:w="1727"/>
          </w:tcPr>
          <w:p>
            <w:r>
              <w:rPr>
                <w:rFonts w:ascii="Times New Roman" w:hAnsi="Times New Roman" w:eastAsia="宋体"/>
                <w:b w:val="0"/>
                <w:sz w:val="21"/>
              </w:rPr>
              <w:t>平均气温</w:t>
            </w:r>
          </w:p>
        </w:tc>
        <w:tc>
          <w:tcPr>
            <w:tcW w:type="dxa" w:w="1727"/>
          </w:tcPr>
          <w:p>
            <w:r>
              <w:rPr>
                <w:rFonts w:ascii="Times New Roman" w:hAnsi="Times New Roman" w:eastAsia="宋体"/>
                <w:b w:val="0"/>
                <w:sz w:val="21"/>
              </w:rPr>
              <w:t>73.43</w:t>
            </w:r>
          </w:p>
        </w:tc>
        <w:tc>
          <w:tcPr>
            <w:tcW w:type="dxa" w:w="1727"/>
          </w:tcPr>
          <w:p>
            <w:r>
              <w:rPr>
                <w:rFonts w:ascii="Times New Roman" w:hAnsi="Times New Roman" w:eastAsia="宋体"/>
                <w:b w:val="0"/>
                <w:sz w:val="21"/>
              </w:rPr>
              <w:t>48.20</w:t>
            </w:r>
          </w:p>
        </w:tc>
        <w:tc>
          <w:tcPr>
            <w:tcW w:type="dxa" w:w="1727"/>
          </w:tcPr>
          <w:p>
            <w:r>
              <w:rPr>
                <w:rFonts w:ascii="Times New Roman" w:hAnsi="Times New Roman" w:eastAsia="宋体"/>
                <w:b w:val="0"/>
                <w:sz w:val="21"/>
              </w:rPr>
              <w:t>1.523</w:t>
            </w:r>
          </w:p>
        </w:tc>
        <w:tc>
          <w:tcPr>
            <w:tcW w:type="dxa" w:w="1727"/>
          </w:tcPr>
          <w:p>
            <w:r>
              <w:rPr>
                <w:rFonts w:ascii="Times New Roman" w:hAnsi="Times New Roman" w:eastAsia="宋体"/>
                <w:b w:val="0"/>
                <w:sz w:val="21"/>
              </w:rPr>
              <w:t>0.132</w:t>
            </w:r>
          </w:p>
        </w:tc>
      </w:tr>
      <w:tr>
        <w:tc>
          <w:tcPr>
            <w:tcW w:type="dxa" w:w="1727"/>
          </w:tcPr>
          <w:p>
            <w:r>
              <w:rPr>
                <w:rFonts w:ascii="Times New Roman" w:hAnsi="Times New Roman" w:eastAsia="宋体"/>
                <w:b w:val="0"/>
                <w:sz w:val="21"/>
              </w:rPr>
              <w:t>降雨天数</w:t>
            </w:r>
          </w:p>
        </w:tc>
        <w:tc>
          <w:tcPr>
            <w:tcW w:type="dxa" w:w="1727"/>
          </w:tcPr>
          <w:p>
            <w:r>
              <w:rPr>
                <w:rFonts w:ascii="Times New Roman" w:hAnsi="Times New Roman" w:eastAsia="宋体"/>
                <w:b w:val="0"/>
                <w:sz w:val="21"/>
              </w:rPr>
              <w:t>15.02</w:t>
            </w:r>
          </w:p>
        </w:tc>
        <w:tc>
          <w:tcPr>
            <w:tcW w:type="dxa" w:w="1727"/>
          </w:tcPr>
          <w:p>
            <w:r>
              <w:rPr>
                <w:rFonts w:ascii="Times New Roman" w:hAnsi="Times New Roman" w:eastAsia="宋体"/>
                <w:b w:val="0"/>
                <w:sz w:val="21"/>
              </w:rPr>
              <w:t>11.16</w:t>
            </w:r>
          </w:p>
        </w:tc>
        <w:tc>
          <w:tcPr>
            <w:tcW w:type="dxa" w:w="1727"/>
          </w:tcPr>
          <w:p>
            <w:r>
              <w:rPr>
                <w:rFonts w:ascii="Times New Roman" w:hAnsi="Times New Roman" w:eastAsia="宋体"/>
                <w:b w:val="0"/>
                <w:sz w:val="21"/>
              </w:rPr>
              <w:t>1.346</w:t>
            </w:r>
          </w:p>
        </w:tc>
        <w:tc>
          <w:tcPr>
            <w:tcW w:type="dxa" w:w="1727"/>
          </w:tcPr>
          <w:p>
            <w:r>
              <w:rPr>
                <w:rFonts w:ascii="Times New Roman" w:hAnsi="Times New Roman" w:eastAsia="宋体"/>
                <w:b w:val="0"/>
                <w:sz w:val="21"/>
              </w:rPr>
              <w:t>0.183</w:t>
            </w:r>
          </w:p>
        </w:tc>
      </w:tr>
      <w:tr>
        <w:tc>
          <w:tcPr>
            <w:tcW w:type="dxa" w:w="1727"/>
          </w:tcPr>
          <w:p>
            <w:r>
              <w:rPr>
                <w:rFonts w:ascii="Times New Roman" w:hAnsi="Times New Roman" w:eastAsia="宋体"/>
                <w:b w:val="0"/>
                <w:sz w:val="21"/>
              </w:rPr>
              <w:t>高温天数</w:t>
            </w:r>
          </w:p>
        </w:tc>
        <w:tc>
          <w:tcPr>
            <w:tcW w:type="dxa" w:w="1727"/>
          </w:tcPr>
          <w:p>
            <w:r>
              <w:rPr>
                <w:rFonts w:ascii="Times New Roman" w:hAnsi="Times New Roman" w:eastAsia="宋体"/>
                <w:b w:val="0"/>
                <w:sz w:val="21"/>
              </w:rPr>
              <w:t>9.47</w:t>
            </w:r>
          </w:p>
        </w:tc>
        <w:tc>
          <w:tcPr>
            <w:tcW w:type="dxa" w:w="1727"/>
          </w:tcPr>
          <w:p>
            <w:r>
              <w:rPr>
                <w:rFonts w:ascii="Times New Roman" w:hAnsi="Times New Roman" w:eastAsia="宋体"/>
                <w:b w:val="0"/>
                <w:sz w:val="21"/>
              </w:rPr>
              <w:t>21.07</w:t>
            </w:r>
          </w:p>
        </w:tc>
        <w:tc>
          <w:tcPr>
            <w:tcW w:type="dxa" w:w="1727"/>
          </w:tcPr>
          <w:p>
            <w:r>
              <w:rPr>
                <w:rFonts w:ascii="Times New Roman" w:hAnsi="Times New Roman" w:eastAsia="宋体"/>
                <w:b w:val="0"/>
                <w:sz w:val="21"/>
              </w:rPr>
              <w:t>0.450</w:t>
            </w:r>
          </w:p>
        </w:tc>
        <w:tc>
          <w:tcPr>
            <w:tcW w:type="dxa" w:w="1727"/>
          </w:tcPr>
          <w:p>
            <w:r>
              <w:rPr>
                <w:rFonts w:ascii="Times New Roman" w:hAnsi="Times New Roman" w:eastAsia="宋体"/>
                <w:b w:val="0"/>
                <w:sz w:val="21"/>
              </w:rPr>
              <w:t>0.654</w:t>
            </w:r>
          </w:p>
        </w:tc>
      </w:tr>
      <w:tr>
        <w:tc>
          <w:tcPr>
            <w:tcW w:type="dxa" w:w="1727"/>
          </w:tcPr>
          <w:p>
            <w:r>
              <w:rPr>
                <w:rFonts w:ascii="Times New Roman" w:hAnsi="Times New Roman" w:eastAsia="宋体"/>
                <w:b w:val="0"/>
                <w:sz w:val="21"/>
              </w:rPr>
              <w:t>季节正弦</w:t>
            </w:r>
          </w:p>
        </w:tc>
        <w:tc>
          <w:tcPr>
            <w:tcW w:type="dxa" w:w="1727"/>
          </w:tcPr>
          <w:p>
            <w:r>
              <w:rPr>
                <w:rFonts w:ascii="Times New Roman" w:hAnsi="Times New Roman" w:eastAsia="宋体"/>
                <w:b w:val="0"/>
                <w:sz w:val="21"/>
              </w:rPr>
              <w:t>127.58</w:t>
            </w:r>
          </w:p>
        </w:tc>
        <w:tc>
          <w:tcPr>
            <w:tcW w:type="dxa" w:w="1727"/>
          </w:tcPr>
          <w:p>
            <w:r>
              <w:rPr>
                <w:rFonts w:ascii="Times New Roman" w:hAnsi="Times New Roman" w:eastAsia="宋体"/>
                <w:b w:val="0"/>
                <w:sz w:val="21"/>
              </w:rPr>
              <w:t>166.47</w:t>
            </w:r>
          </w:p>
        </w:tc>
        <w:tc>
          <w:tcPr>
            <w:tcW w:type="dxa" w:w="1727"/>
          </w:tcPr>
          <w:p>
            <w:r>
              <w:rPr>
                <w:rFonts w:ascii="Times New Roman" w:hAnsi="Times New Roman" w:eastAsia="宋体"/>
                <w:b w:val="0"/>
                <w:sz w:val="21"/>
              </w:rPr>
              <w:t>0.766</w:t>
            </w:r>
          </w:p>
        </w:tc>
        <w:tc>
          <w:tcPr>
            <w:tcW w:type="dxa" w:w="1727"/>
          </w:tcPr>
          <w:p>
            <w:r>
              <w:rPr>
                <w:rFonts w:ascii="Times New Roman" w:hAnsi="Times New Roman" w:eastAsia="宋体"/>
                <w:b w:val="0"/>
                <w:sz w:val="21"/>
              </w:rPr>
              <w:t>0.446</w:t>
            </w:r>
          </w:p>
        </w:tc>
      </w:tr>
      <w:tr>
        <w:tc>
          <w:tcPr>
            <w:tcW w:type="dxa" w:w="1727"/>
          </w:tcPr>
          <w:p>
            <w:r>
              <w:rPr>
                <w:rFonts w:ascii="Times New Roman" w:hAnsi="Times New Roman" w:eastAsia="宋体"/>
                <w:b w:val="0"/>
                <w:sz w:val="21"/>
              </w:rPr>
              <w:t>季节余弦</w:t>
            </w:r>
          </w:p>
        </w:tc>
        <w:tc>
          <w:tcPr>
            <w:tcW w:type="dxa" w:w="1727"/>
          </w:tcPr>
          <w:p>
            <w:r>
              <w:rPr>
                <w:rFonts w:ascii="Times New Roman" w:hAnsi="Times New Roman" w:eastAsia="宋体"/>
                <w:b w:val="0"/>
                <w:sz w:val="21"/>
              </w:rPr>
              <w:t>650.48</w:t>
            </w:r>
          </w:p>
        </w:tc>
        <w:tc>
          <w:tcPr>
            <w:tcW w:type="dxa" w:w="1727"/>
          </w:tcPr>
          <w:p>
            <w:r>
              <w:rPr>
                <w:rFonts w:ascii="Times New Roman" w:hAnsi="Times New Roman" w:eastAsia="宋体"/>
                <w:b w:val="0"/>
                <w:sz w:val="21"/>
              </w:rPr>
              <w:t>403.98</w:t>
            </w:r>
          </w:p>
        </w:tc>
        <w:tc>
          <w:tcPr>
            <w:tcW w:type="dxa" w:w="1727"/>
          </w:tcPr>
          <w:p>
            <w:r>
              <w:rPr>
                <w:rFonts w:ascii="Times New Roman" w:hAnsi="Times New Roman" w:eastAsia="宋体"/>
                <w:b w:val="0"/>
                <w:sz w:val="21"/>
              </w:rPr>
              <w:t>1.610</w:t>
            </w:r>
          </w:p>
        </w:tc>
        <w:tc>
          <w:tcPr>
            <w:tcW w:type="dxa" w:w="1727"/>
          </w:tcPr>
          <w:p>
            <w:r>
              <w:rPr>
                <w:rFonts w:ascii="Times New Roman" w:hAnsi="Times New Roman" w:eastAsia="宋体"/>
                <w:b w:val="0"/>
                <w:sz w:val="21"/>
              </w:rPr>
              <w:t>0.112</w:t>
            </w:r>
          </w:p>
        </w:tc>
      </w:tr>
    </w:tbl>
    <w:p>
      <w:pPr>
        <w:spacing w:lineRule="exact" w:line="400" w:before="200" w:after="200"/>
        <w:ind w:firstLine="420"/>
        <w:jc w:val="both"/>
      </w:pPr>
      <w:r>
        <w:rPr>
          <w:rFonts w:ascii="Times New Roman" w:hAnsi="Times New Roman" w:eastAsia="宋体"/>
          <w:b/>
          <w:sz w:val="24"/>
        </w:rPr>
        <w:t>模型解释力分析：</w:t>
      </w:r>
      <w:r>
        <w:rPr>
          <w:rFonts w:ascii="Times New Roman" w:hAnsi="Times New Roman" w:eastAsia="宋体"/>
          <w:b w:val="0"/>
          <w:sz w:val="24"/>
        </w:rPr>
        <w:t xml:space="preserve"> 月度回归模型的调整R2仅为0.0446，远低于季度数据的0.6888。这一差异的原因在于：（1）月度数据包含了更多的短期波动噪声，而季度数据通过聚合平滑了这些噪声；（2）月度数据中气候变量的变异幅度较小，难以解释游客量的大幅波动；（3）游客量受节假日、周末效应等非气候因素的短期影响更大。</w:t>
      </w:r>
    </w:p>
    <w:p>
      <w:pPr>
        <w:spacing w:lineRule="exact" w:line="400" w:before="200" w:after="200"/>
        <w:ind w:firstLine="420"/>
        <w:jc w:val="both"/>
      </w:pPr>
      <w:r>
        <w:rPr>
          <w:rFonts w:ascii="Times New Roman" w:hAnsi="Times New Roman" w:eastAsia="宋体"/>
          <w:b/>
          <w:sz w:val="24"/>
        </w:rPr>
        <w:t>关键发现：</w:t>
      </w:r>
      <w:r>
        <w:rPr>
          <w:rFonts w:ascii="Times New Roman" w:hAnsi="Times New Roman" w:eastAsia="宋体"/>
          <w:b w:val="0"/>
          <w:sz w:val="24"/>
        </w:rPr>
        <w:t xml:space="preserve"> 尽管整体解释力有限，模型揭示了两个重要规律：（1）平均气温的系数为正（73.43），说明气温升高总体上促进旅游，这与桂林作为避寒旅游目的地的定位一致；（2）季节余弦项系数最大（650.48），说明年内季节性波动是影响月度游客量的最重要因素。</w:t>
      </w:r>
    </w:p>
    <w:p>
      <w:pPr>
        <w:spacing w:lineRule="exact" w:line="400" w:before="200" w:after="120"/>
        <w:jc w:val="center"/>
      </w:pPr>
      <w:r>
        <w:t>[图片: 6_CCI与游客量关系.html]</w:t>
      </w:r>
    </w:p>
    <w:p>
      <w:pPr>
        <w:spacing w:lineRule="exact" w:line="400" w:before="40" w:after="200"/>
        <w:jc w:val="center"/>
      </w:pPr>
      <w:r>
        <w:rPr>
          <w:rFonts w:ascii="Times New Roman" w:hAnsi="Times New Roman" w:eastAsia="宋体"/>
          <w:b/>
          <w:sz w:val="21"/>
        </w:rPr>
        <w:t>图9 CCI与游客量的散点关系及回归拟合</w:t>
      </w:r>
    </w:p>
    <w:p>
      <w:pPr>
        <w:spacing w:lineRule="exact" w:line="400" w:before="200" w:after="200"/>
        <w:jc w:val="center"/>
      </w:pPr>
      <w:r>
        <w:rPr>
          <w:rFonts w:ascii="Times New Roman" w:hAnsi="Times New Roman" w:eastAsia="宋体"/>
          <w:b w:val="0"/>
          <w:color w:val="808080"/>
          <w:sz w:val="21"/>
        </w:rPr>
        <w:t>[图片: 图5_气候对旅游产业影响机制图.png - 需手动插入]</w:t>
      </w:r>
    </w:p>
    <w:p>
      <w:pPr>
        <w:spacing w:lineRule="exact" w:line="400" w:before="200" w:after="120"/>
        <w:jc w:val="center"/>
      </w:pPr>
      <w:r>
        <w:t>[图片: 1_CCI热力图.html]</w:t>
      </w:r>
    </w:p>
    <w:p>
      <w:pPr>
        <w:spacing w:lineRule="exact" w:line="400" w:before="40" w:after="200"/>
        <w:jc w:val="center"/>
      </w:pPr>
      <w:r>
        <w:rPr>
          <w:rFonts w:ascii="Times New Roman" w:hAnsi="Times New Roman" w:eastAsia="宋体"/>
          <w:b/>
          <w:sz w:val="21"/>
        </w:rPr>
        <w:t>图11 2011-2025年桂林CCI逐日热力图</w:t>
      </w:r>
    </w:p>
    <w:p>
      <w:pPr>
        <w:spacing w:lineRule="exact" w:line="400" w:before="200" w:after="120"/>
      </w:pPr>
      <w:r>
        <w:rPr>
          <w:rFonts w:ascii="Times New Roman" w:hAnsi="Times New Roman" w:eastAsia="黑体"/>
          <w:b/>
          <w:sz w:val="24"/>
        </w:rPr>
        <w:t>5.4.3 月度游客量指数与季节性分析</w:t>
      </w:r>
    </w:p>
    <w:p>
      <w:pPr>
        <w:spacing w:lineRule="exact" w:line="400" w:before="200" w:after="200"/>
        <w:ind w:firstLine="420"/>
        <w:jc w:val="both"/>
      </w:pPr>
      <w:r>
        <w:rPr>
          <w:rFonts w:ascii="Times New Roman" w:hAnsi="Times New Roman" w:eastAsia="宋体"/>
          <w:b w:val="0"/>
          <w:sz w:val="24"/>
        </w:rPr>
        <w:t>为量化气候舒适度对旅游业的边际影响，借鉴曹伟宏等[13]的虚拟变量回归方法，将月度游客量标准化为占全年总量的百分比（月度游客量指数），以消除年度总量增长的干扰，聚焦于年内季节性波动与气候的关系。</w:t>
      </w:r>
    </w:p>
    <w:p>
      <w:pPr>
        <w:spacing w:lineRule="exact" w:line="400" w:before="200" w:after="200"/>
      </w:pPr>
      <w:r>
        <w:rPr>
          <w:rFonts w:ascii="Times New Roman" w:hAnsi="Times New Roman" w:eastAsia="宋体"/>
          <w:b/>
          <w:sz w:val="24"/>
        </w:rPr>
        <w:t>（1）月度游客量指数计算</w:t>
      </w:r>
    </w:p>
    <w:p>
      <w:pPr>
        <w:spacing w:lineRule="exact" w:line="400" w:before="200" w:after="200"/>
        <w:jc w:val="center"/>
      </w:pPr>
      <w:r>
        <w:rPr>
          <w:rFonts w:ascii="Times New Roman" w:hAnsi="Times New Roman" w:eastAsia="宋体"/>
          <w:b w:val="0"/>
          <w:sz w:val="22"/>
        </w:rPr>
        <w:t>Mₙ(index) =  (月度游客量))(年度总游客量)) times 100%</w:t>
      </w:r>
      <w:r>
        <w:rPr>
          <w:rFonts w:ascii="Times New Roman" w:hAnsi="Times New Roman" w:eastAsia="宋体"/>
          <w:b w:val="0"/>
          <w:sz w:val="22"/>
        </w:rPr>
        <w:t xml:space="preserve">    (21)</w:t>
      </w:r>
    </w:p>
    <w:p>
      <w:pPr>
        <w:spacing w:lineRule="exact" w:line="400" w:before="200" w:after="200"/>
        <w:ind w:firstLine="420"/>
        <w:jc w:val="both"/>
      </w:pPr>
      <w:r>
        <w:rPr>
          <w:rFonts w:ascii="Times New Roman" w:hAnsi="Times New Roman" w:eastAsia="宋体"/>
          <w:b w:val="0"/>
          <w:sz w:val="24"/>
        </w:rPr>
        <w:t>基于75个月度数据，计算各月平均游客量指数：</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r>
              <w:rPr>
                <w:rFonts w:ascii="Times New Roman" w:hAnsi="Times New Roman" w:eastAsia="宋体"/>
                <w:b/>
                <w:sz w:val="21"/>
              </w:rPr>
              <w:t>月份</w:t>
            </w:r>
          </w:p>
        </w:tc>
        <w:tc>
          <w:tcPr>
            <w:tcW w:type="dxa" w:w="2158"/>
          </w:tcPr>
          <w:p>
            <w:r>
              <w:rPr>
                <w:rFonts w:ascii="Times New Roman" w:hAnsi="Times New Roman" w:eastAsia="宋体"/>
                <w:b/>
                <w:sz w:val="21"/>
              </w:rPr>
              <w:t>平均游客量指数</w:t>
            </w:r>
          </w:p>
        </w:tc>
        <w:tc>
          <w:tcPr>
            <w:tcW w:type="dxa" w:w="2158"/>
          </w:tcPr>
          <w:p>
            <w:r>
              <w:rPr>
                <w:rFonts w:ascii="Times New Roman" w:hAnsi="Times New Roman" w:eastAsia="宋体"/>
                <w:b/>
                <w:sz w:val="21"/>
              </w:rPr>
              <w:t>月份</w:t>
            </w:r>
          </w:p>
        </w:tc>
        <w:tc>
          <w:tcPr>
            <w:tcW w:type="dxa" w:w="2158"/>
          </w:tcPr>
          <w:p>
            <w:r>
              <w:rPr>
                <w:rFonts w:ascii="Times New Roman" w:hAnsi="Times New Roman" w:eastAsia="宋体"/>
                <w:b/>
                <w:sz w:val="21"/>
              </w:rPr>
              <w:t>平均游客量指数</w:t>
            </w:r>
          </w:p>
        </w:tc>
      </w:tr>
      <w:tr>
        <w:tc>
          <w:tcPr>
            <w:tcW w:type="dxa" w:w="2158"/>
          </w:tcPr>
          <w:p>
            <w:r>
              <w:rPr>
                <w:rFonts w:ascii="Times New Roman" w:hAnsi="Times New Roman" w:eastAsia="宋体"/>
                <w:b w:val="0"/>
                <w:sz w:val="21"/>
              </w:rPr>
              <w:t>1月</w:t>
            </w:r>
          </w:p>
        </w:tc>
        <w:tc>
          <w:tcPr>
            <w:tcW w:type="dxa" w:w="2158"/>
          </w:tcPr>
          <w:p>
            <w:r>
              <w:rPr>
                <w:rFonts w:ascii="Times New Roman" w:hAnsi="Times New Roman" w:eastAsia="宋体"/>
                <w:b w:val="0"/>
                <w:sz w:val="21"/>
              </w:rPr>
              <w:t>5.9%</w:t>
            </w:r>
          </w:p>
        </w:tc>
        <w:tc>
          <w:tcPr>
            <w:tcW w:type="dxa" w:w="2158"/>
          </w:tcPr>
          <w:p>
            <w:r>
              <w:rPr>
                <w:rFonts w:ascii="Times New Roman" w:hAnsi="Times New Roman" w:eastAsia="宋体"/>
                <w:b w:val="0"/>
                <w:sz w:val="21"/>
              </w:rPr>
              <w:t>7月</w:t>
            </w:r>
          </w:p>
        </w:tc>
        <w:tc>
          <w:tcPr>
            <w:tcW w:type="dxa" w:w="2158"/>
          </w:tcPr>
          <w:p>
            <w:r>
              <w:rPr>
                <w:rFonts w:ascii="Times New Roman" w:hAnsi="Times New Roman" w:eastAsia="宋体"/>
                <w:b w:val="0"/>
                <w:sz w:val="21"/>
              </w:rPr>
              <w:t>10.4%</w:t>
            </w:r>
          </w:p>
        </w:tc>
      </w:tr>
      <w:tr>
        <w:tc>
          <w:tcPr>
            <w:tcW w:type="dxa" w:w="2158"/>
          </w:tcPr>
          <w:p>
            <w:r>
              <w:rPr>
                <w:rFonts w:ascii="Times New Roman" w:hAnsi="Times New Roman" w:eastAsia="宋体"/>
                <w:b w:val="0"/>
                <w:sz w:val="21"/>
              </w:rPr>
              <w:t>2月</w:t>
            </w:r>
          </w:p>
        </w:tc>
        <w:tc>
          <w:tcPr>
            <w:tcW w:type="dxa" w:w="2158"/>
          </w:tcPr>
          <w:p>
            <w:r>
              <w:rPr>
                <w:rFonts w:ascii="Times New Roman" w:hAnsi="Times New Roman" w:eastAsia="宋体"/>
                <w:b w:val="0"/>
                <w:sz w:val="21"/>
              </w:rPr>
              <w:t>6.7%</w:t>
            </w:r>
          </w:p>
        </w:tc>
        <w:tc>
          <w:tcPr>
            <w:tcW w:type="dxa" w:w="2158"/>
          </w:tcPr>
          <w:p>
            <w:r>
              <w:rPr>
                <w:rFonts w:ascii="Times New Roman" w:hAnsi="Times New Roman" w:eastAsia="宋体"/>
                <w:b w:val="0"/>
                <w:sz w:val="21"/>
              </w:rPr>
              <w:t>8月</w:t>
            </w:r>
          </w:p>
        </w:tc>
        <w:tc>
          <w:tcPr>
            <w:tcW w:type="dxa" w:w="2158"/>
          </w:tcPr>
          <w:p>
            <w:r>
              <w:rPr>
                <w:rFonts w:ascii="Times New Roman" w:hAnsi="Times New Roman" w:eastAsia="宋体"/>
                <w:b w:val="0"/>
                <w:sz w:val="21"/>
              </w:rPr>
              <w:t>10.6%</w:t>
            </w:r>
          </w:p>
        </w:tc>
      </w:tr>
      <w:tr>
        <w:tc>
          <w:tcPr>
            <w:tcW w:type="dxa" w:w="2158"/>
          </w:tcPr>
          <w:p>
            <w:r>
              <w:rPr>
                <w:rFonts w:ascii="Times New Roman" w:hAnsi="Times New Roman" w:eastAsia="宋体"/>
                <w:b w:val="0"/>
                <w:sz w:val="21"/>
              </w:rPr>
              <w:t>3月</w:t>
            </w:r>
          </w:p>
        </w:tc>
        <w:tc>
          <w:tcPr>
            <w:tcW w:type="dxa" w:w="2158"/>
          </w:tcPr>
          <w:p>
            <w:r>
              <w:rPr>
                <w:rFonts w:ascii="Times New Roman" w:hAnsi="Times New Roman" w:eastAsia="宋体"/>
                <w:b w:val="0"/>
                <w:sz w:val="21"/>
              </w:rPr>
              <w:t>5.9%</w:t>
            </w:r>
          </w:p>
        </w:tc>
        <w:tc>
          <w:tcPr>
            <w:tcW w:type="dxa" w:w="2158"/>
          </w:tcPr>
          <w:p>
            <w:r>
              <w:rPr>
                <w:rFonts w:ascii="Times New Roman" w:hAnsi="Times New Roman" w:eastAsia="宋体"/>
                <w:b w:val="0"/>
                <w:sz w:val="21"/>
              </w:rPr>
              <w:t>9月</w:t>
            </w:r>
          </w:p>
        </w:tc>
        <w:tc>
          <w:tcPr>
            <w:tcW w:type="dxa" w:w="2158"/>
          </w:tcPr>
          <w:p>
            <w:r>
              <w:rPr>
                <w:rFonts w:ascii="Times New Roman" w:hAnsi="Times New Roman" w:eastAsia="宋体"/>
                <w:b w:val="0"/>
                <w:sz w:val="21"/>
              </w:rPr>
              <w:t>9.4%</w:t>
            </w:r>
          </w:p>
        </w:tc>
      </w:tr>
      <w:tr>
        <w:tc>
          <w:tcPr>
            <w:tcW w:type="dxa" w:w="2158"/>
          </w:tcPr>
          <w:p>
            <w:r>
              <w:rPr>
                <w:rFonts w:ascii="Times New Roman" w:hAnsi="Times New Roman" w:eastAsia="宋体"/>
                <w:b w:val="0"/>
                <w:sz w:val="21"/>
              </w:rPr>
              <w:t>4月</w:t>
            </w:r>
          </w:p>
        </w:tc>
        <w:tc>
          <w:tcPr>
            <w:tcW w:type="dxa" w:w="2158"/>
          </w:tcPr>
          <w:p>
            <w:r>
              <w:rPr>
                <w:rFonts w:ascii="Times New Roman" w:hAnsi="Times New Roman" w:eastAsia="宋体"/>
                <w:b w:val="0"/>
                <w:sz w:val="21"/>
              </w:rPr>
              <w:t>8.3%</w:t>
            </w:r>
          </w:p>
        </w:tc>
        <w:tc>
          <w:tcPr>
            <w:tcW w:type="dxa" w:w="2158"/>
          </w:tcPr>
          <w:p>
            <w:r>
              <w:rPr>
                <w:rFonts w:ascii="Times New Roman" w:hAnsi="Times New Roman" w:eastAsia="宋体"/>
                <w:b w:val="0"/>
                <w:sz w:val="21"/>
              </w:rPr>
              <w:t>10月</w:t>
            </w:r>
          </w:p>
        </w:tc>
        <w:tc>
          <w:tcPr>
            <w:tcW w:type="dxa" w:w="2158"/>
          </w:tcPr>
          <w:p>
            <w:r>
              <w:rPr>
                <w:rFonts w:ascii="Times New Roman" w:hAnsi="Times New Roman" w:eastAsia="宋体"/>
                <w:b w:val="0"/>
                <w:sz w:val="21"/>
              </w:rPr>
              <w:t>13.3%</w:t>
            </w:r>
          </w:p>
        </w:tc>
      </w:tr>
      <w:tr>
        <w:tc>
          <w:tcPr>
            <w:tcW w:type="dxa" w:w="2158"/>
          </w:tcPr>
          <w:p>
            <w:r>
              <w:rPr>
                <w:rFonts w:ascii="Times New Roman" w:hAnsi="Times New Roman" w:eastAsia="宋体"/>
                <w:b w:val="0"/>
                <w:sz w:val="21"/>
              </w:rPr>
              <w:t>5月</w:t>
            </w:r>
          </w:p>
        </w:tc>
        <w:tc>
          <w:tcPr>
            <w:tcW w:type="dxa" w:w="2158"/>
          </w:tcPr>
          <w:p>
            <w:r>
              <w:rPr>
                <w:rFonts w:ascii="Times New Roman" w:hAnsi="Times New Roman" w:eastAsia="宋体"/>
                <w:b w:val="0"/>
                <w:sz w:val="21"/>
              </w:rPr>
              <w:t>8.1%</w:t>
            </w:r>
          </w:p>
        </w:tc>
        <w:tc>
          <w:tcPr>
            <w:tcW w:type="dxa" w:w="2158"/>
          </w:tcPr>
          <w:p>
            <w:r>
              <w:rPr>
                <w:rFonts w:ascii="Times New Roman" w:hAnsi="Times New Roman" w:eastAsia="宋体"/>
                <w:b w:val="0"/>
                <w:sz w:val="21"/>
              </w:rPr>
              <w:t>11月</w:t>
            </w:r>
          </w:p>
        </w:tc>
        <w:tc>
          <w:tcPr>
            <w:tcW w:type="dxa" w:w="2158"/>
          </w:tcPr>
          <w:p>
            <w:r>
              <w:rPr>
                <w:rFonts w:ascii="Times New Roman" w:hAnsi="Times New Roman" w:eastAsia="宋体"/>
                <w:b w:val="0"/>
                <w:sz w:val="21"/>
              </w:rPr>
              <w:t>8.6%</w:t>
            </w:r>
          </w:p>
        </w:tc>
      </w:tr>
      <w:tr>
        <w:tc>
          <w:tcPr>
            <w:tcW w:type="dxa" w:w="2158"/>
          </w:tcPr>
          <w:p>
            <w:r>
              <w:rPr>
                <w:rFonts w:ascii="Times New Roman" w:hAnsi="Times New Roman" w:eastAsia="宋体"/>
                <w:b w:val="0"/>
                <w:sz w:val="21"/>
              </w:rPr>
              <w:t>6月</w:t>
            </w:r>
          </w:p>
        </w:tc>
        <w:tc>
          <w:tcPr>
            <w:tcW w:type="dxa" w:w="2158"/>
          </w:tcPr>
          <w:p>
            <w:r>
              <w:rPr>
                <w:rFonts w:ascii="Times New Roman" w:hAnsi="Times New Roman" w:eastAsia="宋体"/>
                <w:b w:val="0"/>
                <w:sz w:val="21"/>
              </w:rPr>
              <w:t>8.5%</w:t>
            </w:r>
          </w:p>
        </w:tc>
        <w:tc>
          <w:tcPr>
            <w:tcW w:type="dxa" w:w="2158"/>
          </w:tcPr>
          <w:p>
            <w:r>
              <w:rPr>
                <w:rFonts w:ascii="Times New Roman" w:hAnsi="Times New Roman" w:eastAsia="宋体"/>
                <w:b w:val="0"/>
                <w:sz w:val="21"/>
              </w:rPr>
              <w:t>12月</w:t>
            </w:r>
          </w:p>
        </w:tc>
        <w:tc>
          <w:tcPr>
            <w:tcW w:type="dxa" w:w="2158"/>
          </w:tcPr>
          <w:p>
            <w:r>
              <w:rPr>
                <w:rFonts w:ascii="Times New Roman" w:hAnsi="Times New Roman" w:eastAsia="宋体"/>
                <w:b w:val="0"/>
                <w:sz w:val="21"/>
              </w:rPr>
              <w:t>14.8%</w:t>
            </w:r>
          </w:p>
        </w:tc>
      </w:tr>
    </w:tbl>
    <w:p>
      <w:pPr>
        <w:spacing w:lineRule="exact" w:line="400" w:before="200" w:after="200"/>
      </w:pPr>
      <w:r>
        <w:rPr>
          <w:rFonts w:ascii="Times New Roman" w:hAnsi="Times New Roman" w:eastAsia="宋体"/>
          <w:b/>
          <w:sz w:val="24"/>
        </w:rPr>
        <w:t>（2）季节性特征分析</w:t>
      </w:r>
    </w:p>
    <w:p>
      <w:pPr>
        <w:spacing w:lineRule="exact" w:line="400" w:before="200" w:after="200"/>
        <w:ind w:firstLine="420"/>
        <w:jc w:val="both"/>
      </w:pPr>
      <w:r>
        <w:rPr>
          <w:rFonts w:ascii="Times New Roman" w:hAnsi="Times New Roman" w:eastAsia="宋体"/>
          <w:b w:val="0"/>
          <w:sz w:val="24"/>
        </w:rPr>
        <w:t>桂林旅游呈现显著的"双峰"季节性特征：</w:t>
      </w:r>
    </w:p>
    <w:p>
      <w:pPr>
        <w:pStyle w:val="ListBullet"/>
        <w:spacing w:lineRule="exact" w:line="400" w:before="200" w:after="200"/>
      </w:pPr>
      <w:r>
        <w:rPr>
          <w:rFonts w:ascii="Times New Roman" w:hAnsi="Times New Roman" w:eastAsia="宋体"/>
          <w:b/>
          <w:sz w:val="24"/>
        </w:rPr>
        <w:t>秋季高峰（10-12月）</w:t>
      </w:r>
      <w:r>
        <w:rPr>
          <w:rFonts w:ascii="Times New Roman" w:hAnsi="Times New Roman" w:eastAsia="宋体"/>
          <w:b w:val="0"/>
          <w:sz w:val="24"/>
        </w:rPr>
        <w:t>：10月（国庆黄金周）游客量指数13.3%，12月达全年最高14.8%，主要受元旦假期和年末旅游旺季驱动。</w:t>
      </w:r>
    </w:p>
    <w:p>
      <w:pPr>
        <w:pStyle w:val="ListBullet"/>
        <w:spacing w:lineRule="exact" w:line="400" w:before="200" w:after="200"/>
      </w:pPr>
      <w:r>
        <w:rPr>
          <w:rFonts w:ascii="Times New Roman" w:hAnsi="Times New Roman" w:eastAsia="宋体"/>
          <w:b/>
          <w:sz w:val="24"/>
        </w:rPr>
        <w:t>夏季高峰（7-8月）</w:t>
      </w:r>
      <w:r>
        <w:rPr>
          <w:rFonts w:ascii="Times New Roman" w:hAnsi="Times New Roman" w:eastAsia="宋体"/>
          <w:b w:val="0"/>
          <w:sz w:val="24"/>
        </w:rPr>
        <w:t>：7-8月游客量指数分别为10.4%和10.6%，受暑假旅游旺季驱动。</w:t>
      </w:r>
    </w:p>
    <w:p>
      <w:pPr>
        <w:pStyle w:val="ListBullet"/>
        <w:spacing w:lineRule="exact" w:line="400" w:before="200" w:after="200"/>
      </w:pPr>
      <w:r>
        <w:rPr>
          <w:rFonts w:ascii="Times New Roman" w:hAnsi="Times New Roman" w:eastAsia="宋体"/>
          <w:b/>
          <w:sz w:val="24"/>
        </w:rPr>
        <w:t>春季低谷（1-3月）</w:t>
      </w:r>
      <w:r>
        <w:rPr>
          <w:rFonts w:ascii="Times New Roman" w:hAnsi="Times New Roman" w:eastAsia="宋体"/>
          <w:b w:val="0"/>
          <w:sz w:val="24"/>
        </w:rPr>
        <w:t>：1月和3月游客量指数仅5.9%，为全年最低，主要受春节返乡潮和冬末气候影响。</w:t>
      </w:r>
    </w:p>
    <w:p>
      <w:pPr>
        <w:pStyle w:val="ListBullet"/>
        <w:spacing w:lineRule="exact" w:line="400" w:before="200" w:after="200"/>
      </w:pPr>
      <w:r>
        <w:rPr>
          <w:rFonts w:ascii="Times New Roman" w:hAnsi="Times New Roman" w:eastAsia="宋体"/>
          <w:b/>
          <w:sz w:val="24"/>
        </w:rPr>
        <w:t>过渡期（4-6月、9月、11月）</w:t>
      </w:r>
      <w:r>
        <w:rPr>
          <w:rFonts w:ascii="Times New Roman" w:hAnsi="Times New Roman" w:eastAsia="宋体"/>
          <w:b w:val="0"/>
          <w:sz w:val="24"/>
        </w:rPr>
        <w:t>：游客量指数在8%-9%之间，为旅游平季。</w:t>
      </w:r>
    </w:p>
    <w:p>
      <w:pPr>
        <w:spacing w:lineRule="exact" w:line="400" w:before="200" w:after="200"/>
      </w:pPr>
      <w:r>
        <w:rPr>
          <w:rFonts w:ascii="Times New Roman" w:hAnsi="Times New Roman" w:eastAsia="宋体"/>
          <w:b/>
          <w:sz w:val="24"/>
        </w:rPr>
        <w:t>（3）气候与季节性的关系</w:t>
      </w:r>
    </w:p>
    <w:p>
      <w:pPr>
        <w:spacing w:lineRule="exact" w:line="400" w:before="200" w:after="200"/>
        <w:ind w:firstLine="420"/>
        <w:jc w:val="both"/>
      </w:pPr>
      <w:r>
        <w:rPr>
          <w:rFonts w:ascii="Times New Roman" w:hAnsi="Times New Roman" w:eastAsia="宋体"/>
          <w:b w:val="0"/>
          <w:sz w:val="24"/>
        </w:rPr>
        <w:t>对比CCI月度变化与游客量指数发现：CCI在4-5月达到峰值（约80），但游客量高峰出现在10-12月（CCI约50-55）。这说明</w:t>
      </w:r>
      <w:r>
        <w:rPr>
          <w:rFonts w:ascii="Times New Roman" w:hAnsi="Times New Roman" w:eastAsia="宋体"/>
          <w:b/>
          <w:sz w:val="24"/>
        </w:rPr>
        <w:t>桂林旅游的季节性主要受节假日和社会因素驱动，而非气候舒适度</w:t>
      </w:r>
      <w:r>
        <w:rPr>
          <w:rFonts w:ascii="Times New Roman" w:hAnsi="Times New Roman" w:eastAsia="宋体"/>
          <w:b w:val="0"/>
          <w:sz w:val="24"/>
        </w:rPr>
        <w:t>。夏季（7-8月）虽然CCI较低（高温多雨），但因暑假效应游客量依然较高；冬季（12月）CCI最低但游客量最高，主要受元旦和年末消费旺季驱动。</w:t>
      </w:r>
    </w:p>
    <w:p>
      <w:pPr>
        <w:spacing w:lineRule="exact" w:line="400" w:before="200" w:after="200"/>
        <w:ind w:firstLine="420"/>
        <w:jc w:val="both"/>
      </w:pPr>
      <w:r>
        <w:rPr>
          <w:rFonts w:ascii="Times New Roman" w:hAnsi="Times New Roman" w:eastAsia="宋体"/>
          <w:b w:val="0"/>
          <w:sz w:val="24"/>
        </w:rPr>
        <w:t>这一发现与灰色关联分析的结论一致：高温天数的关联度最高（0.7287），说明冬季低温虽然降低了气候舒适度，但并未显著抑制游客出行——节假日效应和社会因素对旅游的驱动作用大于气候因素。</w:t>
      </w:r>
    </w:p>
    <w:p>
      <w:pPr>
        <w:spacing w:lineRule="exact" w:line="400" w:before="200" w:after="120"/>
        <w:jc w:val="center"/>
      </w:pPr>
      <w:r>
        <w:t>[图片: 13_虚拟变量回归诊断.html]</w:t>
      </w:r>
    </w:p>
    <w:p>
      <w:pPr>
        <w:spacing w:lineRule="exact" w:line="400" w:before="40" w:after="200"/>
        <w:jc w:val="center"/>
      </w:pPr>
      <w:r>
        <w:rPr>
          <w:rFonts w:ascii="Times New Roman" w:hAnsi="Times New Roman" w:eastAsia="宋体"/>
          <w:b/>
          <w:sz w:val="21"/>
        </w:rPr>
        <w:t>图12 虚拟变量回归：实际 vs 预测季度游客量指数</w:t>
      </w:r>
    </w:p>
    <w:p>
      <w:pPr>
        <w:spacing w:lineRule="exact" w:line="400" w:before="200" w:after="120"/>
      </w:pPr>
      <w:r>
        <w:rPr>
          <w:rFonts w:ascii="Times New Roman" w:hAnsi="Times New Roman" w:eastAsia="黑体"/>
          <w:b/>
          <w:sz w:val="24"/>
        </w:rPr>
        <w:t>5.4.4 两阶段对比分析</w:t>
      </w:r>
    </w:p>
    <w:p>
      <w:pPr>
        <w:spacing w:lineRule="exact" w:line="400" w:before="200" w:after="200"/>
        <w:ind w:firstLine="420"/>
        <w:jc w:val="both"/>
      </w:pPr>
      <w:r>
        <w:rPr>
          <w:rFonts w:ascii="Times New Roman" w:hAnsi="Times New Roman" w:eastAsia="宋体"/>
          <w:b w:val="0"/>
          <w:sz w:val="24"/>
        </w:rPr>
        <w:t>借鉴荣培君等[15]的两阶段差值分析方法，将研究期划分为前段（2013-2018年）和后段（2019-2025年），对比两个时期的气候和旅游指标变化。</w:t>
      </w:r>
    </w:p>
    <w:p>
      <w:pPr>
        <w:spacing w:lineRule="exact" w:line="400" w:before="200" w:after="200"/>
      </w:pPr>
      <w:r>
        <w:rPr>
          <w:rFonts w:ascii="Times New Roman" w:hAnsi="Times New Roman" w:eastAsia="宋体"/>
          <w:b/>
          <w:sz w:val="24"/>
        </w:rPr>
        <w:t>两阶段各指标对比：</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tcPr>
          <w:p>
            <w:r>
              <w:rPr>
                <w:rFonts w:ascii="Times New Roman" w:hAnsi="Times New Roman" w:eastAsia="宋体"/>
                <w:b/>
                <w:sz w:val="21"/>
              </w:rPr>
              <w:t>指标</w:t>
            </w:r>
          </w:p>
        </w:tc>
        <w:tc>
          <w:tcPr>
            <w:tcW w:type="dxa" w:w="1439"/>
          </w:tcPr>
          <w:p>
            <w:r>
              <w:rPr>
                <w:rFonts w:ascii="Times New Roman" w:hAnsi="Times New Roman" w:eastAsia="宋体"/>
                <w:b/>
                <w:sz w:val="21"/>
              </w:rPr>
              <w:t>前段均值（≤2018）</w:t>
            </w:r>
          </w:p>
        </w:tc>
        <w:tc>
          <w:tcPr>
            <w:tcW w:type="dxa" w:w="1439"/>
          </w:tcPr>
          <w:p>
            <w:r>
              <w:rPr>
                <w:rFonts w:ascii="Times New Roman" w:hAnsi="Times New Roman" w:eastAsia="宋体"/>
                <w:b/>
                <w:sz w:val="21"/>
              </w:rPr>
              <w:t>后段均值（≥2019）</w:t>
            </w:r>
          </w:p>
        </w:tc>
        <w:tc>
          <w:tcPr>
            <w:tcW w:type="dxa" w:w="1439"/>
          </w:tcPr>
          <w:p>
            <w:r>
              <w:rPr>
                <w:rFonts w:ascii="Times New Roman" w:hAnsi="Times New Roman" w:eastAsia="宋体"/>
                <w:b/>
                <w:sz w:val="21"/>
              </w:rPr>
              <w:t>差值</w:t>
            </w:r>
          </w:p>
        </w:tc>
        <w:tc>
          <w:tcPr>
            <w:tcW w:type="dxa" w:w="1439"/>
          </w:tcPr>
          <w:p>
            <w:r>
              <w:rPr>
                <w:rFonts w:ascii="Times New Roman" w:hAnsi="Times New Roman" w:eastAsia="宋体"/>
                <w:b/>
                <w:sz w:val="21"/>
              </w:rPr>
              <w:t>p值</w:t>
            </w:r>
          </w:p>
        </w:tc>
        <w:tc>
          <w:tcPr>
            <w:tcW w:type="dxa" w:w="1439"/>
          </w:tcPr>
          <w:p>
            <w:r>
              <w:rPr>
                <w:rFonts w:ascii="Times New Roman" w:hAnsi="Times New Roman" w:eastAsia="宋体"/>
                <w:b/>
                <w:sz w:val="21"/>
              </w:rPr>
              <w:t>显著性</w:t>
            </w:r>
          </w:p>
        </w:tc>
      </w:tr>
      <w:tr>
        <w:tc>
          <w:tcPr>
            <w:tcW w:type="dxa" w:w="1439"/>
          </w:tcPr>
          <w:p>
            <w:r>
              <w:rPr>
                <w:rFonts w:ascii="Times New Roman" w:hAnsi="Times New Roman" w:eastAsia="宋体"/>
                <w:b w:val="0"/>
                <w:sz w:val="21"/>
              </w:rPr>
              <w:t>月均游客量（万人次）</w:t>
            </w:r>
          </w:p>
        </w:tc>
        <w:tc>
          <w:tcPr>
            <w:tcW w:type="dxa" w:w="1439"/>
          </w:tcPr>
          <w:p>
            <w:r>
              <w:rPr>
                <w:rFonts w:ascii="Times New Roman" w:hAnsi="Times New Roman" w:eastAsia="宋体"/>
                <w:b w:val="0"/>
                <w:sz w:val="21"/>
              </w:rPr>
              <w:t>473.34</w:t>
            </w:r>
          </w:p>
        </w:tc>
        <w:tc>
          <w:tcPr>
            <w:tcW w:type="dxa" w:w="1439"/>
          </w:tcPr>
          <w:p>
            <w:r>
              <w:rPr>
                <w:rFonts w:ascii="Times New Roman" w:hAnsi="Times New Roman" w:eastAsia="宋体"/>
                <w:b w:val="0"/>
                <w:sz w:val="21"/>
              </w:rPr>
              <w:t>1152.81</w:t>
            </w:r>
          </w:p>
        </w:tc>
        <w:tc>
          <w:tcPr>
            <w:tcW w:type="dxa" w:w="1439"/>
          </w:tcPr>
          <w:p>
            <w:r>
              <w:rPr>
                <w:rFonts w:ascii="Times New Roman" w:hAnsi="Times New Roman" w:eastAsia="宋体"/>
                <w:b w:val="0"/>
                <w:sz w:val="21"/>
              </w:rPr>
              <w:t>**+679.47**</w:t>
            </w:r>
          </w:p>
        </w:tc>
        <w:tc>
          <w:tcPr>
            <w:tcW w:type="dxa" w:w="1439"/>
          </w:tcPr>
          <w:p>
            <w:r>
              <w:rPr>
                <w:rFonts w:ascii="Times New Roman" w:hAnsi="Times New Roman" w:eastAsia="宋体"/>
                <w:b w:val="0"/>
                <w:sz w:val="21"/>
              </w:rPr>
              <w:t>&lt;0.001</w:t>
            </w:r>
          </w:p>
        </w:tc>
        <w:tc>
          <w:tcPr>
            <w:tcW w:type="dxa" w:w="1439"/>
          </w:tcPr>
          <w:p>
            <w:r>
              <w:rPr>
                <w:rFonts w:ascii="Times New Roman" w:hAnsi="Times New Roman" w:eastAsia="宋体"/>
                <w:b w:val="0"/>
                <w:sz w:val="21"/>
              </w:rPr>
              <w:t>极显著</w:t>
            </w:r>
          </w:p>
        </w:tc>
      </w:tr>
      <w:tr>
        <w:tc>
          <w:tcPr>
            <w:tcW w:type="dxa" w:w="1439"/>
          </w:tcPr>
          <w:p>
            <w:r>
              <w:rPr>
                <w:rFonts w:ascii="Times New Roman" w:hAnsi="Times New Roman" w:eastAsia="宋体"/>
                <w:b w:val="0"/>
                <w:sz w:val="21"/>
              </w:rPr>
              <w:t>月均收入（亿元）</w:t>
            </w:r>
          </w:p>
        </w:tc>
        <w:tc>
          <w:tcPr>
            <w:tcW w:type="dxa" w:w="1439"/>
          </w:tcPr>
          <w:p>
            <w:r>
              <w:rPr>
                <w:rFonts w:ascii="Times New Roman" w:hAnsi="Times New Roman" w:eastAsia="宋体"/>
                <w:b w:val="0"/>
                <w:sz w:val="21"/>
              </w:rPr>
              <w:t>55.50</w:t>
            </w:r>
          </w:p>
        </w:tc>
        <w:tc>
          <w:tcPr>
            <w:tcW w:type="dxa" w:w="1439"/>
          </w:tcPr>
          <w:p>
            <w:r>
              <w:rPr>
                <w:rFonts w:ascii="Times New Roman" w:hAnsi="Times New Roman" w:eastAsia="宋体"/>
                <w:b w:val="0"/>
                <w:sz w:val="21"/>
              </w:rPr>
              <w:t>155.69</w:t>
            </w:r>
          </w:p>
        </w:tc>
        <w:tc>
          <w:tcPr>
            <w:tcW w:type="dxa" w:w="1439"/>
          </w:tcPr>
          <w:p>
            <w:r>
              <w:rPr>
                <w:rFonts w:ascii="Times New Roman" w:hAnsi="Times New Roman" w:eastAsia="宋体"/>
                <w:b w:val="0"/>
                <w:sz w:val="21"/>
              </w:rPr>
              <w:t>**+100.18**</w:t>
            </w:r>
          </w:p>
        </w:tc>
        <w:tc>
          <w:tcPr>
            <w:tcW w:type="dxa" w:w="1439"/>
          </w:tcPr>
          <w:p>
            <w:r>
              <w:rPr>
                <w:rFonts w:ascii="Times New Roman" w:hAnsi="Times New Roman" w:eastAsia="宋体"/>
                <w:b w:val="0"/>
                <w:sz w:val="21"/>
              </w:rPr>
              <w:t>&lt;0.001</w:t>
            </w:r>
          </w:p>
        </w:tc>
        <w:tc>
          <w:tcPr>
            <w:tcW w:type="dxa" w:w="1439"/>
          </w:tcPr>
          <w:p>
            <w:r>
              <w:rPr>
                <w:rFonts w:ascii="Times New Roman" w:hAnsi="Times New Roman" w:eastAsia="宋体"/>
                <w:b w:val="0"/>
                <w:sz w:val="21"/>
              </w:rPr>
              <w:t>极显著</w:t>
            </w:r>
          </w:p>
        </w:tc>
      </w:tr>
      <w:tr>
        <w:tc>
          <w:tcPr>
            <w:tcW w:type="dxa" w:w="1439"/>
          </w:tcPr>
          <w:p>
            <w:r>
              <w:rPr>
                <w:rFonts w:ascii="Times New Roman" w:hAnsi="Times New Roman" w:eastAsia="宋体"/>
                <w:b w:val="0"/>
                <w:sz w:val="21"/>
              </w:rPr>
              <w:t>月均CCI</w:t>
            </w:r>
          </w:p>
        </w:tc>
        <w:tc>
          <w:tcPr>
            <w:tcW w:type="dxa" w:w="1439"/>
          </w:tcPr>
          <w:p>
            <w:r>
              <w:rPr>
                <w:rFonts w:ascii="Times New Roman" w:hAnsi="Times New Roman" w:eastAsia="宋体"/>
                <w:b w:val="0"/>
                <w:sz w:val="21"/>
              </w:rPr>
              <w:t>53.84</w:t>
            </w:r>
          </w:p>
        </w:tc>
        <w:tc>
          <w:tcPr>
            <w:tcW w:type="dxa" w:w="1439"/>
          </w:tcPr>
          <w:p>
            <w:r>
              <w:rPr>
                <w:rFonts w:ascii="Times New Roman" w:hAnsi="Times New Roman" w:eastAsia="宋体"/>
                <w:b w:val="0"/>
                <w:sz w:val="21"/>
              </w:rPr>
              <w:t>51.05</w:t>
            </w:r>
          </w:p>
        </w:tc>
        <w:tc>
          <w:tcPr>
            <w:tcW w:type="dxa" w:w="1439"/>
          </w:tcPr>
          <w:p>
            <w:r>
              <w:rPr>
                <w:rFonts w:ascii="Times New Roman" w:hAnsi="Times New Roman" w:eastAsia="宋体"/>
                <w:b w:val="0"/>
                <w:sz w:val="21"/>
              </w:rPr>
              <w:t>-2.79</w:t>
            </w:r>
          </w:p>
        </w:tc>
        <w:tc>
          <w:tcPr>
            <w:tcW w:type="dxa" w:w="1439"/>
          </w:tcPr>
          <w:p>
            <w:r>
              <w:rPr>
                <w:rFonts w:ascii="Times New Roman" w:hAnsi="Times New Roman" w:eastAsia="宋体"/>
                <w:b w:val="0"/>
                <w:sz w:val="21"/>
              </w:rPr>
              <w:t>0.683</w:t>
            </w:r>
          </w:p>
        </w:tc>
        <w:tc>
          <w:tcPr>
            <w:tcW w:type="dxa" w:w="1439"/>
          </w:tcPr>
          <w:p>
            <w:r>
              <w:rPr>
                <w:rFonts w:ascii="Times New Roman" w:hAnsi="Times New Roman" w:eastAsia="宋体"/>
                <w:b w:val="0"/>
                <w:sz w:val="21"/>
              </w:rPr>
              <w:t>不显著</w:t>
            </w:r>
          </w:p>
        </w:tc>
      </w:tr>
      <w:tr>
        <w:tc>
          <w:tcPr>
            <w:tcW w:type="dxa" w:w="1439"/>
          </w:tcPr>
          <w:p>
            <w:r>
              <w:rPr>
                <w:rFonts w:ascii="Times New Roman" w:hAnsi="Times New Roman" w:eastAsia="宋体"/>
                <w:b w:val="0"/>
                <w:sz w:val="21"/>
              </w:rPr>
              <w:t>月均气温（°C）</w:t>
            </w:r>
          </w:p>
        </w:tc>
        <w:tc>
          <w:tcPr>
            <w:tcW w:type="dxa" w:w="1439"/>
          </w:tcPr>
          <w:p>
            <w:r>
              <w:rPr>
                <w:rFonts w:ascii="Times New Roman" w:hAnsi="Times New Roman" w:eastAsia="宋体"/>
                <w:b w:val="0"/>
                <w:sz w:val="21"/>
              </w:rPr>
              <w:t>20.15</w:t>
            </w:r>
          </w:p>
        </w:tc>
        <w:tc>
          <w:tcPr>
            <w:tcW w:type="dxa" w:w="1439"/>
          </w:tcPr>
          <w:p>
            <w:r>
              <w:rPr>
                <w:rFonts w:ascii="Times New Roman" w:hAnsi="Times New Roman" w:eastAsia="宋体"/>
                <w:b w:val="0"/>
                <w:sz w:val="21"/>
              </w:rPr>
              <w:t>21.05</w:t>
            </w:r>
          </w:p>
        </w:tc>
        <w:tc>
          <w:tcPr>
            <w:tcW w:type="dxa" w:w="1439"/>
          </w:tcPr>
          <w:p>
            <w:r>
              <w:rPr>
                <w:rFonts w:ascii="Times New Roman" w:hAnsi="Times New Roman" w:eastAsia="宋体"/>
                <w:b w:val="0"/>
                <w:sz w:val="21"/>
              </w:rPr>
              <w:t>+0.89</w:t>
            </w:r>
          </w:p>
        </w:tc>
        <w:tc>
          <w:tcPr>
            <w:tcW w:type="dxa" w:w="1439"/>
          </w:tcPr>
          <w:p>
            <w:r>
              <w:rPr>
                <w:rFonts w:ascii="Times New Roman" w:hAnsi="Times New Roman" w:eastAsia="宋体"/>
                <w:b w:val="0"/>
                <w:sz w:val="21"/>
              </w:rPr>
              <w:t>0.695</w:t>
            </w:r>
          </w:p>
        </w:tc>
        <w:tc>
          <w:tcPr>
            <w:tcW w:type="dxa" w:w="1439"/>
          </w:tcPr>
          <w:p>
            <w:r>
              <w:rPr>
                <w:rFonts w:ascii="Times New Roman" w:hAnsi="Times New Roman" w:eastAsia="宋体"/>
                <w:b w:val="0"/>
                <w:sz w:val="21"/>
              </w:rPr>
              <w:t>不显著</w:t>
            </w:r>
          </w:p>
        </w:tc>
      </w:tr>
      <w:tr>
        <w:tc>
          <w:tcPr>
            <w:tcW w:type="dxa" w:w="1439"/>
          </w:tcPr>
          <w:p>
            <w:r>
              <w:rPr>
                <w:rFonts w:ascii="Times New Roman" w:hAnsi="Times New Roman" w:eastAsia="宋体"/>
                <w:b w:val="0"/>
                <w:sz w:val="21"/>
              </w:rPr>
              <w:t>月均降雨天数</w:t>
            </w:r>
          </w:p>
        </w:tc>
        <w:tc>
          <w:tcPr>
            <w:tcW w:type="dxa" w:w="1439"/>
          </w:tcPr>
          <w:p>
            <w:r>
              <w:rPr>
                <w:rFonts w:ascii="Times New Roman" w:hAnsi="Times New Roman" w:eastAsia="宋体"/>
                <w:b w:val="0"/>
                <w:sz w:val="21"/>
              </w:rPr>
              <w:t>14.41</w:t>
            </w:r>
          </w:p>
        </w:tc>
        <w:tc>
          <w:tcPr>
            <w:tcW w:type="dxa" w:w="1439"/>
          </w:tcPr>
          <w:p>
            <w:r>
              <w:rPr>
                <w:rFonts w:ascii="Times New Roman" w:hAnsi="Times New Roman" w:eastAsia="宋体"/>
                <w:b w:val="0"/>
                <w:sz w:val="21"/>
              </w:rPr>
              <w:t>14.17</w:t>
            </w:r>
          </w:p>
        </w:tc>
        <w:tc>
          <w:tcPr>
            <w:tcW w:type="dxa" w:w="1439"/>
          </w:tcPr>
          <w:p>
            <w:r>
              <w:rPr>
                <w:rFonts w:ascii="Times New Roman" w:hAnsi="Times New Roman" w:eastAsia="宋体"/>
                <w:b w:val="0"/>
                <w:sz w:val="21"/>
              </w:rPr>
              <w:t>-0.25</w:t>
            </w:r>
          </w:p>
        </w:tc>
        <w:tc>
          <w:tcPr>
            <w:tcW w:type="dxa" w:w="1439"/>
          </w:tcPr>
          <w:p>
            <w:r>
              <w:rPr>
                <w:rFonts w:ascii="Times New Roman" w:hAnsi="Times New Roman" w:eastAsia="宋体"/>
                <w:b w:val="0"/>
                <w:sz w:val="21"/>
              </w:rPr>
              <w:t>0.905</w:t>
            </w:r>
          </w:p>
        </w:tc>
        <w:tc>
          <w:tcPr>
            <w:tcW w:type="dxa" w:w="1439"/>
          </w:tcPr>
          <w:p>
            <w:r>
              <w:rPr>
                <w:rFonts w:ascii="Times New Roman" w:hAnsi="Times New Roman" w:eastAsia="宋体"/>
                <w:b w:val="0"/>
                <w:sz w:val="21"/>
              </w:rPr>
              <w:t>不显著</w:t>
            </w:r>
          </w:p>
        </w:tc>
      </w:tr>
    </w:tbl>
    <w:p>
      <w:pPr>
        <w:spacing w:lineRule="exact" w:line="400" w:before="200" w:after="200"/>
      </w:pPr>
      <w:r>
        <w:rPr>
          <w:rFonts w:ascii="Times New Roman" w:hAnsi="Times New Roman" w:eastAsia="宋体"/>
          <w:b/>
          <w:sz w:val="24"/>
        </w:rPr>
        <w:t>结果分析：</w:t>
      </w:r>
    </w:p>
    <w:p>
      <w:pPr>
        <w:spacing w:lineRule="exact" w:line="400" w:before="200" w:after="200"/>
        <w:ind w:firstLine="420"/>
      </w:pPr>
      <w:r>
        <w:rPr>
          <w:rFonts w:ascii="Times New Roman" w:hAnsi="Times New Roman" w:eastAsia="宋体"/>
          <w:b w:val="0"/>
          <w:sz w:val="24"/>
        </w:rPr>
        <w:t>（1）</w:t>
      </w:r>
      <w:r>
        <w:rPr>
          <w:rFonts w:ascii="Times New Roman" w:hAnsi="Times New Roman" w:eastAsia="宋体"/>
          <w:b/>
          <w:sz w:val="24"/>
        </w:rPr>
        <w:t>旅游产业大幅增长</w:t>
      </w:r>
      <w:r>
        <w:rPr>
          <w:rFonts w:ascii="Times New Roman" w:hAnsi="Times New Roman" w:eastAsia="宋体"/>
          <w:b w:val="0"/>
          <w:sz w:val="24"/>
        </w:rPr>
        <w:t>：后段月均游客量较前段增长143%（+679.47万人次），月均收入增长181%（+100.18亿元），均达到极显著水平（p&lt;0.001）。这一增长主要反映了桂林旅游业的持续扩张和2023年后的强劲恢复。</w:t>
      </w:r>
    </w:p>
    <w:p>
      <w:pPr>
        <w:spacing w:lineRule="exact" w:line="400" w:before="200" w:after="200"/>
        <w:ind w:firstLine="420"/>
      </w:pPr>
      <w:r>
        <w:rPr>
          <w:rFonts w:ascii="Times New Roman" w:hAnsi="Times New Roman" w:eastAsia="宋体"/>
          <w:b w:val="0"/>
          <w:sz w:val="24"/>
        </w:rPr>
        <w:t>（2）</w:t>
      </w:r>
      <w:r>
        <w:rPr>
          <w:rFonts w:ascii="Times New Roman" w:hAnsi="Times New Roman" w:eastAsia="宋体"/>
          <w:b/>
          <w:sz w:val="24"/>
        </w:rPr>
        <w:t>气候指标变化不显著</w:t>
      </w:r>
      <w:r>
        <w:rPr>
          <w:rFonts w:ascii="Times New Roman" w:hAnsi="Times New Roman" w:eastAsia="宋体"/>
          <w:b w:val="0"/>
          <w:sz w:val="24"/>
        </w:rPr>
        <w:t>：与年度数据的两阶段对比不同，月度数据显示CCI、气温和降雨天数的变化均未达到统计显著性。这可能是因为月度数据包含了更多的季节性波动，掩盖了长期趋势信号。</w:t>
      </w:r>
    </w:p>
    <w:p>
      <w:pPr>
        <w:spacing w:lineRule="exact" w:line="400" w:before="200" w:after="200"/>
        <w:ind w:firstLine="420"/>
      </w:pPr>
      <w:r>
        <w:rPr>
          <w:rFonts w:ascii="Times New Roman" w:hAnsi="Times New Roman" w:eastAsia="宋体"/>
          <w:b w:val="0"/>
          <w:sz w:val="24"/>
        </w:rPr>
        <w:t>（3）</w:t>
      </w:r>
      <w:r>
        <w:rPr>
          <w:rFonts w:ascii="Times New Roman" w:hAnsi="Times New Roman" w:eastAsia="宋体"/>
          <w:b/>
          <w:sz w:val="24"/>
        </w:rPr>
        <w:t>旅游增长独立于气候变化</w:t>
      </w:r>
      <w:r>
        <w:rPr>
          <w:rFonts w:ascii="Times New Roman" w:hAnsi="Times New Roman" w:eastAsia="宋体"/>
          <w:b w:val="0"/>
          <w:sz w:val="24"/>
        </w:rPr>
        <w:t>：两阶段对比揭示了一个重要结论——桂林旅游业的大幅增长并非由气候舒适度改善驱动，而是由经济发展、交通改善、旅游推广等社会经济因素推动。气候因素对旅游的影响更多体现在年内季节性波动层面，而非长期增长趋势层面。</w:t>
      </w:r>
    </w:p>
    <w:p>
      <w:pPr>
        <w:spacing w:lineRule="exact" w:line="400" w:before="200" w:after="120"/>
        <w:jc w:val="center"/>
      </w:pPr>
      <w:r>
        <w:t>[图片: 14_两阶段对比.html]</w:t>
      </w:r>
    </w:p>
    <w:p>
      <w:pPr>
        <w:spacing w:lineRule="exact" w:line="400" w:before="40" w:after="200"/>
        <w:jc w:val="center"/>
      </w:pPr>
      <w:r>
        <w:rPr>
          <w:rFonts w:ascii="Times New Roman" w:hAnsi="Times New Roman" w:eastAsia="宋体"/>
          <w:b/>
          <w:sz w:val="21"/>
        </w:rPr>
        <w:t>图13 两阶段（2011-2018 vs 2019-2025）气候指标对比</w:t>
      </w:r>
    </w:p>
    <w:p>
      <w:pPr>
        <w:spacing w:lineRule="exact" w:line="400" w:before="200" w:after="200"/>
        <w:jc w:val="center"/>
      </w:pPr>
      <w:r>
        <w:rPr>
          <w:color w:val="C0C0C0"/>
          <w:sz w:val="16"/>
        </w:rPr>
        <w:t>────────────────────────────────────────</w:t>
      </w:r>
    </w:p>
    <w:p>
      <w:pPr>
        <w:spacing w:lineRule="exact" w:line="400" w:before="240" w:after="120"/>
        <w:jc w:val="center"/>
      </w:pPr>
      <w:r>
        <w:rPr>
          <w:rFonts w:ascii="Times New Roman" w:hAnsi="Times New Roman" w:eastAsia="黑体"/>
          <w:b/>
          <w:sz w:val="28"/>
        </w:rPr>
        <w:t>六、模型检验与评价</w:t>
      </w:r>
    </w:p>
    <w:p>
      <w:pPr>
        <w:spacing w:lineRule="exact" w:line="400" w:before="240" w:after="120"/>
      </w:pPr>
      <w:r>
        <w:rPr>
          <w:rFonts w:ascii="Times New Roman" w:hAnsi="Times New Roman" w:eastAsia="黑体"/>
          <w:b/>
          <w:sz w:val="24"/>
        </w:rPr>
        <w:t>6.1 模型评价</w:t>
      </w:r>
    </w:p>
    <w:p>
      <w:pPr>
        <w:spacing w:lineRule="exact" w:line="400" w:before="200" w:after="120"/>
      </w:pPr>
      <w:r>
        <w:rPr>
          <w:rFonts w:ascii="Times New Roman" w:hAnsi="Times New Roman" w:eastAsia="黑体"/>
          <w:b/>
          <w:sz w:val="24"/>
        </w:rPr>
        <w:t>6.1.1 CCI模型评价</w:t>
      </w:r>
    </w:p>
    <w:p>
      <w:pPr>
        <w:spacing w:lineRule="exact" w:line="400" w:before="200" w:after="200"/>
      </w:pPr>
      <w:r>
        <w:rPr>
          <w:rFonts w:ascii="Times New Roman" w:hAnsi="Times New Roman" w:eastAsia="宋体"/>
          <w:b/>
          <w:sz w:val="24"/>
        </w:rPr>
        <w:t>优点：</w:t>
      </w:r>
    </w:p>
    <w:p>
      <w:pPr>
        <w:spacing w:lineRule="exact" w:line="400" w:before="200" w:after="200"/>
        <w:ind w:firstLine="420"/>
      </w:pPr>
      <w:r>
        <w:rPr>
          <w:rFonts w:ascii="Times New Roman" w:hAnsi="Times New Roman" w:eastAsia="宋体"/>
          <w:b w:val="0"/>
          <w:sz w:val="24"/>
        </w:rPr>
        <w:t>（1）采用熵权法客观确定权重，避免了主观赋权的偏差。</w:t>
      </w:r>
    </w:p>
    <w:p>
      <w:pPr>
        <w:spacing w:lineRule="exact" w:line="400" w:before="200" w:after="200"/>
        <w:ind w:firstLine="420"/>
      </w:pPr>
      <w:r>
        <w:rPr>
          <w:rFonts w:ascii="Times New Roman" w:hAnsi="Times New Roman" w:eastAsia="宋体"/>
          <w:b w:val="0"/>
          <w:sz w:val="24"/>
        </w:rPr>
        <w:t>（2）TOPSIS法能够综合考虑各指标的影响，评价结果更加全面。</w:t>
      </w:r>
    </w:p>
    <w:p>
      <w:pPr>
        <w:spacing w:lineRule="exact" w:line="400" w:before="200" w:after="200"/>
        <w:ind w:firstLine="420"/>
      </w:pPr>
      <w:r>
        <w:rPr>
          <w:rFonts w:ascii="Times New Roman" w:hAnsi="Times New Roman" w:eastAsia="宋体"/>
          <w:b w:val="0"/>
          <w:sz w:val="24"/>
        </w:rPr>
        <w:t>（3）模型计算简便，易于理解和应用。</w:t>
      </w:r>
    </w:p>
    <w:p>
      <w:pPr>
        <w:spacing w:lineRule="exact" w:line="400" w:before="200" w:after="200"/>
      </w:pPr>
      <w:r>
        <w:rPr>
          <w:rFonts w:ascii="Times New Roman" w:hAnsi="Times New Roman" w:eastAsia="宋体"/>
          <w:b/>
          <w:sz w:val="24"/>
        </w:rPr>
        <w:t>缺点：</w:t>
      </w:r>
    </w:p>
    <w:p>
      <w:pPr>
        <w:spacing w:lineRule="exact" w:line="400" w:before="200" w:after="200"/>
        <w:ind w:firstLine="420"/>
      </w:pPr>
      <w:r>
        <w:rPr>
          <w:rFonts w:ascii="Times New Roman" w:hAnsi="Times New Roman" w:eastAsia="宋体"/>
          <w:b w:val="0"/>
          <w:sz w:val="24"/>
        </w:rPr>
        <w:t>（1）仅考虑了温度、天气和风力三个因素，未考虑湿度、日照等因素，可进一步完善。</w:t>
      </w:r>
    </w:p>
    <w:p>
      <w:pPr>
        <w:spacing w:lineRule="exact" w:line="400" w:before="200" w:after="200"/>
        <w:ind w:firstLine="420"/>
      </w:pPr>
      <w:r>
        <w:rPr>
          <w:rFonts w:ascii="Times New Roman" w:hAnsi="Times New Roman" w:eastAsia="宋体"/>
          <w:b w:val="0"/>
          <w:sz w:val="24"/>
        </w:rPr>
        <w:t>（2）温度舒适度评分采用固定的高斯函数形式，可能不完全符合人体实际感受。</w:t>
      </w:r>
    </w:p>
    <w:p>
      <w:pPr>
        <w:spacing w:lineRule="exact" w:line="400" w:before="200" w:after="120"/>
      </w:pPr>
      <w:r>
        <w:rPr>
          <w:rFonts w:ascii="Times New Roman" w:hAnsi="Times New Roman" w:eastAsia="黑体"/>
          <w:b/>
          <w:sz w:val="24"/>
        </w:rPr>
        <w:t>6.1.2 回归模型评价</w:t>
      </w:r>
    </w:p>
    <w:p>
      <w:pPr>
        <w:spacing w:lineRule="exact" w:line="400" w:before="200" w:after="200"/>
      </w:pPr>
      <w:r>
        <w:rPr>
          <w:rFonts w:ascii="Times New Roman" w:hAnsi="Times New Roman" w:eastAsia="宋体"/>
          <w:b/>
          <w:sz w:val="24"/>
        </w:rPr>
        <w:t>优点：</w:t>
      </w:r>
    </w:p>
    <w:p>
      <w:pPr>
        <w:spacing w:lineRule="exact" w:line="400" w:before="200" w:after="200"/>
        <w:ind w:firstLine="420"/>
      </w:pPr>
      <w:r>
        <w:rPr>
          <w:rFonts w:ascii="Times New Roman" w:hAnsi="Times New Roman" w:eastAsia="宋体"/>
          <w:b w:val="0"/>
          <w:sz w:val="24"/>
        </w:rPr>
        <w:t>（1）基于75个月度数据点进行分析，样本量较此前季度分析（24条）大幅增加。</w:t>
      </w:r>
    </w:p>
    <w:p>
      <w:pPr>
        <w:spacing w:lineRule="exact" w:line="400" w:before="200" w:after="200"/>
        <w:ind w:firstLine="420"/>
      </w:pPr>
      <w:r>
        <w:rPr>
          <w:rFonts w:ascii="Times New Roman" w:hAnsi="Times New Roman" w:eastAsia="宋体"/>
          <w:b w:val="0"/>
          <w:sz w:val="24"/>
        </w:rPr>
        <w:t>（2）灰色关联分析和多元回归相互印证，揭示了气候因素对旅游影响的层次结构。</w:t>
      </w:r>
    </w:p>
    <w:p>
      <w:pPr>
        <w:spacing w:lineRule="exact" w:line="400" w:before="200" w:after="200"/>
        <w:ind w:firstLine="420"/>
      </w:pPr>
      <w:r>
        <w:rPr>
          <w:rFonts w:ascii="Times New Roman" w:hAnsi="Times New Roman" w:eastAsia="宋体"/>
          <w:b w:val="0"/>
          <w:sz w:val="24"/>
        </w:rPr>
        <w:t>（3）使用官方统计数据，保证了数据的可靠性。</w:t>
      </w:r>
    </w:p>
    <w:p>
      <w:pPr>
        <w:spacing w:lineRule="exact" w:line="400" w:before="200" w:after="200"/>
      </w:pPr>
      <w:r>
        <w:rPr>
          <w:rFonts w:ascii="Times New Roman" w:hAnsi="Times New Roman" w:eastAsia="宋体"/>
          <w:b/>
          <w:sz w:val="24"/>
        </w:rPr>
        <w:t>缺点：</w:t>
      </w:r>
    </w:p>
    <w:p>
      <w:pPr>
        <w:spacing w:lineRule="exact" w:line="400" w:before="200" w:after="200"/>
        <w:ind w:firstLine="420"/>
      </w:pPr>
      <w:r>
        <w:rPr>
          <w:rFonts w:ascii="Times New Roman" w:hAnsi="Times New Roman" w:eastAsia="宋体"/>
          <w:b w:val="0"/>
          <w:sz w:val="24"/>
        </w:rPr>
        <w:t>（1）月度回归模型的调整R2仅为0.0446，解释力有限，说明气候因素仅是影响旅游的次要因素。</w:t>
      </w:r>
    </w:p>
    <w:p>
      <w:pPr>
        <w:spacing w:lineRule="exact" w:line="400" w:before="200" w:after="200"/>
        <w:ind w:firstLine="420"/>
      </w:pPr>
      <w:r>
        <w:rPr>
          <w:rFonts w:ascii="Times New Roman" w:hAnsi="Times New Roman" w:eastAsia="宋体"/>
          <w:b w:val="0"/>
          <w:sz w:val="24"/>
        </w:rPr>
        <w:t>（2）2017年Q1-Q3月度数据缺失，2020-2024年国内游客仅有季度数据，影响了分析的完整性。</w:t>
      </w:r>
    </w:p>
    <w:p>
      <w:pPr>
        <w:spacing w:lineRule="exact" w:line="400" w:before="200" w:after="200"/>
        <w:ind w:firstLine="420"/>
      </w:pPr>
      <w:r>
        <w:rPr>
          <w:rFonts w:ascii="Times New Roman" w:hAnsi="Times New Roman" w:eastAsia="宋体"/>
          <w:b w:val="0"/>
          <w:sz w:val="24"/>
        </w:rPr>
        <w:t>（3）未完全考虑其他影响旅游的因素（如经济水平、交通条件、旅游营销等）。</w:t>
      </w:r>
    </w:p>
    <w:p>
      <w:pPr>
        <w:spacing w:lineRule="exact" w:line="400" w:before="240" w:after="120"/>
      </w:pPr>
      <w:r>
        <w:rPr>
          <w:rFonts w:ascii="Times New Roman" w:hAnsi="Times New Roman" w:eastAsia="黑体"/>
          <w:b/>
          <w:sz w:val="24"/>
        </w:rPr>
        <w:t>6.2 模型检验</w:t>
      </w:r>
    </w:p>
    <w:p>
      <w:pPr>
        <w:spacing w:lineRule="exact" w:line="400" w:before="200" w:after="120"/>
      </w:pPr>
      <w:r>
        <w:rPr>
          <w:rFonts w:ascii="Times New Roman" w:hAnsi="Times New Roman" w:eastAsia="黑体"/>
          <w:b/>
          <w:sz w:val="24"/>
        </w:rPr>
        <w:t>6.2.1 残差正态性检验</w:t>
      </w:r>
    </w:p>
    <w:p>
      <w:pPr>
        <w:spacing w:lineRule="exact" w:line="400" w:before="200" w:after="200"/>
        <w:ind w:firstLine="420"/>
        <w:jc w:val="both"/>
      </w:pPr>
      <w:r>
        <w:rPr>
          <w:rFonts w:ascii="Times New Roman" w:hAnsi="Times New Roman" w:eastAsia="宋体"/>
          <w:b w:val="0"/>
          <w:sz w:val="24"/>
        </w:rPr>
        <w:t>采用Shapiro-Wilk检验，游客量模型（W=0.9433, p=0.4263）和旅游收入模型（W=0.9505, p=0.5322）的残差均服从正态分布，满足回归模型的基本假设。</w:t>
      </w:r>
    </w:p>
    <w:p>
      <w:pPr>
        <w:spacing w:lineRule="exact" w:line="400" w:before="200" w:after="120"/>
      </w:pPr>
      <w:r>
        <w:rPr>
          <w:rFonts w:ascii="Times New Roman" w:hAnsi="Times New Roman" w:eastAsia="黑体"/>
          <w:b/>
          <w:sz w:val="24"/>
        </w:rPr>
        <w:t>6.2.2 异方差检验</w:t>
      </w:r>
    </w:p>
    <w:p>
      <w:pPr>
        <w:spacing w:lineRule="exact" w:line="400" w:before="200" w:after="200"/>
        <w:ind w:firstLine="420"/>
        <w:jc w:val="both"/>
      </w:pPr>
      <w:r>
        <w:rPr>
          <w:rFonts w:ascii="Times New Roman" w:hAnsi="Times New Roman" w:eastAsia="宋体"/>
          <w:b w:val="0"/>
          <w:sz w:val="24"/>
        </w:rPr>
        <w:t>采用White检验，两个模型的检验统计量均为15.00（p=0.3782），均不存在异方差问题，说明模型的估计是有效的。</w:t>
      </w:r>
    </w:p>
    <w:p>
      <w:pPr>
        <w:spacing w:lineRule="exact" w:line="400" w:before="200" w:after="120"/>
      </w:pPr>
      <w:r>
        <w:rPr>
          <w:rFonts w:ascii="Times New Roman" w:hAnsi="Times New Roman" w:eastAsia="黑体"/>
          <w:b/>
          <w:sz w:val="24"/>
        </w:rPr>
        <w:t>6.2.3 多重共线性检验</w:t>
      </w:r>
    </w:p>
    <w:tbl>
      <w:tblPr>
        <w:tblStyle w:val="TableGrid"/>
        <w:tblW w:type="auto" w:w="0"/>
        <w:jc w:val="center"/>
        <w:tblLook w:firstColumn="1" w:firstRow="1" w:lastColumn="0" w:lastRow="0" w:noHBand="0" w:noVBand="1" w:val="04A0"/>
      </w:tblPr>
      <w:tblGrid>
        <w:gridCol w:w="4317"/>
        <w:gridCol w:w="4317"/>
      </w:tblGrid>
      <w:tr>
        <w:tc>
          <w:tcPr>
            <w:tcW w:type="dxa" w:w="4317"/>
          </w:tcPr>
          <w:p>
            <w:r>
              <w:rPr>
                <w:rFonts w:ascii="Times New Roman" w:hAnsi="Times New Roman" w:eastAsia="宋体"/>
                <w:b/>
                <w:sz w:val="21"/>
              </w:rPr>
              <w:t>变量</w:t>
            </w:r>
          </w:p>
        </w:tc>
        <w:tc>
          <w:tcPr>
            <w:tcW w:type="dxa" w:w="4317"/>
          </w:tcPr>
          <w:p>
            <w:r>
              <w:rPr>
                <w:rFonts w:ascii="Times New Roman" w:hAnsi="Times New Roman" w:eastAsia="宋体"/>
                <w:b/>
                <w:sz w:val="21"/>
              </w:rPr>
              <w:t>VIF</w:t>
            </w:r>
          </w:p>
        </w:tc>
      </w:tr>
      <w:tr>
        <w:tc>
          <w:tcPr>
            <w:tcW w:type="dxa" w:w="4317"/>
          </w:tcPr>
          <w:p>
            <w:r>
              <w:rPr>
                <w:rFonts w:ascii="Times New Roman" w:hAnsi="Times New Roman" w:eastAsia="宋体"/>
                <w:b w:val="0"/>
                <w:sz w:val="21"/>
              </w:rPr>
              <w:t>CCI_mean</w:t>
            </w:r>
          </w:p>
        </w:tc>
        <w:tc>
          <w:tcPr>
            <w:tcW w:type="dxa" w:w="4317"/>
          </w:tcPr>
          <w:p>
            <w:r>
              <w:rPr>
                <w:rFonts w:ascii="Times New Roman" w:hAnsi="Times New Roman" w:eastAsia="宋体"/>
                <w:b w:val="0"/>
                <w:sz w:val="21"/>
              </w:rPr>
              <w:t>2245.15</w:t>
            </w:r>
          </w:p>
        </w:tc>
      </w:tr>
      <w:tr>
        <w:tc>
          <w:tcPr>
            <w:tcW w:type="dxa" w:w="4317"/>
          </w:tcPr>
          <w:p>
            <w:r>
              <w:rPr>
                <w:rFonts w:ascii="Times New Roman" w:hAnsi="Times New Roman" w:eastAsia="宋体"/>
                <w:b w:val="0"/>
                <w:sz w:val="21"/>
              </w:rPr>
              <w:t>Tmax_mean</w:t>
            </w:r>
          </w:p>
        </w:tc>
        <w:tc>
          <w:tcPr>
            <w:tcW w:type="dxa" w:w="4317"/>
          </w:tcPr>
          <w:p>
            <w:r>
              <w:rPr>
                <w:rFonts w:ascii="Times New Roman" w:hAnsi="Times New Roman" w:eastAsia="宋体"/>
                <w:b w:val="0"/>
                <w:sz w:val="21"/>
              </w:rPr>
              <w:t>2972.97</w:t>
            </w:r>
          </w:p>
        </w:tc>
      </w:tr>
      <w:tr>
        <w:tc>
          <w:tcPr>
            <w:tcW w:type="dxa" w:w="4317"/>
          </w:tcPr>
          <w:p>
            <w:r>
              <w:rPr>
                <w:rFonts w:ascii="Times New Roman" w:hAnsi="Times New Roman" w:eastAsia="宋体"/>
                <w:b w:val="0"/>
                <w:sz w:val="21"/>
              </w:rPr>
              <w:t>rain_days</w:t>
            </w:r>
          </w:p>
        </w:tc>
        <w:tc>
          <w:tcPr>
            <w:tcW w:type="dxa" w:w="4317"/>
          </w:tcPr>
          <w:p>
            <w:r>
              <w:rPr>
                <w:rFonts w:ascii="Times New Roman" w:hAnsi="Times New Roman" w:eastAsia="宋体"/>
                <w:b w:val="0"/>
                <w:sz w:val="21"/>
              </w:rPr>
              <w:t>43.11</w:t>
            </w:r>
          </w:p>
        </w:tc>
      </w:tr>
      <w:tr>
        <w:tc>
          <w:tcPr>
            <w:tcW w:type="dxa" w:w="4317"/>
          </w:tcPr>
          <w:p>
            <w:r>
              <w:rPr>
                <w:rFonts w:ascii="Times New Roman" w:hAnsi="Times New Roman" w:eastAsia="宋体"/>
                <w:b w:val="0"/>
                <w:sz w:val="21"/>
              </w:rPr>
              <w:t>hot_days</w:t>
            </w:r>
          </w:p>
        </w:tc>
        <w:tc>
          <w:tcPr>
            <w:tcW w:type="dxa" w:w="4317"/>
          </w:tcPr>
          <w:p>
            <w:r>
              <w:rPr>
                <w:rFonts w:ascii="Times New Roman" w:hAnsi="Times New Roman" w:eastAsia="宋体"/>
                <w:b w:val="0"/>
                <w:sz w:val="21"/>
              </w:rPr>
              <w:t>47.71</w:t>
            </w:r>
          </w:p>
        </w:tc>
      </w:tr>
      <w:tr>
        <w:tc>
          <w:tcPr>
            <w:tcW w:type="dxa" w:w="4317"/>
          </w:tcPr>
          <w:p>
            <w:r>
              <w:rPr>
                <w:rFonts w:ascii="Times New Roman" w:hAnsi="Times New Roman" w:eastAsia="宋体"/>
                <w:b w:val="0"/>
                <w:sz w:val="21"/>
              </w:rPr>
              <w:t>cold_days</w:t>
            </w:r>
          </w:p>
        </w:tc>
        <w:tc>
          <w:tcPr>
            <w:tcW w:type="dxa" w:w="4317"/>
          </w:tcPr>
          <w:p>
            <w:r>
              <w:rPr>
                <w:rFonts w:ascii="Times New Roman" w:hAnsi="Times New Roman" w:eastAsia="宋体"/>
                <w:b w:val="0"/>
                <w:sz w:val="21"/>
              </w:rPr>
              <w:t>5.85</w:t>
            </w:r>
          </w:p>
        </w:tc>
      </w:tr>
      <w:tr>
        <w:tc>
          <w:tcPr>
            <w:tcW w:type="dxa" w:w="4317"/>
          </w:tcPr>
          <w:p>
            <w:r>
              <w:rPr>
                <w:rFonts w:ascii="Times New Roman" w:hAnsi="Times New Roman" w:eastAsia="宋体"/>
                <w:b w:val="0"/>
                <w:sz w:val="21"/>
              </w:rPr>
              <w:t>pandemic</w:t>
            </w:r>
          </w:p>
        </w:tc>
        <w:tc>
          <w:tcPr>
            <w:tcW w:type="dxa" w:w="4317"/>
          </w:tcPr>
          <w:p>
            <w:r>
              <w:rPr>
                <w:rFonts w:ascii="Times New Roman" w:hAnsi="Times New Roman" w:eastAsia="宋体"/>
                <w:b w:val="0"/>
                <w:sz w:val="21"/>
              </w:rPr>
              <w:t>1.75</w:t>
            </w:r>
          </w:p>
        </w:tc>
      </w:tr>
    </w:tbl>
    <w:p>
      <w:pPr>
        <w:spacing w:lineRule="exact" w:line="400" w:before="200" w:after="200"/>
        <w:ind w:firstLine="420"/>
        <w:jc w:val="both"/>
      </w:pPr>
      <w:r>
        <w:rPr>
          <w:rFonts w:ascii="Times New Roman" w:hAnsi="Times New Roman" w:eastAsia="宋体"/>
          <w:b/>
          <w:sz w:val="24"/>
        </w:rPr>
        <w:t>结论：</w:t>
      </w:r>
      <w:r>
        <w:rPr>
          <w:rFonts w:ascii="Times New Roman" w:hAnsi="Times New Roman" w:eastAsia="宋体"/>
          <w:b w:val="0"/>
          <w:sz w:val="24"/>
        </w:rPr>
        <w:t xml:space="preserve"> CCI_mean和Tmax_mean的VIF&gt;2000，存在严重多重共线性，已使用岭回归处理。</w:t>
      </w:r>
    </w:p>
    <w:p>
      <w:pPr>
        <w:spacing w:lineRule="exact" w:line="400" w:before="200" w:after="200"/>
        <w:jc w:val="center"/>
      </w:pPr>
      <w:r>
        <w:rPr>
          <w:color w:val="C0C0C0"/>
          <w:sz w:val="16"/>
        </w:rPr>
        <w:t>────────────────────────────────────────</w:t>
      </w:r>
    </w:p>
    <w:p>
      <w:pPr>
        <w:spacing w:lineRule="exact" w:line="400" w:before="240" w:after="120"/>
        <w:jc w:val="center"/>
      </w:pPr>
      <w:r>
        <w:rPr>
          <w:rFonts w:ascii="Times New Roman" w:hAnsi="Times New Roman" w:eastAsia="黑体"/>
          <w:b/>
          <w:sz w:val="28"/>
        </w:rPr>
        <w:t>七、模型评价、改进与推广</w:t>
      </w:r>
    </w:p>
    <w:p>
      <w:pPr>
        <w:spacing w:lineRule="exact" w:line="400" w:before="240" w:after="120"/>
      </w:pPr>
      <w:r>
        <w:rPr>
          <w:rFonts w:ascii="Times New Roman" w:hAnsi="Times New Roman" w:eastAsia="黑体"/>
          <w:b/>
          <w:sz w:val="24"/>
        </w:rPr>
        <w:t>7.1 模型评价</w:t>
      </w:r>
    </w:p>
    <w:p>
      <w:pPr>
        <w:spacing w:lineRule="exact" w:line="400" w:before="200" w:after="200"/>
      </w:pPr>
      <w:r>
        <w:rPr>
          <w:rFonts w:ascii="Times New Roman" w:hAnsi="Times New Roman" w:eastAsia="宋体"/>
          <w:b/>
          <w:sz w:val="24"/>
        </w:rPr>
        <w:t>优点：</w:t>
      </w:r>
    </w:p>
    <w:p>
      <w:pPr>
        <w:spacing w:lineRule="exact" w:line="400" w:before="200" w:after="200"/>
        <w:ind w:firstLine="420"/>
      </w:pPr>
      <w:r>
        <w:rPr>
          <w:rFonts w:ascii="Times New Roman" w:hAnsi="Times New Roman" w:eastAsia="宋体"/>
          <w:b w:val="0"/>
          <w:sz w:val="24"/>
        </w:rPr>
        <w:t>（1）基于75个月度数据点进行分析，样本量较此前季度分析（24条）大幅增加，提高了统计检验的功效。</w:t>
      </w:r>
    </w:p>
    <w:p>
      <w:pPr>
        <w:spacing w:lineRule="exact" w:line="400" w:before="200" w:after="200"/>
        <w:ind w:firstLine="420"/>
      </w:pPr>
      <w:r>
        <w:rPr>
          <w:rFonts w:ascii="Times New Roman" w:hAnsi="Times New Roman" w:eastAsia="宋体"/>
          <w:b w:val="0"/>
          <w:sz w:val="24"/>
        </w:rPr>
        <w:t>（2）采用灰色关联分析和多元回归两种方法交叉验证，从不同角度分析气候与旅游的关系，提高了分析结果的可靠性。</w:t>
      </w:r>
    </w:p>
    <w:p>
      <w:pPr>
        <w:spacing w:lineRule="exact" w:line="400" w:before="200" w:after="200"/>
        <w:ind w:firstLine="420"/>
      </w:pPr>
      <w:r>
        <w:rPr>
          <w:rFonts w:ascii="Times New Roman" w:hAnsi="Times New Roman" w:eastAsia="宋体"/>
          <w:b w:val="0"/>
          <w:sz w:val="24"/>
        </w:rPr>
        <w:t>（3）严格使用官方统计数据（统计公报、文旅局月度统计），保证了数据的真实性和权威性。</w:t>
      </w:r>
    </w:p>
    <w:p>
      <w:pPr>
        <w:spacing w:lineRule="exact" w:line="400" w:before="200" w:after="200"/>
        <w:ind w:firstLine="420"/>
      </w:pPr>
      <w:r>
        <w:rPr>
          <w:rFonts w:ascii="Times New Roman" w:hAnsi="Times New Roman" w:eastAsia="宋体"/>
          <w:b w:val="0"/>
          <w:sz w:val="24"/>
        </w:rPr>
        <w:t>（4）CCI模型通过SI指数（荣培君等[15]）进行交叉验证，两种独立方法得出的舒适度评价高度一致（r=0.78），增强了CCI模型的可信度。</w:t>
      </w:r>
    </w:p>
    <w:p>
      <w:pPr>
        <w:spacing w:lineRule="exact" w:line="400" w:before="200" w:after="200"/>
        <w:ind w:firstLine="420"/>
      </w:pPr>
      <w:r>
        <w:rPr>
          <w:rFonts w:ascii="Times New Roman" w:hAnsi="Times New Roman" w:eastAsia="宋体"/>
          <w:b w:val="0"/>
          <w:sz w:val="24"/>
        </w:rPr>
        <w:t>（5）进行了全面的模型诊断检验（残差正态性、异方差性、多重共线性），验证了模型假设的合理性。</w:t>
      </w:r>
    </w:p>
    <w:p>
      <w:pPr>
        <w:spacing w:lineRule="exact" w:line="400" w:before="200" w:after="200"/>
      </w:pPr>
      <w:r>
        <w:rPr>
          <w:rFonts w:ascii="Times New Roman" w:hAnsi="Times New Roman" w:eastAsia="宋体"/>
          <w:b/>
          <w:sz w:val="24"/>
        </w:rPr>
        <w:t>缺点：</w:t>
      </w:r>
    </w:p>
    <w:p>
      <w:pPr>
        <w:spacing w:lineRule="exact" w:line="400" w:before="200" w:after="200"/>
        <w:ind w:firstLine="420"/>
      </w:pPr>
      <w:r>
        <w:rPr>
          <w:rFonts w:ascii="Times New Roman" w:hAnsi="Times New Roman" w:eastAsia="宋体"/>
          <w:b w:val="0"/>
          <w:sz w:val="24"/>
        </w:rPr>
        <w:t>（1）月度回归模型的调整R2仅为0.0446，解释力有限，说明气候因素仅是影响旅游的次要因素，季节性和社会经济因素才是主导驱动力。</w:t>
      </w:r>
    </w:p>
    <w:p>
      <w:pPr>
        <w:spacing w:lineRule="exact" w:line="400" w:before="200" w:after="200"/>
        <w:ind w:firstLine="420"/>
      </w:pPr>
      <w:r>
        <w:rPr>
          <w:rFonts w:ascii="Times New Roman" w:hAnsi="Times New Roman" w:eastAsia="宋体"/>
          <w:b w:val="0"/>
          <w:sz w:val="24"/>
        </w:rPr>
        <w:t>（2）2017年Q1-Q3月度数据缺失，2020-2024年国内游客仅有季度数据，影响了分析的完整性。</w:t>
      </w:r>
    </w:p>
    <w:p>
      <w:pPr>
        <w:spacing w:lineRule="exact" w:line="400" w:before="200" w:after="200"/>
        <w:ind w:firstLine="420"/>
      </w:pPr>
      <w:r>
        <w:rPr>
          <w:rFonts w:ascii="Times New Roman" w:hAnsi="Times New Roman" w:eastAsia="宋体"/>
          <w:b w:val="0"/>
          <w:sz w:val="24"/>
        </w:rPr>
        <w:t>（3）CCI模型仅考虑了温度、天气和风力三个因素，未纳入湿度、日照、空气质量等因素。</w:t>
      </w:r>
    </w:p>
    <w:p>
      <w:pPr>
        <w:spacing w:lineRule="exact" w:line="400" w:before="200" w:after="200"/>
        <w:ind w:firstLine="420"/>
      </w:pPr>
      <w:r>
        <w:rPr>
          <w:rFonts w:ascii="Times New Roman" w:hAnsi="Times New Roman" w:eastAsia="宋体"/>
          <w:b w:val="0"/>
          <w:sz w:val="24"/>
        </w:rPr>
        <w:t>（4）天气和风力评分的赋值具有一定的主观性，虽然引用了文献标准，但不同研究的评分体系存在差异。</w:t>
      </w:r>
    </w:p>
    <w:p>
      <w:pPr>
        <w:spacing w:lineRule="exact" w:line="400" w:before="240" w:after="120"/>
      </w:pPr>
      <w:r>
        <w:rPr>
          <w:rFonts w:ascii="Times New Roman" w:hAnsi="Times New Roman" w:eastAsia="黑体"/>
          <w:b/>
          <w:sz w:val="24"/>
        </w:rPr>
        <w:t>7.2 模型改进</w:t>
      </w:r>
    </w:p>
    <w:p>
      <w:pPr>
        <w:spacing w:lineRule="exact" w:line="400" w:before="200" w:after="200"/>
        <w:ind w:firstLine="420"/>
      </w:pPr>
      <w:r>
        <w:rPr>
          <w:rFonts w:ascii="Times New Roman" w:hAnsi="Times New Roman" w:eastAsia="宋体"/>
          <w:b w:val="0"/>
          <w:sz w:val="24"/>
        </w:rPr>
        <w:t>（1）</w:t>
      </w:r>
      <w:r>
        <w:rPr>
          <w:rFonts w:ascii="Times New Roman" w:hAnsi="Times New Roman" w:eastAsia="宋体"/>
          <w:b/>
          <w:sz w:val="24"/>
        </w:rPr>
        <w:t>完善CCI指标体系</w:t>
      </w:r>
      <w:r>
        <w:rPr>
          <w:rFonts w:ascii="Times New Roman" w:hAnsi="Times New Roman" w:eastAsia="宋体"/>
          <w:b w:val="0"/>
          <w:sz w:val="24"/>
        </w:rPr>
        <w:t>：增加相对湿度和日照时数等指标，参考谭凯炎等[14]的温湿指数模型，构建更全面的气候舒适度评价体系。</w:t>
      </w:r>
    </w:p>
    <w:p>
      <w:pPr>
        <w:spacing w:lineRule="exact" w:line="400" w:before="200" w:after="200"/>
        <w:ind w:firstLine="420"/>
      </w:pPr>
      <w:r>
        <w:rPr>
          <w:rFonts w:ascii="Times New Roman" w:hAnsi="Times New Roman" w:eastAsia="宋体"/>
          <w:b w:val="0"/>
          <w:sz w:val="24"/>
        </w:rPr>
        <w:t>（2）</w:t>
      </w:r>
      <w:r>
        <w:rPr>
          <w:rFonts w:ascii="Times New Roman" w:hAnsi="Times New Roman" w:eastAsia="宋体"/>
          <w:b/>
          <w:sz w:val="24"/>
        </w:rPr>
        <w:t>补充缺失数据</w:t>
      </w:r>
      <w:r>
        <w:rPr>
          <w:rFonts w:ascii="Times New Roman" w:hAnsi="Times New Roman" w:eastAsia="宋体"/>
          <w:b w:val="0"/>
          <w:sz w:val="24"/>
        </w:rPr>
        <w:t>：补全2017年Q1-Q3月度数据，争取2020-2024年国内游客月度数据，提高分析的完整性。</w:t>
      </w:r>
    </w:p>
    <w:p>
      <w:pPr>
        <w:spacing w:lineRule="exact" w:line="400" w:before="200" w:after="200"/>
        <w:ind w:firstLine="420"/>
      </w:pPr>
      <w:r>
        <w:rPr>
          <w:rFonts w:ascii="Times New Roman" w:hAnsi="Times New Roman" w:eastAsia="宋体"/>
          <w:b w:val="0"/>
          <w:sz w:val="24"/>
        </w:rPr>
        <w:t>（3）</w:t>
      </w:r>
      <w:r>
        <w:rPr>
          <w:rFonts w:ascii="Times New Roman" w:hAnsi="Times New Roman" w:eastAsia="宋体"/>
          <w:b/>
          <w:sz w:val="24"/>
        </w:rPr>
        <w:t>引入控制变量</w:t>
      </w:r>
      <w:r>
        <w:rPr>
          <w:rFonts w:ascii="Times New Roman" w:hAnsi="Times New Roman" w:eastAsia="宋体"/>
          <w:b w:val="0"/>
          <w:sz w:val="24"/>
        </w:rPr>
        <w:t>：将GDP、铁路客运量、互联网普及率、旅游营销投入等经济和社会因素纳入回归模型，减少遗漏变量偏差，提高模型解释力。</w:t>
      </w:r>
    </w:p>
    <w:p>
      <w:pPr>
        <w:spacing w:lineRule="exact" w:line="400" w:before="200" w:after="200"/>
        <w:ind w:firstLine="420"/>
      </w:pPr>
      <w:r>
        <w:rPr>
          <w:rFonts w:ascii="Times New Roman" w:hAnsi="Times New Roman" w:eastAsia="宋体"/>
          <w:b w:val="0"/>
          <w:sz w:val="24"/>
        </w:rPr>
        <w:t>（4）</w:t>
      </w:r>
      <w:r>
        <w:rPr>
          <w:rFonts w:ascii="Times New Roman" w:hAnsi="Times New Roman" w:eastAsia="宋体"/>
          <w:b/>
          <w:sz w:val="24"/>
        </w:rPr>
        <w:t>尝试非线性模型</w:t>
      </w:r>
      <w:r>
        <w:rPr>
          <w:rFonts w:ascii="Times New Roman" w:hAnsi="Times New Roman" w:eastAsia="宋体"/>
          <w:b w:val="0"/>
          <w:sz w:val="24"/>
        </w:rPr>
        <w:t>：使用神经网络、支持向量回归、Lasso回归[9]等机器学习方法，捕捉气候与旅游之间的非线性关系。</w:t>
      </w:r>
    </w:p>
    <w:p>
      <w:pPr>
        <w:spacing w:lineRule="exact" w:line="400" w:before="200" w:after="200"/>
        <w:ind w:firstLine="420"/>
      </w:pPr>
      <w:r>
        <w:rPr>
          <w:rFonts w:ascii="Times New Roman" w:hAnsi="Times New Roman" w:eastAsia="宋体"/>
          <w:b w:val="0"/>
          <w:sz w:val="24"/>
        </w:rPr>
        <w:t>（5）</w:t>
      </w:r>
      <w:r>
        <w:rPr>
          <w:rFonts w:ascii="Times New Roman" w:hAnsi="Times New Roman" w:eastAsia="宋体"/>
          <w:b/>
          <w:sz w:val="24"/>
        </w:rPr>
        <w:t>面板数据分析</w:t>
      </w:r>
      <w:r>
        <w:rPr>
          <w:rFonts w:ascii="Times New Roman" w:hAnsi="Times New Roman" w:eastAsia="宋体"/>
          <w:b w:val="0"/>
          <w:sz w:val="24"/>
        </w:rPr>
        <w:t>：收集桂林各县区（如阳朔、龙胜、灵川等）的旅游数据，构建面板数据模型，利用空间维度的变异提高估计效率。</w:t>
      </w:r>
    </w:p>
    <w:p>
      <w:pPr>
        <w:spacing w:lineRule="exact" w:line="400" w:before="240" w:after="120"/>
      </w:pPr>
      <w:r>
        <w:rPr>
          <w:rFonts w:ascii="Times New Roman" w:hAnsi="Times New Roman" w:eastAsia="黑体"/>
          <w:b/>
          <w:sz w:val="24"/>
        </w:rPr>
        <w:t>7.3 模型推广</w:t>
      </w:r>
    </w:p>
    <w:p>
      <w:pPr>
        <w:spacing w:lineRule="exact" w:line="400" w:before="200" w:after="200"/>
        <w:ind w:firstLine="420"/>
      </w:pPr>
      <w:r>
        <w:rPr>
          <w:rFonts w:ascii="Times New Roman" w:hAnsi="Times New Roman" w:eastAsia="宋体"/>
          <w:b w:val="0"/>
          <w:sz w:val="24"/>
        </w:rPr>
        <w:t>（1）本研究的CCI构建方法（熵权TOPSIS法，SI指数交叉验证）和影响分析框架（灰色关联→岭回归→虚拟变量回归）可推广到其他旅游城市，如丽江、三亚、成都等，为各地的气候适应性旅游规划提供参考。</w:t>
      </w:r>
    </w:p>
    <w:p>
      <w:pPr>
        <w:spacing w:lineRule="exact" w:line="400" w:before="200" w:after="200"/>
        <w:ind w:firstLine="420"/>
      </w:pPr>
      <w:r>
        <w:rPr>
          <w:rFonts w:ascii="Times New Roman" w:hAnsi="Times New Roman" w:eastAsia="宋体"/>
          <w:b w:val="0"/>
          <w:sz w:val="24"/>
        </w:rPr>
        <w:t>（2）虚拟变量回归方法（曹伟宏等[13]）适合在获得更长时段季度/月度数据后，重新估计气候弹性系数，为旅游需求预测提供定量依据。</w:t>
      </w:r>
    </w:p>
    <w:p>
      <w:pPr>
        <w:spacing w:lineRule="exact" w:line="400" w:before="200" w:after="200"/>
        <w:ind w:firstLine="420"/>
      </w:pPr>
      <w:r>
        <w:rPr>
          <w:rFonts w:ascii="Times New Roman" w:hAnsi="Times New Roman" w:eastAsia="宋体"/>
          <w:b w:val="0"/>
          <w:sz w:val="24"/>
        </w:rPr>
        <w:t>（3）CCI模型可与天气预报系统对接，应用于旅游需求的短期预测，为旅游管理部门提供实时决策支持。</w:t>
      </w:r>
    </w:p>
    <w:p>
      <w:pPr>
        <w:spacing w:lineRule="exact" w:line="400" w:before="200" w:after="200"/>
        <w:ind w:firstLine="420"/>
      </w:pPr>
      <w:r>
        <w:rPr>
          <w:rFonts w:ascii="Times New Roman" w:hAnsi="Times New Roman" w:eastAsia="宋体"/>
          <w:b w:val="0"/>
          <w:sz w:val="24"/>
        </w:rPr>
        <w:t>（4）马尔科夫转移矩阵和两阶段对比分析法可用于预测未来气候舒适度等级的变化趋势，为旅游设施的季节性调整和长期规划提供依据。</w:t>
      </w:r>
    </w:p>
    <w:p>
      <w:pPr>
        <w:spacing w:lineRule="exact" w:line="400" w:before="200" w:after="200"/>
        <w:jc w:val="center"/>
      </w:pPr>
      <w:r>
        <w:rPr>
          <w:color w:val="C0C0C0"/>
          <w:sz w:val="16"/>
        </w:rPr>
        <w:t>────────────────────────────────────────</w:t>
      </w:r>
    </w:p>
    <w:p>
      <w:pPr>
        <w:spacing w:lineRule="exact" w:line="400" w:before="240" w:after="120"/>
        <w:jc w:val="center"/>
      </w:pPr>
      <w:r>
        <w:rPr>
          <w:rFonts w:ascii="Times New Roman" w:hAnsi="Times New Roman" w:eastAsia="黑体"/>
          <w:b/>
          <w:sz w:val="28"/>
        </w:rPr>
        <w:t>参考文献</w:t>
      </w:r>
    </w:p>
    <w:p>
      <w:pPr>
        <w:spacing w:lineRule="exact" w:line="400" w:before="120" w:after="120"/>
        <w:ind w:hanging="420" w:left="420"/>
      </w:pPr>
      <w:r>
        <w:rPr>
          <w:rFonts w:ascii="Times New Roman" w:hAnsi="Times New Roman" w:eastAsia="宋体"/>
          <w:b w:val="0"/>
          <w:sz w:val="21"/>
        </w:rPr>
        <w:t>[1] Mann H B. Nonparametric tests against trend[J]. Econometrica, 1945, 13(3): 245-259.</w:t>
      </w:r>
    </w:p>
    <w:p>
      <w:pPr>
        <w:spacing w:lineRule="exact" w:line="400" w:before="120" w:after="120"/>
        <w:ind w:hanging="420" w:left="420"/>
      </w:pPr>
      <w:r>
        <w:rPr>
          <w:rFonts w:ascii="Times New Roman" w:hAnsi="Times New Roman" w:eastAsia="宋体"/>
          <w:b w:val="0"/>
          <w:sz w:val="21"/>
        </w:rPr>
        <w:t>[2] Kendall M G. Rank Correlation Methods[M]. 4th ed. London: Griffin, 1975.</w:t>
      </w:r>
    </w:p>
    <w:p>
      <w:pPr>
        <w:spacing w:lineRule="exact" w:line="400" w:before="120" w:after="120"/>
        <w:ind w:hanging="420" w:left="420"/>
      </w:pPr>
      <w:r>
        <w:rPr>
          <w:rFonts w:ascii="Times New Roman" w:hAnsi="Times New Roman" w:eastAsia="宋体"/>
          <w:b w:val="0"/>
          <w:sz w:val="21"/>
        </w:rPr>
        <w:t>[3] Yue S, Pilon P, Phinney B, et al. The influence of autocorrelation on the ability to detect trend in hydrological data[J]. Hydrological Processes, 2002, 16(9): 1807-1829.</w:t>
      </w:r>
    </w:p>
    <w:p>
      <w:pPr>
        <w:spacing w:lineRule="exact" w:line="400" w:before="120" w:after="120"/>
        <w:ind w:hanging="420" w:left="420"/>
      </w:pPr>
      <w:r>
        <w:rPr>
          <w:rFonts w:ascii="Times New Roman" w:hAnsi="Times New Roman" w:eastAsia="宋体"/>
          <w:b w:val="0"/>
          <w:sz w:val="21"/>
        </w:rPr>
        <w:t>[4] Hamed K H, Rao A R. A modified Mann-Kendall trend test for autocorrelated data[J]. Journal of Hydrology, 1998, 204(1-4): 182-196.</w:t>
      </w:r>
    </w:p>
    <w:p>
      <w:pPr>
        <w:spacing w:lineRule="exact" w:line="400" w:before="120" w:after="120"/>
        <w:ind w:hanging="420" w:left="420"/>
      </w:pPr>
      <w:r>
        <w:rPr>
          <w:rFonts w:ascii="Times New Roman" w:hAnsi="Times New Roman" w:eastAsia="宋体"/>
          <w:b w:val="0"/>
          <w:sz w:val="21"/>
        </w:rPr>
        <w:t>[5] Pettitt A N. A non-parametric approach to the change-point problem[J]. Applied Statistics, 1979, 28(2): 126-135.</w:t>
      </w:r>
    </w:p>
    <w:p>
      <w:pPr>
        <w:spacing w:lineRule="exact" w:line="400" w:before="120" w:after="120"/>
        <w:ind w:hanging="420" w:left="420"/>
      </w:pPr>
      <w:r>
        <w:rPr>
          <w:rFonts w:ascii="Times New Roman" w:hAnsi="Times New Roman" w:eastAsia="宋体"/>
          <w:b w:val="0"/>
          <w:sz w:val="21"/>
        </w:rPr>
        <w:t>[6] 中国国家标准化管理委员会. GB/T 42074-2022 气候季节划分[S]. 北京: 中国标准出版社, 2022.</w:t>
      </w:r>
    </w:p>
    <w:p>
      <w:pPr>
        <w:spacing w:lineRule="exact" w:line="400" w:before="120" w:after="120"/>
        <w:ind w:hanging="420" w:left="420"/>
      </w:pPr>
      <w:r>
        <w:rPr>
          <w:rFonts w:ascii="Times New Roman" w:hAnsi="Times New Roman" w:eastAsia="宋体"/>
          <w:b w:val="0"/>
          <w:sz w:val="21"/>
        </w:rPr>
        <w:t>[7] Marquardt D W. Generalized inverses, ridge regression, biased linear estimation, and nonlinear estimation[J]. Technometrics, 1970, 12(3): 591-612.</w:t>
      </w:r>
    </w:p>
    <w:p>
      <w:pPr>
        <w:spacing w:lineRule="exact" w:line="400" w:before="120" w:after="120"/>
        <w:ind w:hanging="420" w:left="420"/>
      </w:pPr>
      <w:r>
        <w:rPr>
          <w:rFonts w:ascii="Times New Roman" w:hAnsi="Times New Roman" w:eastAsia="宋体"/>
          <w:b w:val="0"/>
          <w:sz w:val="21"/>
        </w:rPr>
        <w:t>[8] Hoerl A E, Kennard R W. Ridge regression: biased estimation for nonorthogonal problems[J]. Technometrics, 1970, 12(1): 55-67.</w:t>
      </w:r>
    </w:p>
    <w:p>
      <w:pPr>
        <w:spacing w:lineRule="exact" w:line="400" w:before="120" w:after="120"/>
        <w:ind w:hanging="420" w:left="420"/>
      </w:pPr>
      <w:r>
        <w:rPr>
          <w:rFonts w:ascii="Times New Roman" w:hAnsi="Times New Roman" w:eastAsia="宋体"/>
          <w:b w:val="0"/>
          <w:sz w:val="21"/>
        </w:rPr>
        <w:t>[9] Tibshirani R. Regression shrinkage and selection via the lasso[J]. Journal of the Royal Statistical Society: Series B, 1996, 58(1): 267-288.</w:t>
      </w:r>
    </w:p>
    <w:p>
      <w:pPr>
        <w:spacing w:lineRule="exact" w:line="400" w:before="120" w:after="120"/>
        <w:ind w:hanging="420" w:left="420"/>
      </w:pPr>
      <w:r>
        <w:rPr>
          <w:rFonts w:ascii="Times New Roman" w:hAnsi="Times New Roman" w:eastAsia="宋体"/>
          <w:b w:val="0"/>
          <w:sz w:val="21"/>
        </w:rPr>
        <w:t>[10] 邓聚龙. 灰色系统理论教程[M]. 武汉: 华中理工大学出版社, 1990.</w:t>
      </w:r>
    </w:p>
    <w:p>
      <w:pPr>
        <w:spacing w:lineRule="exact" w:line="400" w:before="120" w:after="120"/>
        <w:ind w:hanging="420" w:left="420"/>
      </w:pPr>
      <w:r>
        <w:rPr>
          <w:rFonts w:ascii="Times New Roman" w:hAnsi="Times New Roman" w:eastAsia="宋体"/>
          <w:b w:val="0"/>
          <w:sz w:val="21"/>
        </w:rPr>
        <w:t>[11] 刘思峰, 党耀国, 方志耕, 等. 灰色系统理论及其应用[M]. 8版. 北京: 科学出版社, 2017.</w:t>
      </w:r>
    </w:p>
    <w:p>
      <w:pPr>
        <w:spacing w:lineRule="exact" w:line="400" w:before="120" w:after="120"/>
        <w:ind w:hanging="420" w:left="420"/>
      </w:pPr>
      <w:r>
        <w:rPr>
          <w:rFonts w:ascii="Times New Roman" w:hAnsi="Times New Roman" w:eastAsia="宋体"/>
          <w:b w:val="0"/>
          <w:sz w:val="21"/>
        </w:rPr>
        <w:t>[12] 徐建华. 现代地理学中的数学方法[M]. 2版. 北京: 高等教育出版社, 2002.</w:t>
      </w:r>
    </w:p>
    <w:p>
      <w:pPr>
        <w:spacing w:lineRule="exact" w:line="400" w:before="120" w:after="120"/>
        <w:ind w:hanging="420" w:left="420"/>
      </w:pPr>
      <w:r>
        <w:rPr>
          <w:rFonts w:ascii="Times New Roman" w:hAnsi="Times New Roman" w:eastAsia="宋体"/>
          <w:b w:val="0"/>
          <w:sz w:val="21"/>
        </w:rPr>
        <w:t>[13] 曹伟宏, 何元庆, 李宗省, 等. 丽江旅游气候舒适度与年内客流量变化相关性分析[J]. 地理科学, 2012, 32(12): 1459-1464.</w:t>
      </w:r>
    </w:p>
    <w:p>
      <w:pPr>
        <w:spacing w:lineRule="exact" w:line="400" w:before="120" w:after="120"/>
        <w:ind w:hanging="420" w:left="420"/>
      </w:pPr>
      <w:r>
        <w:rPr>
          <w:rFonts w:ascii="Times New Roman" w:hAnsi="Times New Roman" w:eastAsia="宋体"/>
          <w:b w:val="0"/>
          <w:sz w:val="21"/>
        </w:rPr>
        <w:t>[14] 谭凯炎, 闵庆文, 王培娟. 一种基于中国气候特征和人体舒适感受的气候舒适指数模型[J]. 气象, 2022, 48(7): 913-924.</w:t>
      </w:r>
    </w:p>
    <w:p>
      <w:pPr>
        <w:spacing w:lineRule="exact" w:line="400" w:before="120" w:after="120"/>
        <w:ind w:hanging="420" w:left="420"/>
      </w:pPr>
      <w:r>
        <w:rPr>
          <w:rFonts w:ascii="Times New Roman" w:hAnsi="Times New Roman" w:eastAsia="宋体"/>
          <w:b w:val="0"/>
          <w:sz w:val="21"/>
        </w:rPr>
        <w:t>[15] 荣培君, 张荣荣, 赵现红. 中国气候舒适度时空演变及其对旅游业的影响[J]. 世界地理研究, 2024, 33(7): 139-149.</w:t>
      </w:r>
    </w:p>
    <w:p>
      <w:pPr>
        <w:spacing w:lineRule="exact" w:line="400" w:before="200" w:after="200"/>
        <w:jc w:val="center"/>
      </w:pPr>
      <w:r>
        <w:rPr>
          <w:color w:val="C0C0C0"/>
          <w:sz w:val="16"/>
        </w:rPr>
        <w:t>────────────────────────────────────────</w:t>
      </w:r>
    </w:p>
    <w:p>
      <w:pPr>
        <w:spacing w:lineRule="exact" w:line="400" w:before="240" w:after="120"/>
        <w:jc w:val="center"/>
      </w:pPr>
      <w:r>
        <w:rPr>
          <w:rFonts w:ascii="Times New Roman" w:hAnsi="Times New Roman" w:eastAsia="黑体"/>
          <w:b/>
          <w:sz w:val="28"/>
        </w:rPr>
        <w:t>附 录</w:t>
      </w:r>
    </w:p>
    <w:p>
      <w:pPr>
        <w:spacing w:lineRule="exact" w:line="400" w:before="240" w:after="120"/>
      </w:pPr>
      <w:r>
        <w:rPr>
          <w:rFonts w:ascii="Times New Roman" w:hAnsi="Times New Roman" w:eastAsia="黑体"/>
          <w:b/>
          <w:sz w:val="24"/>
        </w:rPr>
        <w:t>附录1：支撑材料文件列表</w:t>
      </w:r>
    </w:p>
    <w:p>
      <w:pPr>
        <w:pStyle w:val="ListNumber"/>
        <w:spacing w:lineRule="exact" w:line="400" w:before="200" w:after="200"/>
      </w:pPr>
      <w:r>
        <w:rPr>
          <w:rFonts w:ascii="Times New Roman" w:hAnsi="Times New Roman" w:eastAsia="宋体"/>
          <w:b w:val="0"/>
          <w:sz w:val="24"/>
        </w:rPr>
        <w:t>附件1：气候季节划分国家标准GBT+42074-2022.pdf</w:t>
      </w:r>
    </w:p>
    <w:p>
      <w:pPr>
        <w:pStyle w:val="ListNumber"/>
        <w:spacing w:lineRule="exact" w:line="400" w:before="200" w:after="200"/>
      </w:pPr>
      <w:r>
        <w:rPr>
          <w:rFonts w:ascii="Times New Roman" w:hAnsi="Times New Roman" w:eastAsia="宋体"/>
          <w:b w:val="0"/>
          <w:sz w:val="24"/>
        </w:rPr>
        <w:t>附件2：2011-2025桂林天气记录（每日）.xlsx</w:t>
      </w:r>
    </w:p>
    <w:p>
      <w:pPr>
        <w:pStyle w:val="ListNumber"/>
        <w:spacing w:lineRule="exact" w:line="400" w:before="200" w:after="200"/>
      </w:pPr>
      <w:r>
        <w:rPr>
          <w:rFonts w:ascii="Times New Roman" w:hAnsi="Times New Roman" w:eastAsia="宋体"/>
          <w:b w:val="0"/>
          <w:sz w:val="24"/>
        </w:rPr>
        <w:t>数据文件：年度旅游气候数据.xlsx</w:t>
      </w:r>
    </w:p>
    <w:p>
      <w:pPr>
        <w:pStyle w:val="ListNumber"/>
        <w:spacing w:lineRule="exact" w:line="400" w:before="200" w:after="200"/>
      </w:pPr>
      <w:r>
        <w:rPr>
          <w:rFonts w:ascii="Times New Roman" w:hAnsi="Times New Roman" w:eastAsia="宋体"/>
          <w:b w:val="0"/>
          <w:sz w:val="24"/>
        </w:rPr>
        <w:t>数据文件：季度旅游气候数据.xlsx</w:t>
      </w:r>
    </w:p>
    <w:p>
      <w:pPr>
        <w:pStyle w:val="ListNumber"/>
        <w:spacing w:lineRule="exact" w:line="400" w:before="200" w:after="200"/>
      </w:pPr>
      <w:r>
        <w:rPr>
          <w:rFonts w:ascii="Times New Roman" w:hAnsi="Times New Roman" w:eastAsia="宋体"/>
          <w:b w:val="0"/>
          <w:sz w:val="24"/>
        </w:rPr>
        <w:t>数据文件：节假日旅游气候数据.xlsx</w:t>
      </w:r>
    </w:p>
    <w:p>
      <w:pPr>
        <w:pStyle w:val="ListNumber"/>
        <w:spacing w:lineRule="exact" w:line="400" w:before="200" w:after="200"/>
      </w:pPr>
      <w:r>
        <w:rPr>
          <w:rFonts w:ascii="Times New Roman" w:hAnsi="Times New Roman" w:eastAsia="宋体"/>
          <w:b w:val="0"/>
          <w:sz w:val="24"/>
        </w:rPr>
        <w:t>数据文件：趋势检验.xlsx</w:t>
      </w:r>
    </w:p>
    <w:p>
      <w:pPr>
        <w:pStyle w:val="ListNumber"/>
        <w:spacing w:lineRule="exact" w:line="400" w:before="200" w:after="200"/>
      </w:pPr>
      <w:r>
        <w:rPr>
          <w:rFonts w:ascii="Times New Roman" w:hAnsi="Times New Roman" w:eastAsia="宋体"/>
          <w:b w:val="0"/>
          <w:sz w:val="24"/>
        </w:rPr>
        <w:t>数据文件：突变检验.xlsx</w:t>
      </w:r>
    </w:p>
    <w:p>
      <w:pPr>
        <w:pStyle w:val="ListNumber"/>
        <w:spacing w:lineRule="exact" w:line="400" w:before="200" w:after="200"/>
      </w:pPr>
      <w:r>
        <w:rPr>
          <w:rFonts w:ascii="Times New Roman" w:hAnsi="Times New Roman" w:eastAsia="宋体"/>
          <w:b w:val="0"/>
          <w:sz w:val="24"/>
        </w:rPr>
        <w:t>数据文件：马尔科夫转移矩阵.xlsx</w:t>
      </w:r>
    </w:p>
    <w:p>
      <w:pPr>
        <w:pStyle w:val="ListNumber"/>
        <w:spacing w:lineRule="exact" w:line="400" w:before="200" w:after="200"/>
      </w:pPr>
      <w:r>
        <w:rPr>
          <w:rFonts w:ascii="Times New Roman" w:hAnsi="Times New Roman" w:eastAsia="宋体"/>
          <w:b w:val="0"/>
          <w:sz w:val="24"/>
        </w:rPr>
        <w:t>数据文件：季节划分.xlsx</w:t>
      </w:r>
    </w:p>
    <w:p>
      <w:pPr>
        <w:pStyle w:val="ListNumber"/>
        <w:spacing w:lineRule="exact" w:line="400" w:before="200" w:after="200"/>
      </w:pPr>
      <w:r>
        <w:rPr>
          <w:rFonts w:ascii="Times New Roman" w:hAnsi="Times New Roman" w:eastAsia="宋体"/>
          <w:b w:val="0"/>
          <w:sz w:val="24"/>
        </w:rPr>
        <w:t>数据文件：岭回归结果.xlsx</w:t>
      </w:r>
    </w:p>
    <w:p>
      <w:pPr>
        <w:spacing w:lineRule="exact" w:line="400" w:before="240" w:after="120"/>
      </w:pPr>
      <w:r>
        <w:rPr>
          <w:rFonts w:ascii="Times New Roman" w:hAnsi="Times New Roman" w:eastAsia="黑体"/>
          <w:b/>
          <w:sz w:val="24"/>
        </w:rPr>
        <w:t>附录2：源程序代码</w:t>
      </w:r>
    </w:p>
    <w:p>
      <w:pPr>
        <w:spacing w:lineRule="exact" w:line="400" w:before="200" w:after="200"/>
      </w:pPr>
      <w:r>
        <w:rPr>
          <w:rFonts w:ascii="Times New Roman" w:hAnsi="Times New Roman" w:eastAsia="宋体"/>
          <w:b/>
          <w:sz w:val="24"/>
        </w:rPr>
        <w:t>程序1：complete_analysis.py</w:t>
      </w:r>
    </w:p>
    <w:p>
      <w:pPr>
        <w:pStyle w:val="ListBullet"/>
        <w:spacing w:lineRule="exact" w:line="400" w:before="200" w:after="200"/>
      </w:pPr>
      <w:r>
        <w:rPr>
          <w:rFonts w:ascii="Times New Roman" w:hAnsi="Times New Roman" w:eastAsia="宋体"/>
          <w:b w:val="0"/>
          <w:sz w:val="24"/>
        </w:rPr>
        <w:t>语言：Python 3.13</w:t>
      </w:r>
    </w:p>
    <w:p>
      <w:pPr>
        <w:pStyle w:val="ListBullet"/>
        <w:spacing w:lineRule="exact" w:line="400" w:before="200" w:after="200"/>
      </w:pPr>
      <w:r>
        <w:rPr>
          <w:rFonts w:ascii="Times New Roman" w:hAnsi="Times New Roman" w:eastAsia="宋体"/>
          <w:b w:val="0"/>
          <w:sz w:val="24"/>
        </w:rPr>
        <w:t>功能：完整问题解决方案，包含MK趋势检验、Pettitt突变检验、马尔科夫链、岭回归</w:t>
      </w:r>
    </w:p>
    <w:p>
      <w:pPr>
        <w:pStyle w:val="ListBullet"/>
        <w:spacing w:lineRule="exact" w:line="400" w:before="200" w:after="200"/>
      </w:pPr>
      <w:r>
        <w:rPr>
          <w:rFonts w:ascii="Times New Roman" w:hAnsi="Times New Roman" w:eastAsia="宋体"/>
          <w:b w:val="0"/>
          <w:sz w:val="24"/>
        </w:rPr>
        <w:t>运行结果：生成5个CSV + 1个TXT文件</w:t>
      </w:r>
    </w:p>
    <w:p>
      <w:pPr>
        <w:spacing w:lineRule="exact" w:line="400" w:before="200" w:after="200"/>
      </w:pPr>
      <w:r>
        <w:rPr>
          <w:rFonts w:ascii="Times New Roman" w:hAnsi="Times New Roman" w:eastAsia="宋体"/>
          <w:b/>
          <w:sz w:val="24"/>
        </w:rPr>
        <w:t>程序2：charts_optimized.py</w:t>
      </w:r>
    </w:p>
    <w:p>
      <w:pPr>
        <w:pStyle w:val="ListBullet"/>
        <w:spacing w:lineRule="exact" w:line="400" w:before="200" w:after="200"/>
      </w:pPr>
      <w:r>
        <w:rPr>
          <w:rFonts w:ascii="Times New Roman" w:hAnsi="Times New Roman" w:eastAsia="宋体"/>
          <w:b w:val="0"/>
          <w:sz w:val="24"/>
        </w:rPr>
        <w:t>语言：Python 3.13</w:t>
      </w:r>
    </w:p>
    <w:p>
      <w:pPr>
        <w:pStyle w:val="ListBullet"/>
        <w:spacing w:lineRule="exact" w:line="400" w:before="200" w:after="200"/>
      </w:pPr>
      <w:r>
        <w:rPr>
          <w:rFonts w:ascii="Times New Roman" w:hAnsi="Times New Roman" w:eastAsia="宋体"/>
          <w:b w:val="0"/>
          <w:sz w:val="24"/>
        </w:rPr>
        <w:t>功能：生成10张ECharts交互式图表</w:t>
      </w:r>
    </w:p>
    <w:p>
      <w:pPr>
        <w:pStyle w:val="ListBullet"/>
        <w:spacing w:lineRule="exact" w:line="400" w:before="200" w:after="200"/>
      </w:pPr>
      <w:r>
        <w:rPr>
          <w:rFonts w:ascii="Times New Roman" w:hAnsi="Times New Roman" w:eastAsia="宋体"/>
          <w:b w:val="0"/>
          <w:sz w:val="24"/>
        </w:rPr>
        <w:t>运行结果：生成10个HTML图表文件</w:t>
      </w:r>
    </w:p>
    <w:p>
      <w:pPr>
        <w:spacing w:lineRule="exact" w:line="400" w:before="200" w:after="200"/>
      </w:pPr>
      <w:r>
        <w:rPr>
          <w:rFonts w:ascii="Times New Roman" w:hAnsi="Times New Roman" w:eastAsia="宋体"/>
          <w:b/>
          <w:sz w:val="24"/>
        </w:rPr>
        <w:t>程序3：problem3_analysis.py</w:t>
      </w:r>
    </w:p>
    <w:p>
      <w:pPr>
        <w:pStyle w:val="ListBullet"/>
        <w:spacing w:lineRule="exact" w:line="400" w:before="200" w:after="200"/>
      </w:pPr>
      <w:r>
        <w:rPr>
          <w:rFonts w:ascii="Times New Roman" w:hAnsi="Times New Roman" w:eastAsia="宋体"/>
          <w:b w:val="0"/>
          <w:sz w:val="24"/>
        </w:rPr>
        <w:t>语言：Python 3.13</w:t>
      </w:r>
    </w:p>
    <w:p>
      <w:pPr>
        <w:pStyle w:val="ListBullet"/>
        <w:spacing w:lineRule="exact" w:line="400" w:before="200" w:after="200"/>
      </w:pPr>
      <w:r>
        <w:rPr>
          <w:rFonts w:ascii="Times New Roman" w:hAnsi="Times New Roman" w:eastAsia="宋体"/>
          <w:b w:val="0"/>
          <w:sz w:val="24"/>
        </w:rPr>
        <w:t>功能：问题三基础分析，包含灰色关联、多元回归、面板回归、节假日分析</w:t>
      </w:r>
    </w:p>
    <w:p>
      <w:pPr>
        <w:pStyle w:val="ListBullet"/>
        <w:spacing w:lineRule="exact" w:line="400" w:before="200" w:after="200"/>
      </w:pPr>
      <w:r>
        <w:rPr>
          <w:rFonts w:ascii="Times New Roman" w:hAnsi="Times New Roman" w:eastAsia="宋体"/>
          <w:b w:val="0"/>
          <w:sz w:val="24"/>
        </w:rPr>
        <w:t>运行结果：生成6个数据文件</w:t>
      </w:r>
    </w:p>
    <w:p>
      <w:pPr>
        <w:spacing w:lineRule="exact" w:line="400" w:before="240" w:after="120"/>
      </w:pPr>
      <w:r>
        <w:rPr>
          <w:rFonts w:ascii="Times New Roman" w:hAnsi="Times New Roman" w:eastAsia="黑体"/>
          <w:b/>
          <w:sz w:val="24"/>
        </w:rPr>
        <w:t>附录3：AI工具使用详情</w:t>
      </w:r>
    </w:p>
    <w:p>
      <w:pPr>
        <w:spacing w:lineRule="exact" w:line="400" w:before="200" w:after="200"/>
        <w:ind w:firstLine="420"/>
        <w:jc w:val="both"/>
      </w:pPr>
      <w:r>
        <w:rPr>
          <w:rFonts w:ascii="Times New Roman" w:hAnsi="Times New Roman" w:eastAsia="宋体"/>
          <w:b w:val="0"/>
          <w:sz w:val="24"/>
        </w:rPr>
        <w:t>本研究使用Claude Code作为辅助工具，主要用于：</w:t>
      </w:r>
    </w:p>
    <w:p>
      <w:pPr>
        <w:pStyle w:val="ListNumber"/>
        <w:spacing w:lineRule="exact" w:line="400" w:before="200" w:after="200"/>
      </w:pPr>
      <w:r>
        <w:rPr>
          <w:rFonts w:ascii="Times New Roman" w:hAnsi="Times New Roman" w:eastAsia="宋体"/>
          <w:b w:val="0"/>
          <w:sz w:val="24"/>
        </w:rPr>
        <w:t>代码编写与调试</w:t>
      </w:r>
    </w:p>
    <w:p>
      <w:pPr>
        <w:pStyle w:val="ListNumber"/>
        <w:spacing w:lineRule="exact" w:line="400" w:before="200" w:after="200"/>
      </w:pPr>
      <w:r>
        <w:rPr>
          <w:rFonts w:ascii="Times New Roman" w:hAnsi="Times New Roman" w:eastAsia="宋体"/>
          <w:b w:val="0"/>
          <w:sz w:val="24"/>
        </w:rPr>
        <w:t>数据分析与可视化</w:t>
      </w:r>
    </w:p>
    <w:p>
      <w:pPr>
        <w:pStyle w:val="ListNumber"/>
        <w:spacing w:lineRule="exact" w:line="400" w:before="200" w:after="200"/>
      </w:pPr>
      <w:r>
        <w:rPr>
          <w:rFonts w:ascii="Times New Roman" w:hAnsi="Times New Roman" w:eastAsia="宋体"/>
          <w:b w:val="0"/>
          <w:sz w:val="24"/>
        </w:rPr>
        <w:t>论文结构组织与内容撰写</w:t>
      </w:r>
    </w:p>
    <w:p>
      <w:pPr>
        <w:pStyle w:val="ListNumber"/>
        <w:spacing w:lineRule="exact" w:line="400" w:before="200" w:after="200"/>
      </w:pPr>
      <w:r>
        <w:rPr>
          <w:rFonts w:ascii="Times New Roman" w:hAnsi="Times New Roman" w:eastAsia="宋体"/>
          <w:b w:val="0"/>
          <w:sz w:val="24"/>
        </w:rPr>
        <w:t>文献检索与整理</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