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75" w:type="dxa"/>
        <w:tblInd w:w="-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2091"/>
        <w:gridCol w:w="1593"/>
        <w:gridCol w:w="3672"/>
      </w:tblGrid>
      <w:tr w14:paraId="5B3A2474">
        <w:tc>
          <w:tcPr>
            <w:tcW w:w="24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75AD18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信息类型</w:t>
            </w:r>
          </w:p>
        </w:tc>
        <w:tc>
          <w:tcPr>
            <w:tcW w:w="2091" w:type="dxa"/>
            <w:tcBorders>
              <w:top w:val="single" w:color="auto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8A58E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信息内容</w:t>
            </w:r>
          </w:p>
        </w:tc>
        <w:tc>
          <w:tcPr>
            <w:tcW w:w="15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499A6F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实现技术路径</w:t>
            </w:r>
          </w:p>
        </w:tc>
        <w:tc>
          <w:tcPr>
            <w:tcW w:w="36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21E79F6">
            <w:pPr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交互流程步骤说明</w:t>
            </w:r>
          </w:p>
        </w:tc>
      </w:tr>
      <w:tr w14:paraId="74E17104">
        <w:tc>
          <w:tcPr>
            <w:tcW w:w="24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490D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  <w:t>选项类信息采集</w:t>
            </w:r>
          </w:p>
        </w:tc>
        <w:tc>
          <w:tcPr>
            <w:tcW w:w="20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814BC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工作领域（工程建设/非工程建设）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工资结算方式（日结/月结/计件/完工结）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是否进行过调解、有无调解意愿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是否进行过劳动争议仲裁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后续是否还在原单位就业等</w:t>
            </w:r>
          </w:p>
        </w:tc>
        <w:tc>
          <w:tcPr>
            <w:tcW w:w="15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6452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单选组件+条件渲染</w:t>
            </w:r>
          </w:p>
        </w:tc>
        <w:tc>
          <w:tcPr>
            <w:tcW w:w="36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5A2F13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采用单选组件渲染，用户点击按钮即可完成选择。其中工作领域的选择结果作为触发条件，当用户选择“工程建设领域”时，前端通过条件渲染技术动态展示施工总承包单位、分包单位、担保方等专属选填输入框。</w:t>
            </w:r>
          </w:p>
        </w:tc>
      </w:tr>
      <w:tr w14:paraId="733825F1">
        <w:tc>
          <w:tcPr>
            <w:tcW w:w="24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F836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  <w:t>时间与数值类信息采集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C1B63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劳务工作起止时间、拖欠工资起止时间等日期字段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D6004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日期选择器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54061F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前端调用小程序/H5原生日期选择器，用户通过滚轮或日历面板点选年月，输出格式统一为“YYYY年MM月”，避免手写格式混乱。</w:t>
            </w:r>
          </w:p>
        </w:tc>
      </w:tr>
      <w:tr w14:paraId="339694F5">
        <w:tc>
          <w:tcPr>
            <w:tcW w:w="2419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63E2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D0507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总工作时长、欠薪涉及人数、拖欠工资金额等数值字段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BBCF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数字输入组件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E4982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采用数字输入组件自动调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数字键盘并限制仅可输入数值，部分字段联动单位选择（如天/月、元）</w:t>
            </w:r>
          </w:p>
        </w:tc>
      </w:tr>
      <w:tr w14:paraId="36EB9C7D"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BEFF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  <w:t>地址信息采集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140A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工作地址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ABCD1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地图定位+逆地理编码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C53808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前端调用wx.getLocation或浏览器Geolocation API获取用户当前经纬度坐标，再通过调用地图服务（如高德/腾讯地图）的逆地理编码接口，将坐标转换为“省-市-区-街道”格式的文字地址并自动填入表单，用户可在自动填充基础上手动修正。</w:t>
            </w:r>
          </w:p>
        </w:tc>
      </w:tr>
      <w:tr w14:paraId="2FC402D5"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4ADE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  <w:t>文本类信息采集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489F4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拖欠工资单位名称及电话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拖欠工资个人姓名及联系方式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工作地点及内容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施工总承包/分包/担保方名称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58F5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普通输入框+格式校验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9DECA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均采用普通文本输入框。其中联系电话字段附加正则表达式实时校验，确保手机号或固定电话格式正确；选填的工程建设责任主体输入框附带图文提示文案（如“可查看施工现场维权信息告示牌获取”），引导用户准确填写。</w:t>
            </w:r>
          </w:p>
        </w:tc>
      </w:tr>
      <w:tr w14:paraId="510B9D7F"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0AABB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  <w:t>欠薪基本情况概要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C95441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劳务起止时间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工作地点及内容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拖欠起止时间及金额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单位及班组信息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等欠薪基本情况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B72F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结构化采集+模板自动拼接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FD8606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将一段完整的“概要陈述”拆解为独立的结构化输入项，用户分别填写后，系统依据预设模板自动拼接生成规范的事实陈述段落，并在界面上方预览区展示，用户可确认或手动微调后提交。</w:t>
            </w:r>
          </w:p>
        </w:tc>
      </w:tr>
      <w:tr w14:paraId="654D0C52"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27AA5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  <w:t>证据材料采集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3235D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劳动合同、工资条、聊天记录、考勤记录、工友证言等图片、文档、音视频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格式的证据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FF4B6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分片上传+断点续传技术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9DECCE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采用分片上传+断点续传技术，适应工地网络不稳定的环境。前端提供文件选择器支持多种格式上传。上传证据后系统以Checklist组件展示常见证据类型用户勾选“已有”或“缺失”。对于缺失项后端触发钩子返回针对性的补证建议文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如建议上传微信聊天记录中的用工约定截图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引导用户补充关键证据。</w:t>
            </w:r>
          </w:p>
        </w:tc>
      </w:tr>
      <w:tr w14:paraId="411FC0BA">
        <w:tc>
          <w:tcPr>
            <w:tcW w:w="24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5193E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vertAlign w:val="baseline"/>
              </w:rPr>
              <w:t>选填信息的提示与增量补充机制</w:t>
            </w:r>
          </w:p>
        </w:tc>
        <w:tc>
          <w:tcPr>
            <w:tcW w:w="20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8C2BCA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工资结算方式、欠薪人数、工程建设责任主体、调解仲裁情况、证据材料等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0757A9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提示与增量补充机制</w:t>
            </w:r>
          </w:p>
        </w:tc>
        <w:tc>
          <w:tcPr>
            <w:tcW w:w="36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5BDDDA">
            <w:pPr>
              <w:jc w:val="both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</w:rPr>
              <w:t>选填字段附带填写提示。用户完成必填项后即可提交诉求，选填信息可跳过，后续通过“补充线索”或“补充证据”入口随时返回增补，后端以增量更新方式合并存储至案件数据池。</w:t>
            </w:r>
          </w:p>
        </w:tc>
      </w:tr>
    </w:tbl>
    <w:p w14:paraId="6CA3AA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yOTRlYTJiZDI2ZWY5MDA2ZmY5OWJiOTk1ZTVjOGUifQ=="/>
  </w:docVars>
  <w:rsids>
    <w:rsidRoot w:val="F9B6F356"/>
    <w:rsid w:val="51F76D1C"/>
    <w:rsid w:val="537FADCF"/>
    <w:rsid w:val="77E774C9"/>
    <w:rsid w:val="7EDB979B"/>
    <w:rsid w:val="D5BEB534"/>
    <w:rsid w:val="F9B6F356"/>
    <w:rsid w:val="FB852F81"/>
    <w:rsid w:val="FDDFC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DengXian" w:hAnsi="DengXian" w:eastAsia="DengXian" w:cs="Times New Roman"/>
      <w:kern w:val="2"/>
      <w:sz w:val="21"/>
      <w:szCs w:val="21"/>
      <w:lang w:val="en-US" w:eastAsia="zh-CN" w:bidi="ar-SA"/>
      <w14:ligatures w14:val="none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120" w:after="120" w:line="240" w:lineRule="auto"/>
      <w:outlineLvl w:val="0"/>
    </w:pPr>
    <w:rPr>
      <w:rFonts w:eastAsia="Heiti SC Medium" w:asciiTheme="majorAscii" w:hAnsiTheme="majorAscii" w:cstheme="majorBidi"/>
      <w:color w:val="000000" w:themeColor="text1"/>
      <w:sz w:val="30"/>
      <w:szCs w:val="48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120" w:after="120" w:line="240" w:lineRule="auto"/>
      <w:outlineLvl w:val="1"/>
    </w:pPr>
    <w:rPr>
      <w:rFonts w:eastAsia="Heiti SC Light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  <w14:ligatures w14:val="standardContextual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80" w:after="80" w:line="240" w:lineRule="auto"/>
      <w:outlineLvl w:val="2"/>
    </w:pPr>
    <w:rPr>
      <w:rFonts w:eastAsia="STFangsong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uiPriority w:val="9"/>
    <w:rPr>
      <w:rFonts w:eastAsia="Heiti SC Medium" w:asciiTheme="majorAscii" w:hAnsiTheme="majorAscii" w:cstheme="majorBidi"/>
      <w:color w:val="000000" w:themeColor="text1"/>
      <w:sz w:val="30"/>
      <w:szCs w:val="48"/>
      <w14:textFill>
        <w14:solidFill>
          <w14:schemeClr w14:val="tx1"/>
        </w14:solidFill>
      </w14:textFill>
      <w14:ligatures w14:val="standardContextual"/>
    </w:rPr>
  </w:style>
  <w:style w:type="character" w:customStyle="1" w:styleId="9">
    <w:name w:val="标题 2 字符"/>
    <w:basedOn w:val="7"/>
    <w:link w:val="3"/>
    <w:semiHidden/>
    <w:uiPriority w:val="9"/>
    <w:rPr>
      <w:rFonts w:eastAsia="Heiti SC Light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  <w14:ligatures w14:val="standardContextual"/>
    </w:rPr>
  </w:style>
  <w:style w:type="character" w:customStyle="1" w:styleId="10">
    <w:name w:val="标题 3 字符"/>
    <w:basedOn w:val="7"/>
    <w:link w:val="4"/>
    <w:semiHidden/>
    <w:uiPriority w:val="9"/>
    <w:rPr>
      <w:rFonts w:eastAsia="STFangsong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  <w:style w:type="paragraph" w:customStyle="1" w:styleId="11">
    <w:name w:val="样式1"/>
    <w:basedOn w:val="1"/>
    <w:next w:val="1"/>
    <w:uiPriority w:val="0"/>
    <w:pPr>
      <w:keepNext/>
      <w:keepLines/>
      <w:spacing w:before="480" w:after="80"/>
      <w:outlineLvl w:val="0"/>
    </w:pPr>
    <w:rPr>
      <w:rFonts w:hint="default" w:eastAsia="Songti SC" w:asciiTheme="majorAscii" w:hAnsiTheme="majorAscii" w:cstheme="majorBidi"/>
      <w:color w:val="000000" w:themeColor="text1"/>
      <w:sz w:val="36"/>
      <w:szCs w:val="48"/>
      <w14:textFill>
        <w14:solidFill>
          <w14:schemeClr w14:val="tx1"/>
        </w14:solidFill>
      </w14:textFill>
      <w14:ligatures w14:val="standardContextual"/>
    </w:rPr>
  </w:style>
  <w:style w:type="paragraph" w:customStyle="1" w:styleId="12">
    <w:name w:val="样式3"/>
    <w:basedOn w:val="1"/>
    <w:next w:val="1"/>
    <w:uiPriority w:val="0"/>
    <w:pPr>
      <w:keepNext/>
      <w:keepLines/>
      <w:spacing w:before="160" w:after="80"/>
      <w:outlineLvl w:val="2"/>
    </w:pPr>
    <w:rPr>
      <w:rFonts w:hint="default" w:eastAsia="Songti SC" w:asciiTheme="majorAscii" w:hAnsiTheme="majorAscii" w:cstheme="majorBidi"/>
      <w:color w:val="000000" w:themeColor="text1"/>
      <w:sz w:val="24"/>
      <w:szCs w:val="32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2026-04-23T11:46:00Z</dcterms:created>
  <dc:creator>卡卡</dc:creator>
  <cp:lastModifiedBy>卡卡</cp:lastModifiedBy>
  <dcterms:modified xsi:type="dcterms:W3CDTF">2026-04-23T11:46:36Z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0E9109D0E64D7CEBFB95E9698D22A176_41</vt:lpwstr>
  </property>
</Properties>
</file>