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F0EC1">
      <w:r>
        <w:rPr>
          <w:rFonts w:hint="eastAsia"/>
        </w:rPr>
        <w:t xml:space="preserve"> 1. 新的纯 S11 模型结果</w:t>
      </w:r>
    </w:p>
    <w:p w14:paraId="47B047C9">
      <w:r>
        <w:drawing>
          <wp:inline distT="0" distB="0" distL="114300" distR="114300">
            <wp:extent cx="5273040" cy="27901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86436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B653"/>
    <w:p w14:paraId="13B04F35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历史数据中已知最深 S11 的真实样本</w:t>
      </w:r>
    </w:p>
    <w:p w14:paraId="12D58508">
      <w:pPr>
        <w:numPr>
          <w:numId w:val="0"/>
        </w:numPr>
        <w:ind w:left="105" w:leftChars="0"/>
      </w:pPr>
      <w:r>
        <w:drawing>
          <wp:inline distT="0" distB="0" distL="114300" distR="114300">
            <wp:extent cx="5265420" cy="2777490"/>
            <wp:effectExtent l="0" t="0" r="508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012950"/>
            <wp:effectExtent l="0" t="0" r="952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B4BB">
      <w:pPr>
        <w:numPr>
          <w:numId w:val="0"/>
        </w:numPr>
        <w:ind w:left="105"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两者对比</w:t>
      </w:r>
      <w:bookmarkStart w:id="0" w:name="_GoBack"/>
      <w:bookmarkEnd w:id="0"/>
    </w:p>
    <w:p w14:paraId="11041744">
      <w:r>
        <w:drawing>
          <wp:inline distT="0" distB="0" distL="114300" distR="114300">
            <wp:extent cx="5273040" cy="197485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267FD"/>
    <w:multiLevelType w:val="singleLevel"/>
    <w:tmpl w:val="6B6267FD"/>
    <w:lvl w:ilvl="0" w:tentative="0">
      <w:start w:val="2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751BB"/>
    <w:rsid w:val="3D87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2026-04-23T05:51:00Z</dcterms:created>
  <dc:creator>WPS_1655700974</dc:creator>
  <cp:lastModifiedBy>WPS_1655700974</cp:lastModifiedBy>
  <dcterms:modified xsi:type="dcterms:W3CDTF">2026-04-23T06:03:18Z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1D52CEBB89E24CD593D9FC77654E17CF_11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