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color w:val="0070C0"/>
          <w:lang w:val="en-US" w:eastAsia="zh-CN"/>
        </w:rPr>
        <w:t>数字经济与能源效率的非线性关系</w:t>
      </w:r>
    </w:p>
    <w:p w14:paraId="0EE20C45">
      <w:pPr>
        <w:rPr>
          <w:rFonts w:hint="default"/>
          <w:color w:val="FF0000"/>
          <w:highlight w:val="yellow"/>
          <w:lang w:val="en-US" w:eastAsia="zh-CN"/>
        </w:rPr>
      </w:pPr>
      <w:r>
        <w:rPr>
          <w:color w:val="0070C0"/>
        </w:rPr>
        <w:t>本研究基于 STGNN 的时序样本构造方式，对数字经济（DE）与能源效率（EE）的省级非线性关系进行识别。具体而言，在与模型训练一致的窗口样本设定下，以连续 3 个时期作为输入窗口，并将下一时期的能源效率作为预测目标；随后针对指定省份，提取各窗口样本中最后一个输入时期的 DE 观测值，以及对应预测时期的 EE 观测值，形成该省份的时序样本散点。基于此，进一步构造 EE=aDE²+bDE+c 的二次拟合函数，用于刻画数字经济对能源效率影响的非线性形态。该处理方式与图形展示部分保持一致，便于将省份散点分布、拟合曲线方向和拟合优度进行统一解释。</w:t>
      </w:r>
    </w:p>
    <w:p w14:paraId="54AC32E0">
      <w:pPr>
        <w:rPr>
          <w:rFonts w:hint="eastAsia"/>
          <w:color w:val="FF0000"/>
          <w:lang w:val="en-US" w:eastAsia="zh-CN"/>
        </w:rPr>
      </w:pPr>
      <w:r>
        <w:rPr>
          <w:color w:val="0070C0"/>
        </w:rPr>
        <w:t>在分类判定上，本文综合考虑曲线方向、拟合优度和响应幅度三项标准：当二次项系数 a&gt;0、二次拟合优度 R² 不低于 0.20，且曲线响应幅度不低于样本拟合曲线标准差的 3.2 倍时，判定为 U 型；当 a&lt;0、二次拟合优度 R² 不低于 0.20，且曲线响应幅度不低于样本拟合曲线标准差的 0.8 倍时，判定为倒 U 型；其余情形归为弱相关。考虑到年度省级样本数量有限，拐点位置易受局部样本波动影响，本文将拐点位置作为辅助解释信息，而不再作为硬性排除条件。</w:t>
      </w:r>
    </w:p>
    <w:p w14:paraId="1EBF39BF">
      <w:pPr>
        <w:rPr>
          <w:rFonts w:hint="eastAsia"/>
          <w:color w:val="FF0000"/>
          <w:highlight w:val="yellow"/>
          <w:lang w:val="en-US" w:eastAsia="zh-CN"/>
        </w:rPr>
      </w:pPr>
      <w:r>
        <w:rPr>
          <w:color w:val="0070C0"/>
        </w:rPr>
        <w:t>为检验上述分类对模型随机初始化的敏感性，本文在固定训练集、验证集和测试集划分的前提下，采用 30 个不同随机种子重复训练 STGNN 模型。每次训练均按相同窗口样本构造方式提取 30 个省份的 DE-EE 样本点，并完成二次拟合和类型判定。结果表明，从 30 次重复训练的平均识别数量看，U 型、倒 U 型和弱相关模式的平均省份数分别为 13.70、13.87 和 2.43。</w:t>
      </w:r>
    </w:p>
    <w:p w14:paraId="3C946436">
      <w:pPr>
        <w:rPr>
          <w:rFonts w:hint="default"/>
          <w:color w:val="FF0000"/>
          <w:highlight w:val="yellow"/>
          <w:lang w:val="en-US" w:eastAsia="zh-CN"/>
        </w:rPr>
      </w:pPr>
      <w:r>
        <w:rPr>
          <w:color w:val="0070C0"/>
        </w:rPr>
        <w:t>若按各省份在 30 次重复训练中的主分类概率进行归并，U 型主分类省份共有 18 个，主要包括辽宁、天津、重庆、内蒙古、吉林、黑龙江、海南、广西、青海、宁夏、河北、四川、新疆、山西、陕西、甘肃、江西、湖南；倒 U 型主分类省份共有 12 个，主要包括广东、浙江、江苏、北京、河南、上海、安徽、福建、山东、湖北、贵州、云南。弱相关在重复训练中更多表现为过渡状态，而非稳定主类型，其中江西、河北、福建、湖南和陕西等省份的弱相关概率相对更高。整体上，30 个省份中共有 8 个省份达到“稳定”水平、21 个省份为“中等稳定”，另有 1 个省份表现出较高的分类不确定性。</w:t>
      </w:r>
    </w:p>
    <w:p>
      <w:pPr>
        <w:jc w:val="center"/>
      </w:pPr>
      <w:r>
        <w:rPr>
          <w:color w:val="0070C0"/>
        </w:rPr>
        <w:drawing>
          <wp:inline xmlns:a="http://schemas.openxmlformats.org/drawingml/2006/main" xmlns:pic="http://schemas.openxmlformats.org/drawingml/2006/picture">
            <wp:extent cx="5577840" cy="3691165"/>
            <wp:docPr id="9" name="Picture 9"/>
            <wp:cNvGraphicFramePr>
              <a:graphicFrameLocks noChangeAspect="1"/>
            </wp:cNvGraphicFramePr>
            <a:graphic>
              <a:graphicData uri="http://schemas.openxmlformats.org/drawingml/2006/picture">
                <pic:pic>
                  <pic:nvPicPr>
                    <pic:cNvPr id="0" name="stgnn_repeated_seed30_class_stability.png"/>
                    <pic:cNvPicPr/>
                  </pic:nvPicPr>
                  <pic:blipFill>
                    <a:blip r:embed="rId49"/>
                    <a:stretch>
                      <a:fillRect/>
                    </a:stretch>
                  </pic:blipFill>
                  <pic:spPr>
                    <a:xfrm>
                      <a:off x="0" y="0"/>
                      <a:ext cx="5577840" cy="3691165"/>
                    </a:xfrm>
                    <a:prstGeom prst="rect"/>
                  </pic:spPr>
                </pic:pic>
              </a:graphicData>
            </a:graphic>
          </wp:inline>
        </w:drawing>
      </w:r>
    </w:p>
    <w:p>
      <w:pPr>
        <w:jc w:val="center"/>
      </w:pPr>
      <w:r>
        <w:rPr>
          <w:color w:val="0070C0"/>
        </w:rPr>
        <w:t>图 3  30 个随机种子重复训练下 STGNN 非线性分类稳定性</w:t>
      </w:r>
    </w:p>
    <w:p w14:paraId="2715F6D3">
      <w:pPr>
        <w:rPr>
          <w:rFonts w:hint="eastAsia"/>
          <w:lang w:val="en-US" w:eastAsia="zh-CN"/>
        </w:rPr>
      </w:pPr>
      <w:r>
        <w:rPr>
          <w:color w:val="0070C0"/>
        </w:rPr>
        <w:t>图 3 和表 3 进一步给出了三类模式在 30 次重复训练下的经验分布。可以看出，U 型和倒 U 型的平均识别省份数较为接近，分别为 13.70 和 13.87；弱相关模式的平均识别省份数仅为 2.43。从 95% 经验区间看，U 型模式大致位于 [3.73, 22.55]，倒 U 型模式位于 [5.00, 24.27]，弱相关位于 [0.00, 7.00]。这表明重复训练并未改变“非线性关系占主体”的总体结论，但不同随机种子下 U 型与倒 U 型之间仍存在一定替代波动。</w:t>
      </w:r>
    </w:p>
    <w:p w14:paraId="49EB64BD">
      <w:pPr>
        <w:rPr>
          <w:rFonts w:hint="default"/>
          <w:color w:val="FF0000"/>
          <w:highlight w:val="yellow"/>
          <w:lang w:val="en-US" w:eastAsia="zh-CN"/>
        </w:rPr>
      </w:pPr>
      <w:r>
        <w:rPr>
          <w:color w:val="0070C0"/>
        </w:rPr>
        <w:t>从模型性能看，30 次重复训练下 STGNN 的平均训练集、验证集和测试集 R² 分别为 0.2087、0.0152 和 0.1860，对应平均 RMSE 分别为 0.0770、0.0793 和 0.0858。因此，本文将重复训练得到的分类频率解释为模型不确定性的稳健性检验结果，而非单次训练的偶然输出。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平均省份数</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标准差</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13.70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5.6211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3.73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22.55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5.8175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24.27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2.2846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在空间权重敏感性分析中，本文设置等权基准、地理优先、经济优先和数字优先四类方案，分别构造综合空间邻接矩阵并在相同 STGNN 结构、相同随机窗口划分和相同训练流程下重复训练。四种方案对应的权重分别为：等权基准（0.33, 0.33, 0.34）、地理优先（0.50, 0.25, 0.25）、经济优先（0.25, 0.50, 0.25）和数字优先（0.25, 0.25, 0.50）。</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表 4 汇总了四种空间权重方案在训练集、验证集和测试集上的 R²、RMSE 和 MAE 表现。按验证集 R² 选择各方案的代表性结果时，经济优先方案的验证集 R² 最高（0.0398），等权基准方案的测试集 R² 相对更高（0.1911）；若从多次重复训练的平均结果看，四种方案的测试集 R² 均值均处于 0.17 左右，说明空间图权重设定会对样本外预测产生一定影响，但不会改变模型整体可运行且结论可解释的基本事实。</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p>
      <w:r>
        <w:rPr>
          <w:color w:val="0070C0"/>
        </w:rPr>
        <w:t>表 4  四种空间权重方案的 STGNN 性能敏感性比较（R²）</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color w:val="0070C0"/>
              </w:rPr>
              <w:t>方案</w:t>
            </w:r>
          </w:p>
        </w:tc>
        <w:tc>
          <w:tcPr>
            <w:tcW w:type="dxa" w:w="1384"/>
          </w:tcPr>
          <w:p>
            <w:r>
              <w:rPr>
                <w:color w:val="0070C0"/>
              </w:rPr>
              <w:t>图权重(G,E,D)</w:t>
            </w:r>
          </w:p>
        </w:tc>
        <w:tc>
          <w:tcPr>
            <w:tcW w:type="dxa" w:w="1384"/>
          </w:tcPr>
          <w:p>
            <w:r>
              <w:rPr>
                <w:color w:val="0070C0"/>
              </w:rPr>
              <w:t>选中 seed</w:t>
            </w:r>
          </w:p>
        </w:tc>
        <w:tc>
          <w:tcPr>
            <w:tcW w:type="dxa" w:w="1384"/>
          </w:tcPr>
          <w:p>
            <w:r>
              <w:rPr>
                <w:color w:val="0070C0"/>
              </w:rPr>
              <w:t>训练集 R²</w:t>
            </w:r>
          </w:p>
        </w:tc>
        <w:tc>
          <w:tcPr>
            <w:tcW w:type="dxa" w:w="1384"/>
          </w:tcPr>
          <w:p>
            <w:r>
              <w:rPr>
                <w:color w:val="0070C0"/>
              </w:rPr>
              <w:t>验证集 R²</w:t>
            </w:r>
          </w:p>
        </w:tc>
        <w:tc>
          <w:tcPr>
            <w:tcW w:type="dxa" w:w="1384"/>
          </w:tcPr>
          <w:p>
            <w:r>
              <w:rPr>
                <w:color w:val="0070C0"/>
              </w:rPr>
              <w:t>测试集 R²</w:t>
            </w:r>
          </w:p>
        </w:tc>
      </w:tr>
      <w:tr>
        <w:tc>
          <w:tcPr>
            <w:tcW w:type="dxa" w:w="1384"/>
          </w:tcPr>
          <w:p>
            <w:r>
              <w:rPr>
                <w:color w:val="0070C0"/>
              </w:rPr>
              <w:t>等权基准</w:t>
            </w:r>
          </w:p>
        </w:tc>
        <w:tc>
          <w:tcPr>
            <w:tcW w:type="dxa" w:w="1384"/>
          </w:tcPr>
          <w:p>
            <w:r>
              <w:rPr>
                <w:color w:val="0070C0"/>
              </w:rPr>
              <w:t>0.33, 0.33, 0.34</w:t>
            </w:r>
          </w:p>
        </w:tc>
        <w:tc>
          <w:tcPr>
            <w:tcW w:type="dxa" w:w="1384"/>
          </w:tcPr>
          <w:p>
            <w:r>
              <w:rPr>
                <w:color w:val="0070C0"/>
              </w:rPr>
              <w:t>132</w:t>
            </w:r>
          </w:p>
        </w:tc>
        <w:tc>
          <w:tcPr>
            <w:tcW w:type="dxa" w:w="1384"/>
          </w:tcPr>
          <w:p>
            <w:r>
              <w:rPr>
                <w:color w:val="0070C0"/>
              </w:rPr>
              <w:t>0.2346</w:t>
            </w:r>
          </w:p>
        </w:tc>
        <w:tc>
          <w:tcPr>
            <w:tcW w:type="dxa" w:w="1384"/>
          </w:tcPr>
          <w:p>
            <w:r>
              <w:rPr>
                <w:color w:val="0070C0"/>
              </w:rPr>
              <w:t>0.0291</w:t>
            </w:r>
          </w:p>
        </w:tc>
        <w:tc>
          <w:tcPr>
            <w:tcW w:type="dxa" w:w="1384"/>
          </w:tcPr>
          <w:p>
            <w:r>
              <w:rPr>
                <w:color w:val="0070C0"/>
              </w:rPr>
              <w:t>0.1911</w:t>
            </w:r>
          </w:p>
        </w:tc>
      </w:tr>
      <w:tr>
        <w:tc>
          <w:tcPr>
            <w:tcW w:type="dxa" w:w="1384"/>
          </w:tcPr>
          <w:p>
            <w:r>
              <w:rPr>
                <w:color w:val="0070C0"/>
              </w:rPr>
              <w:t>地理优先</w:t>
            </w:r>
          </w:p>
        </w:tc>
        <w:tc>
          <w:tcPr>
            <w:tcW w:type="dxa" w:w="1384"/>
          </w:tcPr>
          <w:p>
            <w:r>
              <w:rPr>
                <w:color w:val="0070C0"/>
              </w:rPr>
              <w:t>0.50, 0.25, 0.25</w:t>
            </w:r>
          </w:p>
        </w:tc>
        <w:tc>
          <w:tcPr>
            <w:tcW w:type="dxa" w:w="1384"/>
          </w:tcPr>
          <w:p>
            <w:r>
              <w:rPr>
                <w:color w:val="0070C0"/>
              </w:rPr>
              <w:t>102</w:t>
            </w:r>
          </w:p>
        </w:tc>
        <w:tc>
          <w:tcPr>
            <w:tcW w:type="dxa" w:w="1384"/>
          </w:tcPr>
          <w:p>
            <w:r>
              <w:rPr>
                <w:color w:val="0070C0"/>
              </w:rPr>
              <w:t>0.1865</w:t>
            </w:r>
          </w:p>
        </w:tc>
        <w:tc>
          <w:tcPr>
            <w:tcW w:type="dxa" w:w="1384"/>
          </w:tcPr>
          <w:p>
            <w:r>
              <w:rPr>
                <w:color w:val="0070C0"/>
              </w:rPr>
              <w:t>0.0213</w:t>
            </w:r>
          </w:p>
        </w:tc>
        <w:tc>
          <w:tcPr>
            <w:tcW w:type="dxa" w:w="1384"/>
          </w:tcPr>
          <w:p>
            <w:r>
              <w:rPr>
                <w:color w:val="0070C0"/>
              </w:rPr>
              <w:t>0.1647</w:t>
            </w:r>
          </w:p>
        </w:tc>
      </w:tr>
      <w:tr>
        <w:tc>
          <w:tcPr>
            <w:tcW w:type="dxa" w:w="1384"/>
          </w:tcPr>
          <w:p>
            <w:r>
              <w:rPr>
                <w:color w:val="0070C0"/>
              </w:rPr>
              <w:t>经济优先</w:t>
            </w:r>
          </w:p>
        </w:tc>
        <w:tc>
          <w:tcPr>
            <w:tcW w:type="dxa" w:w="1384"/>
          </w:tcPr>
          <w:p>
            <w:r>
              <w:rPr>
                <w:color w:val="0070C0"/>
              </w:rPr>
              <w:t>0.25, 0.50, 0.25</w:t>
            </w:r>
          </w:p>
        </w:tc>
        <w:tc>
          <w:tcPr>
            <w:tcW w:type="dxa" w:w="1384"/>
          </w:tcPr>
          <w:p>
            <w:r>
              <w:rPr>
                <w:color w:val="0070C0"/>
              </w:rPr>
              <w:t>132</w:t>
            </w:r>
          </w:p>
        </w:tc>
        <w:tc>
          <w:tcPr>
            <w:tcW w:type="dxa" w:w="1384"/>
          </w:tcPr>
          <w:p>
            <w:r>
              <w:rPr>
                <w:color w:val="0070C0"/>
              </w:rPr>
              <w:t>0.2196</w:t>
            </w:r>
          </w:p>
        </w:tc>
        <w:tc>
          <w:tcPr>
            <w:tcW w:type="dxa" w:w="1384"/>
          </w:tcPr>
          <w:p>
            <w:r>
              <w:rPr>
                <w:color w:val="0070C0"/>
              </w:rPr>
              <w:t>0.0398</w:t>
            </w:r>
          </w:p>
        </w:tc>
        <w:tc>
          <w:tcPr>
            <w:tcW w:type="dxa" w:w="1384"/>
          </w:tcPr>
          <w:p>
            <w:r>
              <w:rPr>
                <w:color w:val="0070C0"/>
              </w:rPr>
              <w:t>0.1704</w:t>
            </w:r>
          </w:p>
        </w:tc>
      </w:tr>
      <w:tr>
        <w:tc>
          <w:tcPr>
            <w:tcW w:type="dxa" w:w="1384"/>
          </w:tcPr>
          <w:p>
            <w:r>
              <w:rPr>
                <w:color w:val="0070C0"/>
              </w:rPr>
              <w:t>数字优先</w:t>
            </w:r>
          </w:p>
        </w:tc>
        <w:tc>
          <w:tcPr>
            <w:tcW w:type="dxa" w:w="1384"/>
          </w:tcPr>
          <w:p>
            <w:r>
              <w:rPr>
                <w:color w:val="0070C0"/>
              </w:rPr>
              <w:t>0.25, 0.25, 0.50</w:t>
            </w:r>
          </w:p>
        </w:tc>
        <w:tc>
          <w:tcPr>
            <w:tcW w:type="dxa" w:w="1384"/>
          </w:tcPr>
          <w:p>
            <w:r>
              <w:rPr>
                <w:color w:val="0070C0"/>
              </w:rPr>
              <w:t>132</w:t>
            </w:r>
          </w:p>
        </w:tc>
        <w:tc>
          <w:tcPr>
            <w:tcW w:type="dxa" w:w="1384"/>
          </w:tcPr>
          <w:p>
            <w:r>
              <w:rPr>
                <w:color w:val="0070C0"/>
              </w:rPr>
              <w:t>0.2143</w:t>
            </w:r>
          </w:p>
        </w:tc>
        <w:tc>
          <w:tcPr>
            <w:tcW w:type="dxa" w:w="1384"/>
          </w:tcPr>
          <w:p>
            <w:r>
              <w:rPr>
                <w:color w:val="0070C0"/>
              </w:rPr>
              <w:t>0.0387</w:t>
            </w:r>
          </w:p>
        </w:tc>
        <w:tc>
          <w:tcPr>
            <w:tcW w:type="dxa" w:w="1384"/>
          </w:tcPr>
          <w:p>
            <w:r>
              <w:rPr>
                <w:color w:val="0070C0"/>
              </w:rPr>
              <w:t>0.1711</w:t>
            </w:r>
          </w:p>
        </w:tc>
      </w:tr>
    </w:tbl>
    <w:p>
      <w:r>
        <w:rPr>
          <w:color w:val="0070C0"/>
        </w:rPr>
        <w:t>表 5  四种空间权重方案的 STGNN 误差指标比较（RMSE / MAE）</w:t>
      </w:r>
    </w:p>
    <w:tbl>
      <w:tblPr>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color w:val="0070C0"/>
              </w:rPr>
              <w:t>方案</w:t>
            </w:r>
          </w:p>
        </w:tc>
        <w:tc>
          <w:tcPr>
            <w:tcW w:type="dxa" w:w="1038"/>
          </w:tcPr>
          <w:p>
            <w:r>
              <w:rPr>
                <w:color w:val="0070C0"/>
              </w:rPr>
              <w:t>图权重(G,E,D)</w:t>
            </w:r>
          </w:p>
        </w:tc>
        <w:tc>
          <w:tcPr>
            <w:tcW w:type="dxa" w:w="1038"/>
          </w:tcPr>
          <w:p>
            <w:r>
              <w:rPr>
                <w:color w:val="0070C0"/>
              </w:rPr>
              <w:t>训练集 RMSE / MAE</w:t>
            </w:r>
          </w:p>
        </w:tc>
        <w:tc>
          <w:tcPr>
            <w:tcW w:type="dxa" w:w="1038"/>
          </w:tcPr>
          <w:p>
            <w:r>
              <w:rPr>
                <w:color w:val="0070C0"/>
              </w:rPr>
              <w:t>验证集 RMSE / MAE</w:t>
            </w:r>
          </w:p>
        </w:tc>
        <w:tc>
          <w:tcPr>
            <w:tcW w:type="dxa" w:w="1038"/>
          </w:tcPr>
          <w:p>
            <w:r>
              <w:rPr>
                <w:color w:val="0070C0"/>
              </w:rPr>
              <w:t>测试集 RMSE / MAE</w:t>
            </w:r>
          </w:p>
        </w:tc>
        <w:tc>
          <w:tcPr>
            <w:tcW w:type="dxa" w:w="1038"/>
          </w:tcPr>
          <w:p>
            <w:r>
              <w:rPr>
                <w:color w:val="0070C0"/>
              </w:rPr>
              <w:t>验证排序依据</w:t>
            </w:r>
          </w:p>
        </w:tc>
        <w:tc>
          <w:tcPr>
            <w:tcW w:type="dxa" w:w="1038"/>
          </w:tcPr>
          <w:p>
            <w:r>
              <w:rPr>
                <w:color w:val="0070C0"/>
              </w:rPr>
              <w:t>测试集表现</w:t>
            </w:r>
          </w:p>
        </w:tc>
        <w:tc>
          <w:tcPr>
            <w:tcW w:type="dxa" w:w="1038"/>
          </w:tcPr>
          <w:p>
            <w:r>
              <w:rPr>
                <w:color w:val="0070C0"/>
              </w:rPr>
              <w:t>说明</w:t>
            </w:r>
          </w:p>
        </w:tc>
      </w:tr>
      <w:tr>
        <w:tc>
          <w:tcPr>
            <w:tcW w:type="dxa" w:w="1038"/>
          </w:tcPr>
          <w:p>
            <w:r>
              <w:rPr>
                <w:color w:val="0070C0"/>
              </w:rPr>
              <w:t>等权基准</w:t>
            </w:r>
          </w:p>
        </w:tc>
        <w:tc>
          <w:tcPr>
            <w:tcW w:type="dxa" w:w="1038"/>
          </w:tcPr>
          <w:p>
            <w:r>
              <w:rPr>
                <w:color w:val="0070C0"/>
              </w:rPr>
              <w:t>0.33, 0.33, 0.34</w:t>
            </w:r>
          </w:p>
        </w:tc>
        <w:tc>
          <w:tcPr>
            <w:tcW w:type="dxa" w:w="1038"/>
          </w:tcPr>
          <w:p>
            <w:r>
              <w:rPr>
                <w:color w:val="0070C0"/>
              </w:rPr>
              <w:t>0.0757 / 0.0437</w:t>
            </w:r>
          </w:p>
        </w:tc>
        <w:tc>
          <w:tcPr>
            <w:tcW w:type="dxa" w:w="1038"/>
          </w:tcPr>
          <w:p>
            <w:r>
              <w:rPr>
                <w:color w:val="0070C0"/>
              </w:rPr>
              <w:t>0.0788 / 0.0551</w:t>
            </w:r>
          </w:p>
        </w:tc>
        <w:tc>
          <w:tcPr>
            <w:tcW w:type="dxa" w:w="1038"/>
          </w:tcPr>
          <w:p>
            <w:r>
              <w:rPr>
                <w:color w:val="0070C0"/>
              </w:rPr>
              <w:t>0.0855 / 0.0542</w:t>
            </w:r>
          </w:p>
        </w:tc>
        <w:tc>
          <w:tcPr>
            <w:tcW w:type="dxa" w:w="1038"/>
          </w:tcPr>
          <w:p>
            <w:r>
              <w:rPr>
                <w:color w:val="0070C0"/>
              </w:rPr>
              <w:t>按验证集 R² 选最优</w:t>
            </w:r>
          </w:p>
        </w:tc>
        <w:tc>
          <w:tcPr>
            <w:tcW w:type="dxa" w:w="1038"/>
          </w:tcPr>
          <w:p>
            <w:r>
              <w:rPr>
                <w:color w:val="0070C0"/>
              </w:rPr>
              <w:t>R²=0.1911</w:t>
            </w:r>
          </w:p>
        </w:tc>
        <w:tc>
          <w:tcPr>
            <w:tcW w:type="dxa" w:w="1038"/>
          </w:tcPr>
          <w:p>
            <w:r>
              <w:rPr>
                <w:color w:val="0070C0"/>
              </w:rPr>
              <w:t>同一结构、同一划分</w:t>
            </w:r>
          </w:p>
        </w:tc>
      </w:tr>
      <w:tr>
        <w:tc>
          <w:tcPr>
            <w:tcW w:type="dxa" w:w="1038"/>
          </w:tcPr>
          <w:p>
            <w:r>
              <w:rPr>
                <w:color w:val="0070C0"/>
              </w:rPr>
              <w:t>地理优先</w:t>
            </w:r>
          </w:p>
        </w:tc>
        <w:tc>
          <w:tcPr>
            <w:tcW w:type="dxa" w:w="1038"/>
          </w:tcPr>
          <w:p>
            <w:r>
              <w:rPr>
                <w:color w:val="0070C0"/>
              </w:rPr>
              <w:t>0.50, 0.25, 0.25</w:t>
            </w:r>
          </w:p>
        </w:tc>
        <w:tc>
          <w:tcPr>
            <w:tcW w:type="dxa" w:w="1038"/>
          </w:tcPr>
          <w:p>
            <w:r>
              <w:rPr>
                <w:color w:val="0070C0"/>
              </w:rPr>
              <w:t>0.0780 / 0.0461</w:t>
            </w:r>
          </w:p>
        </w:tc>
        <w:tc>
          <w:tcPr>
            <w:tcW w:type="dxa" w:w="1038"/>
          </w:tcPr>
          <w:p>
            <w:r>
              <w:rPr>
                <w:color w:val="0070C0"/>
              </w:rPr>
              <w:t>0.0791 / 0.0558</w:t>
            </w:r>
          </w:p>
        </w:tc>
        <w:tc>
          <w:tcPr>
            <w:tcW w:type="dxa" w:w="1038"/>
          </w:tcPr>
          <w:p>
            <w:r>
              <w:rPr>
                <w:color w:val="0070C0"/>
              </w:rPr>
              <w:t>0.0869 / 0.0566</w:t>
            </w:r>
          </w:p>
        </w:tc>
        <w:tc>
          <w:tcPr>
            <w:tcW w:type="dxa" w:w="1038"/>
          </w:tcPr>
          <w:p>
            <w:r>
              <w:rPr>
                <w:color w:val="0070C0"/>
              </w:rPr>
              <w:t>按验证集 R² 选最优</w:t>
            </w:r>
          </w:p>
        </w:tc>
        <w:tc>
          <w:tcPr>
            <w:tcW w:type="dxa" w:w="1038"/>
          </w:tcPr>
          <w:p>
            <w:r>
              <w:rPr>
                <w:color w:val="0070C0"/>
              </w:rPr>
              <w:t>R²=0.1647</w:t>
            </w:r>
          </w:p>
        </w:tc>
        <w:tc>
          <w:tcPr>
            <w:tcW w:type="dxa" w:w="1038"/>
          </w:tcPr>
          <w:p>
            <w:r>
              <w:rPr>
                <w:color w:val="0070C0"/>
              </w:rPr>
              <w:t>同一结构、同一划分</w:t>
            </w:r>
          </w:p>
        </w:tc>
      </w:tr>
      <w:tr>
        <w:tc>
          <w:tcPr>
            <w:tcW w:type="dxa" w:w="1038"/>
          </w:tcPr>
          <w:p>
            <w:r>
              <w:rPr>
                <w:color w:val="0070C0"/>
              </w:rPr>
              <w:t>经济优先</w:t>
            </w:r>
          </w:p>
        </w:tc>
        <w:tc>
          <w:tcPr>
            <w:tcW w:type="dxa" w:w="1038"/>
          </w:tcPr>
          <w:p>
            <w:r>
              <w:rPr>
                <w:color w:val="0070C0"/>
              </w:rPr>
              <w:t>0.25, 0.50, 0.25</w:t>
            </w:r>
          </w:p>
        </w:tc>
        <w:tc>
          <w:tcPr>
            <w:tcW w:type="dxa" w:w="1038"/>
          </w:tcPr>
          <w:p>
            <w:r>
              <w:rPr>
                <w:color w:val="0070C0"/>
              </w:rPr>
              <w:t>0.0764 / 0.0441</w:t>
            </w:r>
          </w:p>
        </w:tc>
        <w:tc>
          <w:tcPr>
            <w:tcW w:type="dxa" w:w="1038"/>
          </w:tcPr>
          <w:p>
            <w:r>
              <w:rPr>
                <w:color w:val="0070C0"/>
              </w:rPr>
              <w:t>0.0783 / 0.0546</w:t>
            </w:r>
          </w:p>
        </w:tc>
        <w:tc>
          <w:tcPr>
            <w:tcW w:type="dxa" w:w="1038"/>
          </w:tcPr>
          <w:p>
            <w:r>
              <w:rPr>
                <w:color w:val="0070C0"/>
              </w:rPr>
              <w:t>0.0866 / 0.0546</w:t>
            </w:r>
          </w:p>
        </w:tc>
        <w:tc>
          <w:tcPr>
            <w:tcW w:type="dxa" w:w="1038"/>
          </w:tcPr>
          <w:p>
            <w:r>
              <w:rPr>
                <w:color w:val="0070C0"/>
              </w:rPr>
              <w:t>按验证集 R² 选最优</w:t>
            </w:r>
          </w:p>
        </w:tc>
        <w:tc>
          <w:tcPr>
            <w:tcW w:type="dxa" w:w="1038"/>
          </w:tcPr>
          <w:p>
            <w:r>
              <w:rPr>
                <w:color w:val="0070C0"/>
              </w:rPr>
              <w:t>R²=0.1704</w:t>
            </w:r>
          </w:p>
        </w:tc>
        <w:tc>
          <w:tcPr>
            <w:tcW w:type="dxa" w:w="1038"/>
          </w:tcPr>
          <w:p>
            <w:r>
              <w:rPr>
                <w:color w:val="0070C0"/>
              </w:rPr>
              <w:t>同一结构、同一划分</w:t>
            </w:r>
          </w:p>
        </w:tc>
      </w:tr>
      <w:tr>
        <w:tc>
          <w:tcPr>
            <w:tcW w:type="dxa" w:w="1038"/>
          </w:tcPr>
          <w:p>
            <w:r>
              <w:rPr>
                <w:color w:val="0070C0"/>
              </w:rPr>
              <w:t>数字优先</w:t>
            </w:r>
          </w:p>
        </w:tc>
        <w:tc>
          <w:tcPr>
            <w:tcW w:type="dxa" w:w="1038"/>
          </w:tcPr>
          <w:p>
            <w:r>
              <w:rPr>
                <w:color w:val="0070C0"/>
              </w:rPr>
              <w:t>0.25, 0.25, 0.50</w:t>
            </w:r>
          </w:p>
        </w:tc>
        <w:tc>
          <w:tcPr>
            <w:tcW w:type="dxa" w:w="1038"/>
          </w:tcPr>
          <w:p>
            <w:r>
              <w:rPr>
                <w:color w:val="0070C0"/>
              </w:rPr>
              <w:t>0.0767 / 0.0441</w:t>
            </w:r>
          </w:p>
        </w:tc>
        <w:tc>
          <w:tcPr>
            <w:tcW w:type="dxa" w:w="1038"/>
          </w:tcPr>
          <w:p>
            <w:r>
              <w:rPr>
                <w:color w:val="0070C0"/>
              </w:rPr>
              <w:t>0.0784 / 0.0548</w:t>
            </w:r>
          </w:p>
        </w:tc>
        <w:tc>
          <w:tcPr>
            <w:tcW w:type="dxa" w:w="1038"/>
          </w:tcPr>
          <w:p>
            <w:r>
              <w:rPr>
                <w:color w:val="0070C0"/>
              </w:rPr>
              <w:t>0.0866 / 0.0549</w:t>
            </w:r>
          </w:p>
        </w:tc>
        <w:tc>
          <w:tcPr>
            <w:tcW w:type="dxa" w:w="1038"/>
          </w:tcPr>
          <w:p>
            <w:r>
              <w:rPr>
                <w:color w:val="0070C0"/>
              </w:rPr>
              <w:t>按验证集 R² 选最优</w:t>
            </w:r>
          </w:p>
        </w:tc>
        <w:tc>
          <w:tcPr>
            <w:tcW w:type="dxa" w:w="1038"/>
          </w:tcPr>
          <w:p>
            <w:r>
              <w:rPr>
                <w:color w:val="0070C0"/>
              </w:rPr>
              <w:t>R²=0.1711</w:t>
            </w:r>
          </w:p>
        </w:tc>
        <w:tc>
          <w:tcPr>
            <w:tcW w:type="dxa" w:w="1038"/>
          </w:tcPr>
          <w:p>
            <w:r>
              <w:rPr>
                <w:color w:val="0070C0"/>
              </w:rPr>
              <w:t>同一结构、同一划分</w:t>
            </w:r>
          </w:p>
        </w:tc>
      </w:tr>
    </w:tbl>
    <w:p>
      <w:r>
        <w:rPr>
          <w:color w:val="0070C0"/>
        </w:rPr>
        <w:t>注：表 4 和表 5 采用固定随机窗口划分（split seed=2026）和 5 个随机种子重复训练；每种方案选取验证集 R² 最优的一次结果作为代表性展示。若需要，也可附上 5 次重复训练的平均结果表作为附录。</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 Id="rId4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