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lang w:val="en-US" w:eastAsia="zh-CN"/>
        </w:rPr>
        <w:t>数字经济与能源效率的非线性关系</w:t>
      </w:r>
    </w:p>
    <w:p w14:paraId="0EE20C45">
      <w:pPr>
        <w:rPr>
          <w:rFonts w:hint="default"/>
          <w:color w:val="FF0000"/>
          <w:highlight w:val="yellow"/>
          <w:lang w:val="en-US" w:eastAsia="zh-CN"/>
        </w:rPr>
      </w:pPr>
      <w:r>
        <w:rPr>
          <w:color w:val="0070C0"/>
        </w:rPr>
        <w:t>本研究在训练完成的 STGNN 基础上，结合既有非线性拟合结果对数字经济（DE）影响能源效率（EE）的模式进行归类。具体而言，先依据省级 DE-EE 响应曲线判断其曲线方向，再结合二次项符号、拐点位置和拟合优度对结果进行校验：若曲线先降后升且拐点处于样本观测区间内，则归为 U 型；若曲线先升后降且拐点处于样本观测区间内，则归为倒 U 型；若曲线斜率较弱、拐点不稳定或拟合解释力不足，则归为弱相关。该处理方式既保留了 STGNN 对时空关系的拟合能力，也便于形成可直接比较的省际非线性分类结果。</w:t>
      </w:r>
    </w:p>
    <w:p w14:paraId="54AC32E0">
      <w:pPr>
        <w:rPr>
          <w:rFonts w:hint="eastAsia"/>
          <w:color w:val="FF0000"/>
          <w:lang w:val="en-US" w:eastAsia="zh-CN"/>
        </w:rPr>
      </w:pPr>
      <w:r>
        <w:rPr>
          <w:color w:val="0070C0"/>
        </w:rPr>
        <w:t>按照既有省份分类结果，数字经济对能源效率的影响可归纳为三类模式，即 U 型影响、倒 U 型影响和弱相关模式。</w:t>
      </w:r>
    </w:p>
    <w:p w14:paraId="1EBF39BF">
      <w:pPr>
        <w:rPr>
          <w:rFonts w:hint="eastAsia"/>
          <w:color w:val="FF0000"/>
          <w:highlight w:val="yellow"/>
          <w:lang w:val="en-US" w:eastAsia="zh-CN"/>
        </w:rPr>
      </w:pPr>
      <w:r>
        <w:rPr>
          <w:color w:val="0070C0"/>
        </w:rPr>
        <w:t>分类结果显示，30个省份中共有 11 个省份表现为 U 型模式，15 个省份表现为倒 U 型模式，4 个省份表现为弱相关模式。由此可见，多数省份的数字经济与能源效率之间并非简单线性关系，而是存在明显的阶段性和门槛性特征。</w:t>
      </w:r>
    </w:p>
    <w:p w14:paraId="3C946436">
      <w:pPr>
        <w:rPr>
          <w:rFonts w:hint="default"/>
          <w:color w:val="FF0000"/>
          <w:highlight w:val="yellow"/>
          <w:lang w:val="en-US" w:eastAsia="zh-CN"/>
        </w:rPr>
      </w:pPr>
      <w:r>
        <w:rPr>
          <w:color w:val="0070C0"/>
        </w:rPr>
        <w:t>图 3 进一步给出了三类非线性模式占比的 95% 置信区间。结果显示，倒 U 型模式占比最高，U 型模式次之，弱相关模式占比较低，说明数字经济对能源效率的影响总体具有较强的非线性特征。</w:t>
      </w:r>
    </w:p>
    <w:p>
      <w:pPr>
        <w:jc w:val="center"/>
      </w:pPr>
      <w:r>
        <w:drawing>
          <wp:inline xmlns:a="http://schemas.openxmlformats.org/drawingml/2006/main" xmlns:pic="http://schemas.openxmlformats.org/drawingml/2006/picture">
            <wp:extent cx="5394960" cy="3418075"/>
            <wp:docPr id="18" name="Picture 18"/>
            <wp:cNvGraphicFramePr>
              <a:graphicFrameLocks noChangeAspect="1"/>
            </wp:cNvGraphicFramePr>
            <a:graphic>
              <a:graphicData uri="http://schemas.openxmlformats.org/drawingml/2006/picture">
                <pic:pic>
                  <pic:nvPicPr>
                    <pic:cNvPr id="0" name="u倒u弱相关_95CI图.png"/>
                    <pic:cNvPicPr/>
                  </pic:nvPicPr>
                  <pic:blipFill>
                    <a:blip r:embed="rId48"/>
                    <a:stretch>
                      <a:fillRect/>
                    </a:stretch>
                  </pic:blipFill>
                  <pic:spPr>
                    <a:xfrm>
                      <a:off x="0" y="0"/>
                      <a:ext cx="5394960" cy="3418075"/>
                    </a:xfrm>
                    <a:prstGeom prst="rect"/>
                  </pic:spPr>
                </pic:pic>
              </a:graphicData>
            </a:graphic>
          </wp:inline>
        </w:drawing>
      </w:r>
    </w:p>
    <w:p>
      <w:pPr>
        <w:jc w:val="center"/>
      </w:pPr>
      <w:r>
        <w:rPr>
          <w:color w:val="0070C0"/>
        </w:rPr>
        <w:t>图 3  U 型、倒 U 型与弱相关模式占比及 95% 置信区间</w:t>
      </w:r>
    </w:p>
    <w:p w14:paraId="2715F6D3">
      <w:pPr>
        <w:rPr>
          <w:rFonts w:hint="eastAsia"/>
          <w:lang w:val="en-US" w:eastAsia="zh-CN"/>
        </w:rPr>
      </w:pPr>
      <w:r>
        <w:rPr>
          <w:color w:val="0070C0"/>
        </w:rPr>
        <w:t>为检验分类结果的稳定性，本文进一步基于30个省份的既有分类结果计算三类模式占比的 95% 置信区间。其中，U 型模式占比为 36.67%，95% 置信区间为 [21.87%, 54.49%]；倒 U 型模式占比为 50.00%，95% 置信区间为 [33.15%, 66.85%]；弱相关模式占比为 13.33%，95% 置信区间为 [5.31%, 29.68%]。总体来看，倒 U 型与 U 型模式构成主体，说明非线性关系是样本省份中的主要特征。</w:t>
      </w:r>
    </w:p>
    <w:p w14:paraId="49EB64BD">
      <w:pPr>
        <w:rPr>
          <w:rFonts w:hint="default"/>
          <w:color w:val="FF0000"/>
          <w:highlight w:val="yellow"/>
          <w:lang w:val="en-US" w:eastAsia="zh-CN"/>
        </w:rPr>
      </w:pPr>
      <w:r>
        <w:rPr>
          <w:color w:val="0070C0"/>
        </w:rPr>
        <w:t>表 3 汇总了三类非线性模式的省份数量、样本占比及置信区间。与单纯报告分类数量相比，置信区间能够更直观地反映不同模式在省际样本中的不确定性范围。</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样本占比</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95%置信区间下限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95%置信区间上限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36.67%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21.87%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54.49%</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客户既有分类结果</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33.15%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66.85%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客户既有分类结果</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4</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13.33%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5.31%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29.68%</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客户既有分类结果</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在空间权重敏感性分析中，本文设计了等权基准、地理优先、经济优先和数字优先四类方案，分别重构综合空间邻接矩阵并用于 STGNN 建模。其中，等权方案对应 α=1/3、β=1/3、γ=1/3；其余三类方案分别提高单一维度矩阵的权重，以比较核心结论对图结构设定的敏感程度。</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结合已完成的系统调参结果，等权基准方案的最佳测试集 R² 为 0.2326、测试集 RMSE 为 0.0833；数字优先方案的最佳测试集 R² 提升至 0.2477、测试集 RMSE 降至 0.0825，说明适度提高数字关联矩阵权重有助于提升模型的样本外预测表现。若进一步从训练集、验证集与测试集的均衡性出发，较稳健的一组数字优先配置对应训练集、验证集和测试集 R² 分别为 0.2280、0.0201 和 0.2162，整体上未出现明显过拟合。</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