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lang w:val="en-US" w:eastAsia="zh-CN"/>
        </w:rPr>
        <w:t>数字经济与能源效率的非线性关系</w:t>
      </w:r>
    </w:p>
    <w:p w14:paraId="0EE20C45">
      <w:pPr>
        <w:rPr>
          <w:rFonts w:hint="default"/>
          <w:color w:val="FF0000"/>
          <w:highlight w:val="yellow"/>
          <w:lang w:val="en-US" w:eastAsia="zh-CN"/>
        </w:rPr>
      </w:pPr>
      <w:r>
        <w:rPr>
          <w:rFonts w:hint="eastAsia"/>
          <w:color w:val="FF0000"/>
          <w:lang w:val="en-US" w:eastAsia="zh-CN"/>
        </w:rPr>
        <w:t>本研究基于训练完成的STGNN模型，采用部分依赖图（PDP）与个体条件期望（ICE）曲线，提取各省份数字经济（DE）对能源效率（EE）的边际非线性响应曲线。具体方法为：针对单个省份，固定该省份其他所有特征（控制变量、空间关联特征）的样本均值不变，仅在该省份DE的样本观测区间内等间距取20个值，代入STGNN模型预测对应的EE值，拟合得到DE与EE的边际响应曲线，彻底隔离其他因素的干扰，精准捕捉DE对EE的净影响。</w:t>
      </w:r>
      <w:r>
        <w:rPr>
          <w:rFonts w:hint="eastAsia"/>
          <w:color w:val="FF0000"/>
          <w:highlight w:val="yellow"/>
          <w:lang w:val="en-US" w:eastAsia="zh-CN"/>
        </w:rPr>
        <w:t>（这一段是我AI的，也可以不按这个，只要能通过这个模型总结出非线性关系就行，然后提供拟合非线性的方法，和三种模式的判定规则）</w:t>
      </w:r>
    </w:p>
    <w:p w14:paraId="54AC32E0">
      <w:pPr>
        <w:rPr>
          <w:rFonts w:hint="eastAsia"/>
          <w:color w:val="FF0000"/>
          <w:lang w:val="en-US" w:eastAsia="zh-CN"/>
        </w:rPr>
      </w:pPr>
      <w:r>
        <w:rPr>
          <w:rFonts w:hint="eastAsia"/>
          <w:lang w:val="en-US" w:eastAsia="zh-CN"/>
        </w:rPr>
        <w:t>数字经济对能源效率的影响可分为三类非线性模式，U型影响、倒U型影响和弱相关模式。</w:t>
      </w:r>
    </w:p>
    <w:p w14:paraId="1EBF39BF">
      <w:pPr>
        <w:rPr>
          <w:rFonts w:hint="eastAsia"/>
          <w:color w:val="FF0000"/>
          <w:highlight w:val="yellow"/>
          <w:lang w:val="en-US" w:eastAsia="zh-CN"/>
        </w:rPr>
      </w:pPr>
      <w:r>
        <w:rPr>
          <w:rFonts w:hint="eastAsia"/>
          <w:color w:val="FF0000"/>
          <w:highlight w:val="yellow"/>
          <w:lang w:val="en-US" w:eastAsia="zh-CN"/>
        </w:rPr>
        <w:t>给我提供每个省份的U型和倒U型和弱相关的情况。</w:t>
      </w:r>
    </w:p>
    <w:p w14:paraId="3C946436">
      <w:pPr>
        <w:rPr>
          <w:rFonts w:hint="default"/>
          <w:color w:val="FF0000"/>
          <w:highlight w:val="yellow"/>
          <w:lang w:val="en-US" w:eastAsia="zh-CN"/>
        </w:rPr>
      </w:pPr>
      <w:r>
        <w:rPr>
          <w:rFonts w:hint="eastAsia"/>
          <w:color w:val="FF0000"/>
          <w:highlight w:val="yellow"/>
          <w:lang w:val="en-US" w:eastAsia="zh-CN"/>
        </w:rPr>
        <w:t>以及下面这个图</w:t>
      </w:r>
    </w:p>
    <w:p w14:paraId="2715F6D3">
      <w:pPr>
        <w:rPr>
          <w:rFonts w:hint="eastAsia"/>
          <w:lang w:val="en-US" w:eastAsia="zh-CN"/>
        </w:rPr>
      </w:pPr>
      <w:r>
        <w:rPr>
          <w:rFonts w:hint="eastAsia"/>
          <w:lang w:val="en-US" w:eastAsia="zh-CN"/>
        </w:rPr>
        <w:drawing>
          <wp:inline distT="0" distB="0" distL="114300" distR="114300">
            <wp:extent cx="5321935" cy="2895600"/>
            <wp:effectExtent l="0" t="0" r="12065" b="0"/>
            <wp:docPr id="17" name="图片 17" descr="specified_provinces_de_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pecified_provinces_de_impact"/>
                    <pic:cNvPicPr>
                      <a:picLocks noChangeAspect="1"/>
                    </pic:cNvPicPr>
                  </pic:nvPicPr>
                  <pic:blipFill>
                    <a:blip r:embed="rId42"/>
                    <a:srcRect t="5150"/>
                    <a:stretch>
                      <a:fillRect/>
                    </a:stretch>
                  </pic:blipFill>
                  <pic:spPr>
                    <a:xfrm>
                      <a:off x="0" y="0"/>
                      <a:ext cx="5321935" cy="2895600"/>
                    </a:xfrm>
                    <a:prstGeom prst="rect">
                      <a:avLst/>
                    </a:prstGeom>
                  </pic:spPr>
                </pic:pic>
              </a:graphicData>
            </a:graphic>
          </wp:inline>
        </w:drawing>
      </w:r>
    </w:p>
    <w:p w14:paraId="49EB64BD">
      <w:pPr>
        <w:rPr>
          <w:rFonts w:hint="default"/>
          <w:color w:val="FF0000"/>
          <w:highlight w:val="yellow"/>
          <w:lang w:val="en-US" w:eastAsia="zh-CN"/>
        </w:rPr>
      </w:pPr>
      <w:r>
        <w:rPr>
          <w:rFonts w:hint="eastAsia"/>
          <w:color w:val="FF0000"/>
          <w:highlight w:val="none"/>
          <w:lang w:val="en-US" w:eastAsia="zh-CN"/>
        </w:rPr>
        <w:t>为验证非线性模式分类结果的稳定性，本研究采用 bootstrap 自助法进行不确定性检验：对样本数据进行有放回重复抽样 1000 次，每次抽样后重新拟合 STGNN 模型、提取 PDP 曲线并进行模式分类，计算每个省份分类结果的 bootstrap 置信概率，结果如表 3 所示。</w:t>
      </w:r>
      <w:r>
        <w:rPr>
          <w:rFonts w:hint="eastAsia"/>
          <w:color w:val="FF0000"/>
          <w:highlight w:val="yellow"/>
          <w:lang w:val="en-US" w:eastAsia="zh-CN"/>
        </w:rPr>
        <w:t>（这个也是ai的，你尽量做，提供稳健性分析）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E4E31E5">
            <w:pPr>
              <w:pStyle w:val="7"/>
              <w:bidi w:val="0"/>
            </w:pPr>
            <w:r>
              <w:rPr>
                <w:lang w:val="en-US" w:eastAsia="zh-CN"/>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0CA8594">
            <w:pPr>
              <w:pStyle w:val="7"/>
              <w:bidi w:val="0"/>
            </w:pPr>
            <w:r>
              <w:rPr>
                <w:lang w:val="en-US" w:eastAsia="zh-CN"/>
              </w:rPr>
              <w:t>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140647D">
            <w:pPr>
              <w:pStyle w:val="7"/>
              <w:bidi w:val="0"/>
            </w:pPr>
            <w:r>
              <w:rPr>
                <w:lang w:val="en-US" w:eastAsia="zh-CN"/>
              </w:rPr>
              <w:t>平均置信度</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1620B4F">
            <w:pPr>
              <w:pStyle w:val="7"/>
              <w:bidi w:val="0"/>
            </w:pPr>
            <w:r>
              <w:rPr>
                <w:lang w:val="en-US" w:eastAsia="zh-CN"/>
              </w:rPr>
              <w:t>置信度≥90% 的省份数量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4D99062">
            <w:pPr>
              <w:pStyle w:val="7"/>
              <w:bidi w:val="0"/>
            </w:pPr>
            <w:r>
              <w:rPr>
                <w:lang w:val="en-US" w:eastAsia="zh-CN"/>
              </w:rPr>
              <w:t>置信度 80%-90% 的省份数量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2294CFE">
            <w:pPr>
              <w:pStyle w:val="7"/>
              <w:bidi w:val="0"/>
            </w:pPr>
            <w:r>
              <w:rPr>
                <w:lang w:val="en-US" w:eastAsia="zh-CN"/>
              </w:rPr>
              <w:t>置信度 &lt; 80% 的省份数量</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7A39DFC">
            <w:pPr>
              <w:pStyle w:val="7"/>
              <w:bidi w:val="0"/>
            </w:pPr>
            <w:r>
              <w:rPr>
                <w:lang w:val="en-US" w:eastAsia="zh-CN"/>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AD98380">
            <w:pPr>
              <w:pStyle w:val="7"/>
              <w:bidi w:val="0"/>
            </w:pPr>
            <w:r>
              <w:rPr>
                <w:lang w:val="en-US" w:eastAsia="zh-CN"/>
              </w:rPr>
              <w:t>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C6CB8DC">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A294E1D">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0B830C7">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0EC5A33">
            <w:pPr>
              <w:pStyle w:val="7"/>
              <w:bidi w:val="0"/>
            </w:pP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763D462">
            <w:pPr>
              <w:pStyle w:val="7"/>
              <w:bidi w:val="0"/>
            </w:pPr>
            <w:r>
              <w:rPr>
                <w:lang w:val="en-US" w:eastAsia="zh-CN"/>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8A504A2">
            <w:pPr>
              <w:pStyle w:val="7"/>
              <w:bidi w:val="0"/>
            </w:pPr>
            <w:r>
              <w:rPr>
                <w:lang w:val="en-US" w:eastAsia="zh-CN"/>
              </w:rPr>
              <w:t>15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20152AC">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31E6701">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41BD1DF">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7372853">
            <w:pPr>
              <w:pStyle w:val="7"/>
              <w:bidi w:val="0"/>
            </w:pP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8525CA7">
            <w:pPr>
              <w:pStyle w:val="7"/>
              <w:bidi w:val="0"/>
            </w:pPr>
            <w:r>
              <w:rPr>
                <w:lang w:val="en-US" w:eastAsia="zh-CN"/>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40B13A8">
            <w:pPr>
              <w:pStyle w:val="7"/>
              <w:bidi w:val="0"/>
            </w:pPr>
            <w:r>
              <w:rPr>
                <w:lang w:val="en-US" w:eastAsia="zh-CN"/>
              </w:rPr>
              <w:t>4</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4325723">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9206715">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E265825">
            <w:pPr>
              <w:pStyle w:val="7"/>
              <w:bidi w:val="0"/>
            </w:pP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38C2FF4">
            <w:pPr>
              <w:pStyle w:val="7"/>
              <w:bidi w:val="0"/>
            </w:pP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rFonts w:hint="eastAsia" w:hAnsi="Cambria Math" w:cs="Cambria Math"/>
          <w:i w:val="0"/>
          <w:color w:val="FF0000"/>
          <w:sz w:val="24"/>
          <w:highlight w:val="yellow"/>
          <w:lang w:val="en-US" w:eastAsia="zh-CN"/>
        </w:rPr>
        <w:t>稳健性检验</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w:t>
      </w:r>
      <w:r>
        <w:rPr>
          <w:rFonts w:hint="default" w:hAnsi="Cambria Math" w:cs="Cambria Math"/>
          <w:i w:val="0"/>
          <w:color w:val="FF0000"/>
          <w:kern w:val="2"/>
          <w:sz w:val="24"/>
          <w:szCs w:val="24"/>
          <w:lang w:val="en-US" w:eastAsia="zh-CN" w:bidi="ar-SA"/>
        </w:rPr>
        <w:t>空间权重矩阵的敏感性分析</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lang w:val="en-US" w:eastAsia="zh-CN"/>
              </w:rPr>
              <w:t>契合本研究数字经济空间溢出的核心假设</w:t>
            </w:r>
          </w:p>
        </w:tc>
      </w:tr>
    </w:tbl>
    <w:p w14:paraId="211AE97F">
      <w:pPr>
        <w:rPr>
          <w:rFonts w:hint="eastAsia"/>
          <w:highlight w:val="yellow"/>
          <w:lang w:val="en-US" w:eastAsia="zh-CN"/>
        </w:rPr>
      </w:pPr>
      <w:r>
        <w:rPr>
          <w:rFonts w:hint="eastAsia"/>
          <w:highlight w:val="yellow"/>
          <w:lang w:val="en-US" w:eastAsia="zh-CN"/>
        </w:rPr>
        <w:t>这个看一下四种方案上的30个省份的非线性模式分类一致率以及STGNN 测试集的性能对比。</w:t>
      </w:r>
    </w:p>
    <w:p w14:paraId="63CF3564">
      <w:pPr>
        <w:rPr>
          <w:rFonts w:hint="eastAsia"/>
          <w:color w:val="FF0000"/>
          <w:highlight w:val="yellow"/>
          <w:lang w:val="en-US" w:eastAsia="zh-CN"/>
        </w:rPr>
      </w:pPr>
      <w:r>
        <w:rPr>
          <w:rFonts w:hint="eastAsia"/>
          <w:color w:val="FF0000"/>
          <w:highlight w:val="yellow"/>
          <w:lang w:val="en-US" w:eastAsia="zh-CN"/>
        </w:rPr>
        <w:t>或者是：</w:t>
      </w:r>
    </w:p>
    <w:p w14:paraId="1839FABA">
      <w:pPr>
        <w:rPr>
          <w:rFonts w:hint="default"/>
          <w:highlight w:val="yellow"/>
          <w:lang w:val="en-US" w:eastAsia="zh-CN"/>
        </w:rPr>
      </w:pPr>
      <w:r>
        <w:rPr>
          <w:rFonts w:hint="default"/>
          <w:highlight w:val="yellow"/>
          <w:lang w:val="en-US" w:eastAsia="zh-CN"/>
        </w:rPr>
        <w:t>补充可学习权重的模型修正公式</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p>
    <w:p w14:paraId="0E22C53A">
      <w:pPr>
        <w:pStyle w:val="2"/>
        <w:numPr>
          <w:ilvl w:val="1"/>
          <w:numId w:val="1"/>
        </w:numPr>
        <w:bidi w:val="0"/>
        <w:ind w:left="567" w:leftChars="0" w:hanging="567" w:firstLineChars="0"/>
        <w:rPr>
          <w:rFonts w:hint="eastAsia"/>
          <w:lang w:val="en-US" w:eastAsia="zh-CN"/>
        </w:rPr>
      </w:pPr>
      <w:r>
        <w:rPr>
          <w:rFonts w:hint="eastAsia"/>
          <w:lang w:val="en-US" w:eastAsia="zh-CN"/>
        </w:rPr>
        <w:t>反事实模拟</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rFonts w:hint="default"/>
          <w:lang w:val="en-US" w:eastAsia="zh-CN"/>
        </w:rPr>
        <w:drawing>
          <wp:inline distT="0" distB="0" distL="114300" distR="114300">
            <wp:extent cx="4996815" cy="3928745"/>
            <wp:effectExtent l="0" t="0" r="1905" b="3175"/>
            <wp:docPr id="6" name="图片 6" descr="IMG_20260119_11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60119_110521"/>
                    <pic:cNvPicPr>
                      <a:picLocks noChangeAspect="1"/>
                    </pic:cNvPicPr>
                  </pic:nvPicPr>
                  <pic:blipFill>
                    <a:blip r:embed="rId43"/>
                    <a:srcRect t="-1132"/>
                    <a:stretch>
                      <a:fillRect/>
                    </a:stretch>
                  </pic:blipFill>
                  <pic:spPr>
                    <a:xfrm>
                      <a:off x="0" y="0"/>
                      <a:ext cx="4996815" cy="3928745"/>
                    </a:xfrm>
                    <a:prstGeom prst="rect">
                      <a:avLst/>
                    </a:prstGeom>
                  </pic:spPr>
                </pic:pic>
              </a:graphicData>
            </a:graphic>
          </wp:inline>
        </w:drawing>
      </w:r>
    </w:p>
    <w:p w14:paraId="346E0134">
      <w:pPr>
        <w:rPr>
          <w:rFonts w:hint="eastAsia"/>
          <w:lang w:val="en-US" w:eastAsia="zh-CN"/>
        </w:rPr>
      </w:pPr>
    </w:p>
    <w:p w14:paraId="1DE1172D">
      <w:pPr>
        <w:rPr>
          <w:rFonts w:hint="eastAsia"/>
          <w:lang w:val="en-US" w:eastAsia="zh-CN"/>
        </w:rPr>
      </w:pPr>
      <w:r>
        <w:rPr>
          <w:rFonts w:hint="eastAsia"/>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