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r>
        <w:rPr>
          <w:rFonts w:ascii="宋体" w:hAnsi="宋体"/>
          <w:b/>
          <w:color w:val="C00000"/>
          <w:sz w:val="28"/>
        </w:rPr>
        <w:t>STGNN参数设置与性能分析（修订新增）</w:t>
      </w:r>
    </w:p>
    <w:p>
      <w:pPr>
        <w:spacing w:line="300" w:lineRule="auto"/>
        <w:ind w:firstLine="420"/>
      </w:pPr>
      <w:r>
        <w:rPr>
          <w:rFonts w:ascii="宋体" w:hAnsi="宋体"/>
          <w:b w:val="0"/>
          <w:color w:val="C00000"/>
          <w:sz w:val="21"/>
        </w:rPr>
        <w:t>说明：以下内容为在原文 STGNN 部分基础上补充的参数设置与性能分析，为便于识别，统一采用红色标注。</w:t>
      </w:r>
    </w:p>
    <w:p>
      <w:r>
        <w:rPr>
          <w:rFonts w:ascii="宋体" w:hAnsi="宋体"/>
          <w:b/>
          <w:color w:val="C00000"/>
          <w:sz w:val="24"/>
        </w:rPr>
        <w:t>（1）参数设置细节</w:t>
      </w:r>
    </w:p>
    <w:p>
      <w:pPr>
        <w:spacing w:line="300" w:lineRule="auto"/>
        <w:ind w:firstLine="420"/>
      </w:pPr>
      <w:r>
        <w:rPr>
          <w:rFonts w:ascii="宋体" w:hAnsi="宋体"/>
          <w:b w:val="0"/>
          <w:color w:val="C00000"/>
          <w:sz w:val="21"/>
        </w:rPr>
        <w:t>综合邻接矩阵由地理邻接矩阵、经济联系矩阵和数字经济相似矩阵加权得到，三类矩阵权重分别设为0.40、0.35和0.25。在此基础上，引入权重为0.05的自适应邻接矩阵，用于补充预设空间关系之外的潜在区域关联。</w:t>
      </w:r>
    </w:p>
    <w:p>
      <w:pPr>
        <w:spacing w:line="300" w:lineRule="auto"/>
        <w:ind w:firstLine="420"/>
      </w:pPr>
      <w:r>
        <w:rPr>
          <w:rFonts w:ascii="宋体" w:hAnsi="宋体"/>
          <w:b w:val="0"/>
          <w:color w:val="C00000"/>
          <w:sz w:val="21"/>
        </w:rPr>
        <w:t>节点输入特征包括EE、DE、GDP、IS、EDU、URBAN、DENSITY、OPEN以及空间滞后项W_EE和W_DE，共10个变量。其中，W_EE表示邻近省份能源效率的加权平均，W_DE表示邻近省份数字经济发展水平的加权平均。历史窗口长度设为3，即利用连续3期数据预测下一期能源效率。</w:t>
      </w:r>
    </w:p>
    <w:p>
      <w:pPr>
        <w:spacing w:line="300" w:lineRule="auto"/>
        <w:ind w:firstLine="420"/>
      </w:pPr>
      <w:r>
        <w:rPr>
          <w:rFonts w:ascii="宋体" w:hAnsi="宋体"/>
          <w:b w:val="0"/>
          <w:color w:val="C00000"/>
          <w:sz w:val="21"/>
        </w:rPr>
        <w:t>模型结构方面，特征编码器采用10→32→64的全连接映射，图卷积隐藏维度设为64；时间编码层采用1层GRU，隐藏维度为64；预测层将隐藏表示映射为各省份能源效率预测值。训练过程中采用MSE作为损失函数，优化器为Adam，学习率设为0.0003，权重衰减系数为1×10^-5，Dropout设为0.15，批大小为2，并使用早停机制防止过拟合。</w:t>
      </w:r>
    </w:p>
    <w:tbl>
      <w:tblPr>
        <w:tblW w:type="auto" w:w="0"/>
        <w:tblLook w:firstColumn="1" w:firstRow="1" w:lastColumn="0" w:lastRow="0" w:noHBand="0" w:noVBand="1" w:val="04A0"/>
      </w:tblPr>
      <w:tblGrid>
        <w:gridCol w:w="4153"/>
        <w:gridCol w:w="4153"/>
      </w:tblGrid>
      <w:tr>
        <w:tc>
          <w:tcPr>
            <w:tcW w:type="dxa" w:w="4153"/>
          </w:tcPr>
          <w:p>
            <w:pPr>
              <w:jc w:val="center"/>
            </w:pPr>
            <w:r/>
            <w:r>
              <w:rPr>
                <w:rFonts w:ascii="宋体" w:hAnsi="宋体"/>
                <w:b/>
                <w:color w:val="C00000"/>
                <w:sz w:val="20"/>
              </w:rPr>
              <w:t>参数</w:t>
            </w:r>
          </w:p>
        </w:tc>
        <w:tc>
          <w:tcPr>
            <w:tcW w:type="dxa" w:w="4153"/>
          </w:tcPr>
          <w:p>
            <w:pPr>
              <w:jc w:val="center"/>
            </w:pPr>
            <w:r/>
            <w:r>
              <w:rPr>
                <w:rFonts w:ascii="宋体" w:hAnsi="宋体"/>
                <w:b/>
                <w:color w:val="C00000"/>
                <w:sz w:val="20"/>
              </w:rPr>
              <w:t>取值</w:t>
            </w:r>
          </w:p>
        </w:tc>
      </w:tr>
      <w:tr>
        <w:tc>
          <w:tcPr>
            <w:tcW w:type="dxa" w:w="4153"/>
          </w:tcPr>
          <w:p>
            <w:pPr>
              <w:jc w:val="center"/>
            </w:pPr>
            <w:r/>
            <w:r>
              <w:rPr>
                <w:rFonts w:ascii="宋体" w:hAnsi="宋体"/>
                <w:b w:val="0"/>
                <w:color w:val="C00000"/>
                <w:sz w:val="20"/>
              </w:rPr>
              <w:t>图权重（地理、经济、数字经济）</w:t>
            </w:r>
          </w:p>
        </w:tc>
        <w:tc>
          <w:tcPr>
            <w:tcW w:type="dxa" w:w="4153"/>
          </w:tcPr>
          <w:p>
            <w:pPr>
              <w:jc w:val="center"/>
            </w:pPr>
            <w:r/>
            <w:r>
              <w:rPr>
                <w:rFonts w:ascii="宋体" w:hAnsi="宋体"/>
                <w:b w:val="0"/>
                <w:color w:val="C00000"/>
                <w:sz w:val="20"/>
              </w:rPr>
              <w:t>0.40、0.35、0.25</w:t>
            </w:r>
          </w:p>
        </w:tc>
      </w:tr>
      <w:tr>
        <w:tc>
          <w:tcPr>
            <w:tcW w:type="dxa" w:w="4153"/>
          </w:tcPr>
          <w:p>
            <w:pPr>
              <w:jc w:val="center"/>
            </w:pPr>
            <w:r/>
            <w:r>
              <w:rPr>
                <w:rFonts w:ascii="宋体" w:hAnsi="宋体"/>
                <w:b w:val="0"/>
                <w:color w:val="C00000"/>
                <w:sz w:val="20"/>
              </w:rPr>
              <w:t>自适应邻接权重</w:t>
            </w:r>
          </w:p>
        </w:tc>
        <w:tc>
          <w:tcPr>
            <w:tcW w:type="dxa" w:w="4153"/>
          </w:tcPr>
          <w:p>
            <w:pPr>
              <w:jc w:val="center"/>
            </w:pPr>
            <w:r/>
            <w:r>
              <w:rPr>
                <w:rFonts w:ascii="宋体" w:hAnsi="宋体"/>
                <w:b w:val="0"/>
                <w:color w:val="C00000"/>
                <w:sz w:val="20"/>
              </w:rPr>
              <w:t>0.05</w:t>
            </w:r>
          </w:p>
        </w:tc>
      </w:tr>
      <w:tr>
        <w:tc>
          <w:tcPr>
            <w:tcW w:type="dxa" w:w="4153"/>
          </w:tcPr>
          <w:p>
            <w:pPr>
              <w:jc w:val="center"/>
            </w:pPr>
            <w:r/>
            <w:r>
              <w:rPr>
                <w:rFonts w:ascii="宋体" w:hAnsi="宋体"/>
                <w:b w:val="0"/>
                <w:color w:val="C00000"/>
                <w:sz w:val="20"/>
              </w:rPr>
              <w:t>输入特征数</w:t>
            </w:r>
          </w:p>
        </w:tc>
        <w:tc>
          <w:tcPr>
            <w:tcW w:type="dxa" w:w="4153"/>
          </w:tcPr>
          <w:p>
            <w:pPr>
              <w:jc w:val="center"/>
            </w:pPr>
            <w:r/>
            <w:r>
              <w:rPr>
                <w:rFonts w:ascii="宋体" w:hAnsi="宋体"/>
                <w:b w:val="0"/>
                <w:color w:val="C00000"/>
                <w:sz w:val="20"/>
              </w:rPr>
              <w:t>10</w:t>
            </w:r>
          </w:p>
        </w:tc>
      </w:tr>
      <w:tr>
        <w:tc>
          <w:tcPr>
            <w:tcW w:type="dxa" w:w="4153"/>
          </w:tcPr>
          <w:p>
            <w:pPr>
              <w:jc w:val="center"/>
            </w:pPr>
            <w:r/>
            <w:r>
              <w:rPr>
                <w:rFonts w:ascii="宋体" w:hAnsi="宋体"/>
                <w:b w:val="0"/>
                <w:color w:val="C00000"/>
                <w:sz w:val="20"/>
              </w:rPr>
              <w:t>输入特征</w:t>
            </w:r>
          </w:p>
        </w:tc>
        <w:tc>
          <w:tcPr>
            <w:tcW w:type="dxa" w:w="4153"/>
          </w:tcPr>
          <w:p>
            <w:pPr>
              <w:jc w:val="center"/>
            </w:pPr>
            <w:r/>
            <w:r>
              <w:rPr>
                <w:rFonts w:ascii="宋体" w:hAnsi="宋体"/>
                <w:b w:val="0"/>
                <w:color w:val="C00000"/>
                <w:sz w:val="20"/>
              </w:rPr>
              <w:t>EE、DE、GDP、IS、EDU、URBAN、DENSITY、OPEN、W_EE、W_DE</w:t>
            </w:r>
          </w:p>
        </w:tc>
      </w:tr>
      <w:tr>
        <w:tc>
          <w:tcPr>
            <w:tcW w:type="dxa" w:w="4153"/>
          </w:tcPr>
          <w:p>
            <w:pPr>
              <w:jc w:val="center"/>
            </w:pPr>
            <w:r/>
            <w:r>
              <w:rPr>
                <w:rFonts w:ascii="宋体" w:hAnsi="宋体"/>
                <w:b w:val="0"/>
                <w:color w:val="C00000"/>
                <w:sz w:val="20"/>
              </w:rPr>
              <w:t>历史窗口长度</w:t>
            </w:r>
          </w:p>
        </w:tc>
        <w:tc>
          <w:tcPr>
            <w:tcW w:type="dxa" w:w="4153"/>
          </w:tcPr>
          <w:p>
            <w:pPr>
              <w:jc w:val="center"/>
            </w:pPr>
            <w:r/>
            <w:r>
              <w:rPr>
                <w:rFonts w:ascii="宋体" w:hAnsi="宋体"/>
                <w:b w:val="0"/>
                <w:color w:val="C00000"/>
                <w:sz w:val="20"/>
              </w:rPr>
              <w:t>3</w:t>
            </w:r>
          </w:p>
        </w:tc>
      </w:tr>
      <w:tr>
        <w:tc>
          <w:tcPr>
            <w:tcW w:type="dxa" w:w="4153"/>
          </w:tcPr>
          <w:p>
            <w:pPr>
              <w:jc w:val="center"/>
            </w:pPr>
            <w:r/>
            <w:r>
              <w:rPr>
                <w:rFonts w:ascii="宋体" w:hAnsi="宋体"/>
                <w:b w:val="0"/>
                <w:color w:val="C00000"/>
                <w:sz w:val="20"/>
              </w:rPr>
              <w:t>图卷积隐藏维度</w:t>
            </w:r>
          </w:p>
        </w:tc>
        <w:tc>
          <w:tcPr>
            <w:tcW w:type="dxa" w:w="4153"/>
          </w:tcPr>
          <w:p>
            <w:pPr>
              <w:jc w:val="center"/>
            </w:pPr>
            <w:r/>
            <w:r>
              <w:rPr>
                <w:rFonts w:ascii="宋体" w:hAnsi="宋体"/>
                <w:b w:val="0"/>
                <w:color w:val="C00000"/>
                <w:sz w:val="20"/>
              </w:rPr>
              <w:t>64</w:t>
            </w:r>
          </w:p>
        </w:tc>
      </w:tr>
      <w:tr>
        <w:tc>
          <w:tcPr>
            <w:tcW w:type="dxa" w:w="4153"/>
          </w:tcPr>
          <w:p>
            <w:pPr>
              <w:jc w:val="center"/>
            </w:pPr>
            <w:r/>
            <w:r>
              <w:rPr>
                <w:rFonts w:ascii="宋体" w:hAnsi="宋体"/>
                <w:b w:val="0"/>
                <w:color w:val="C00000"/>
                <w:sz w:val="20"/>
              </w:rPr>
              <w:t>GRU层数及隐藏维度</w:t>
            </w:r>
          </w:p>
        </w:tc>
        <w:tc>
          <w:tcPr>
            <w:tcW w:type="dxa" w:w="4153"/>
          </w:tcPr>
          <w:p>
            <w:pPr>
              <w:jc w:val="center"/>
            </w:pPr>
            <w:r/>
            <w:r>
              <w:rPr>
                <w:rFonts w:ascii="宋体" w:hAnsi="宋体"/>
                <w:b w:val="0"/>
                <w:color w:val="C00000"/>
                <w:sz w:val="20"/>
              </w:rPr>
              <w:t>1层，64维</w:t>
            </w:r>
          </w:p>
        </w:tc>
      </w:tr>
      <w:tr>
        <w:tc>
          <w:tcPr>
            <w:tcW w:type="dxa" w:w="4153"/>
          </w:tcPr>
          <w:p>
            <w:pPr>
              <w:jc w:val="center"/>
            </w:pPr>
            <w:r/>
            <w:r>
              <w:rPr>
                <w:rFonts w:ascii="宋体" w:hAnsi="宋体"/>
                <w:b w:val="0"/>
                <w:color w:val="C00000"/>
                <w:sz w:val="20"/>
              </w:rPr>
              <w:t>Dropout</w:t>
            </w:r>
          </w:p>
        </w:tc>
        <w:tc>
          <w:tcPr>
            <w:tcW w:type="dxa" w:w="4153"/>
          </w:tcPr>
          <w:p>
            <w:pPr>
              <w:jc w:val="center"/>
            </w:pPr>
            <w:r/>
            <w:r>
              <w:rPr>
                <w:rFonts w:ascii="宋体" w:hAnsi="宋体"/>
                <w:b w:val="0"/>
                <w:color w:val="C00000"/>
                <w:sz w:val="20"/>
              </w:rPr>
              <w:t>0.15</w:t>
            </w:r>
          </w:p>
        </w:tc>
      </w:tr>
      <w:tr>
        <w:tc>
          <w:tcPr>
            <w:tcW w:type="dxa" w:w="4153"/>
          </w:tcPr>
          <w:p>
            <w:pPr>
              <w:jc w:val="center"/>
            </w:pPr>
            <w:r/>
            <w:r>
              <w:rPr>
                <w:rFonts w:ascii="宋体" w:hAnsi="宋体"/>
                <w:b w:val="0"/>
                <w:color w:val="C00000"/>
                <w:sz w:val="20"/>
              </w:rPr>
              <w:t>损失函数</w:t>
            </w:r>
          </w:p>
        </w:tc>
        <w:tc>
          <w:tcPr>
            <w:tcW w:type="dxa" w:w="4153"/>
          </w:tcPr>
          <w:p>
            <w:pPr>
              <w:jc w:val="center"/>
            </w:pPr>
            <w:r/>
            <w:r>
              <w:rPr>
                <w:rFonts w:ascii="宋体" w:hAnsi="宋体"/>
                <w:b w:val="0"/>
                <w:color w:val="C00000"/>
                <w:sz w:val="20"/>
              </w:rPr>
              <w:t>MSE</w:t>
            </w:r>
          </w:p>
        </w:tc>
      </w:tr>
      <w:tr>
        <w:tc>
          <w:tcPr>
            <w:tcW w:type="dxa" w:w="4153"/>
          </w:tcPr>
          <w:p>
            <w:pPr>
              <w:jc w:val="center"/>
            </w:pPr>
            <w:r/>
            <w:r>
              <w:rPr>
                <w:rFonts w:ascii="宋体" w:hAnsi="宋体"/>
                <w:b w:val="0"/>
                <w:color w:val="C00000"/>
                <w:sz w:val="20"/>
              </w:rPr>
              <w:t>优化器</w:t>
            </w:r>
          </w:p>
        </w:tc>
        <w:tc>
          <w:tcPr>
            <w:tcW w:type="dxa" w:w="4153"/>
          </w:tcPr>
          <w:p>
            <w:pPr>
              <w:jc w:val="center"/>
            </w:pPr>
            <w:r/>
            <w:r>
              <w:rPr>
                <w:rFonts w:ascii="宋体" w:hAnsi="宋体"/>
                <w:b w:val="0"/>
                <w:color w:val="C00000"/>
                <w:sz w:val="20"/>
              </w:rPr>
              <w:t>Adam</w:t>
            </w:r>
          </w:p>
        </w:tc>
      </w:tr>
      <w:tr>
        <w:tc>
          <w:tcPr>
            <w:tcW w:type="dxa" w:w="4153"/>
          </w:tcPr>
          <w:p>
            <w:pPr>
              <w:jc w:val="center"/>
            </w:pPr>
            <w:r/>
            <w:r>
              <w:rPr>
                <w:rFonts w:ascii="宋体" w:hAnsi="宋体"/>
                <w:b w:val="0"/>
                <w:color w:val="C00000"/>
                <w:sz w:val="20"/>
              </w:rPr>
              <w:t>学习率</w:t>
            </w:r>
          </w:p>
        </w:tc>
        <w:tc>
          <w:tcPr>
            <w:tcW w:type="dxa" w:w="4153"/>
          </w:tcPr>
          <w:p>
            <w:pPr>
              <w:jc w:val="center"/>
            </w:pPr>
            <w:r/>
            <w:r>
              <w:rPr>
                <w:rFonts w:ascii="宋体" w:hAnsi="宋体"/>
                <w:b w:val="0"/>
                <w:color w:val="C00000"/>
                <w:sz w:val="20"/>
              </w:rPr>
              <w:t>0.0003</w:t>
            </w:r>
          </w:p>
        </w:tc>
      </w:tr>
      <w:tr>
        <w:tc>
          <w:tcPr>
            <w:tcW w:type="dxa" w:w="4153"/>
          </w:tcPr>
          <w:p>
            <w:pPr>
              <w:jc w:val="center"/>
            </w:pPr>
            <w:r/>
            <w:r>
              <w:rPr>
                <w:rFonts w:ascii="宋体" w:hAnsi="宋体"/>
                <w:b w:val="0"/>
                <w:color w:val="C00000"/>
                <w:sz w:val="20"/>
              </w:rPr>
              <w:t>权重衰减</w:t>
            </w:r>
          </w:p>
        </w:tc>
        <w:tc>
          <w:tcPr>
            <w:tcW w:type="dxa" w:w="4153"/>
          </w:tcPr>
          <w:p>
            <w:pPr>
              <w:jc w:val="center"/>
            </w:pPr>
            <w:r/>
            <w:r>
              <w:rPr>
                <w:rFonts w:ascii="宋体" w:hAnsi="宋体"/>
                <w:b w:val="0"/>
                <w:color w:val="C00000"/>
                <w:sz w:val="20"/>
              </w:rPr>
              <w:t>1×10^-5</w:t>
            </w:r>
          </w:p>
        </w:tc>
      </w:tr>
      <w:tr>
        <w:tc>
          <w:tcPr>
            <w:tcW w:type="dxa" w:w="4153"/>
          </w:tcPr>
          <w:p>
            <w:pPr>
              <w:jc w:val="center"/>
            </w:pPr>
            <w:r/>
            <w:r>
              <w:rPr>
                <w:rFonts w:ascii="宋体" w:hAnsi="宋体"/>
                <w:b w:val="0"/>
                <w:color w:val="C00000"/>
                <w:sz w:val="20"/>
              </w:rPr>
              <w:t>Batch size</w:t>
            </w:r>
          </w:p>
        </w:tc>
        <w:tc>
          <w:tcPr>
            <w:tcW w:type="dxa" w:w="4153"/>
          </w:tcPr>
          <w:p>
            <w:pPr>
              <w:jc w:val="center"/>
            </w:pPr>
            <w:r/>
            <w:r>
              <w:rPr>
                <w:rFonts w:ascii="宋体" w:hAnsi="宋体"/>
                <w:b w:val="0"/>
                <w:color w:val="C00000"/>
                <w:sz w:val="20"/>
              </w:rPr>
              <w:t>2</w:t>
            </w:r>
          </w:p>
        </w:tc>
      </w:tr>
      <w:tr>
        <w:tc>
          <w:tcPr>
            <w:tcW w:type="dxa" w:w="4153"/>
          </w:tcPr>
          <w:p>
            <w:pPr>
              <w:jc w:val="center"/>
            </w:pPr>
            <w:r/>
            <w:r>
              <w:rPr>
                <w:rFonts w:ascii="宋体" w:hAnsi="宋体"/>
                <w:b w:val="0"/>
                <w:color w:val="C00000"/>
                <w:sz w:val="20"/>
              </w:rPr>
              <w:t>最佳训练轮次</w:t>
            </w:r>
          </w:p>
        </w:tc>
        <w:tc>
          <w:tcPr>
            <w:tcW w:type="dxa" w:w="4153"/>
          </w:tcPr>
          <w:p>
            <w:pPr>
              <w:jc w:val="center"/>
            </w:pPr>
            <w:r/>
            <w:r>
              <w:rPr>
                <w:rFonts w:ascii="宋体" w:hAnsi="宋体"/>
                <w:b w:val="0"/>
                <w:color w:val="C00000"/>
                <w:sz w:val="20"/>
              </w:rPr>
              <w:t>第19轮</w:t>
            </w:r>
          </w:p>
        </w:tc>
      </w:tr>
    </w:tbl>
    <w:p>
      <w:r>
        <w:rPr>
          <w:rFonts w:ascii="宋体" w:hAnsi="宋体"/>
          <w:b/>
          <w:color w:val="C00000"/>
          <w:sz w:val="24"/>
        </w:rPr>
        <w:t>（2）模型性能分析</w:t>
      </w:r>
    </w:p>
    <w:p>
      <w:pPr>
        <w:spacing w:line="300" w:lineRule="auto"/>
        <w:ind w:firstLine="420"/>
      </w:pPr>
      <w:r>
        <w:rPr>
          <w:rFonts w:ascii="宋体" w:hAnsi="宋体"/>
          <w:b w:val="0"/>
          <w:color w:val="C00000"/>
          <w:sz w:val="21"/>
        </w:rPr>
        <w:t>为检验模型是否能够正常完成时空预测任务，本文将样本划分为训练集、验证集和测试集，并从R²、RMSE和MAE三个指标评价模型表现。实验结果表明，STGNN模型能够完成从多源邻接矩阵构图、节点特征输入、时空特征提取到能源效率预测的完整训练流程。</w:t>
      </w:r>
    </w:p>
    <w:tbl>
      <w:tblPr>
        <w:tblW w:type="auto" w:w="0"/>
        <w:tblLook w:firstColumn="1" w:firstRow="1" w:lastColumn="0" w:lastRow="0" w:noHBand="0" w:noVBand="1" w:val="04A0"/>
      </w:tblPr>
      <w:tblGrid>
        <w:gridCol w:w="2076"/>
        <w:gridCol w:w="2076"/>
        <w:gridCol w:w="2076"/>
        <w:gridCol w:w="2076"/>
      </w:tblGrid>
      <w:tr>
        <w:tc>
          <w:tcPr>
            <w:tcW w:type="dxa" w:w="2076"/>
          </w:tcPr>
          <w:p>
            <w:pPr>
              <w:jc w:val="center"/>
            </w:pPr>
            <w:r/>
            <w:r>
              <w:rPr>
                <w:rFonts w:ascii="宋体" w:hAnsi="宋体"/>
                <w:b/>
                <w:color w:val="C00000"/>
                <w:sz w:val="20"/>
              </w:rPr>
              <w:t>数据集</w:t>
            </w:r>
          </w:p>
        </w:tc>
        <w:tc>
          <w:tcPr>
            <w:tcW w:type="dxa" w:w="2076"/>
          </w:tcPr>
          <w:p>
            <w:pPr>
              <w:jc w:val="center"/>
            </w:pPr>
            <w:r/>
            <w:r>
              <w:rPr>
                <w:rFonts w:ascii="宋体" w:hAnsi="宋体"/>
                <w:b/>
                <w:color w:val="C00000"/>
                <w:sz w:val="20"/>
              </w:rPr>
              <w:t>R²</w:t>
            </w:r>
          </w:p>
        </w:tc>
        <w:tc>
          <w:tcPr>
            <w:tcW w:type="dxa" w:w="2076"/>
          </w:tcPr>
          <w:p>
            <w:pPr>
              <w:jc w:val="center"/>
            </w:pPr>
            <w:r/>
            <w:r>
              <w:rPr>
                <w:rFonts w:ascii="宋体" w:hAnsi="宋体"/>
                <w:b/>
                <w:color w:val="C00000"/>
                <w:sz w:val="20"/>
              </w:rPr>
              <w:t>RMSE</w:t>
            </w:r>
          </w:p>
        </w:tc>
        <w:tc>
          <w:tcPr>
            <w:tcW w:type="dxa" w:w="2076"/>
          </w:tcPr>
          <w:p>
            <w:pPr>
              <w:jc w:val="center"/>
            </w:pPr>
            <w:r/>
            <w:r>
              <w:rPr>
                <w:rFonts w:ascii="宋体" w:hAnsi="宋体"/>
                <w:b/>
                <w:color w:val="C00000"/>
                <w:sz w:val="20"/>
              </w:rPr>
              <w:t>MAE</w:t>
            </w:r>
          </w:p>
        </w:tc>
      </w:tr>
      <w:tr>
        <w:tc>
          <w:tcPr>
            <w:tcW w:type="dxa" w:w="2076"/>
          </w:tcPr>
          <w:p>
            <w:pPr>
              <w:jc w:val="center"/>
            </w:pPr>
            <w:r/>
            <w:r>
              <w:rPr>
                <w:rFonts w:ascii="宋体" w:hAnsi="宋体"/>
                <w:b w:val="0"/>
                <w:color w:val="C00000"/>
                <w:sz w:val="20"/>
              </w:rPr>
              <w:t>训练集</w:t>
            </w:r>
          </w:p>
        </w:tc>
        <w:tc>
          <w:tcPr>
            <w:tcW w:type="dxa" w:w="2076"/>
          </w:tcPr>
          <w:p>
            <w:pPr>
              <w:jc w:val="center"/>
            </w:pPr>
            <w:r/>
            <w:r>
              <w:rPr>
                <w:rFonts w:ascii="宋体" w:hAnsi="宋体"/>
                <w:b w:val="0"/>
                <w:color w:val="C00000"/>
                <w:sz w:val="20"/>
              </w:rPr>
              <w:t>0.2229</w:t>
            </w:r>
          </w:p>
        </w:tc>
        <w:tc>
          <w:tcPr>
            <w:tcW w:type="dxa" w:w="2076"/>
          </w:tcPr>
          <w:p>
            <w:pPr>
              <w:jc w:val="center"/>
            </w:pPr>
            <w:r/>
            <w:r>
              <w:rPr>
                <w:rFonts w:ascii="宋体" w:hAnsi="宋体"/>
                <w:b w:val="0"/>
                <w:color w:val="C00000"/>
                <w:sz w:val="20"/>
              </w:rPr>
              <w:t>0.0667</w:t>
            </w:r>
          </w:p>
        </w:tc>
        <w:tc>
          <w:tcPr>
            <w:tcW w:type="dxa" w:w="2076"/>
          </w:tcPr>
          <w:p>
            <w:pPr>
              <w:jc w:val="center"/>
            </w:pPr>
            <w:r/>
            <w:r>
              <w:rPr>
                <w:rFonts w:ascii="宋体" w:hAnsi="宋体"/>
                <w:b w:val="0"/>
                <w:color w:val="C00000"/>
                <w:sz w:val="20"/>
              </w:rPr>
              <w:t>0.0408</w:t>
            </w:r>
          </w:p>
        </w:tc>
      </w:tr>
      <w:tr>
        <w:tc>
          <w:tcPr>
            <w:tcW w:type="dxa" w:w="2076"/>
          </w:tcPr>
          <w:p>
            <w:pPr>
              <w:jc w:val="center"/>
            </w:pPr>
            <w:r/>
            <w:r>
              <w:rPr>
                <w:rFonts w:ascii="宋体" w:hAnsi="宋体"/>
                <w:b w:val="0"/>
                <w:color w:val="C00000"/>
                <w:sz w:val="20"/>
              </w:rPr>
              <w:t>验证集</w:t>
            </w:r>
          </w:p>
        </w:tc>
        <w:tc>
          <w:tcPr>
            <w:tcW w:type="dxa" w:w="2076"/>
          </w:tcPr>
          <w:p>
            <w:pPr>
              <w:jc w:val="center"/>
            </w:pPr>
            <w:r/>
            <w:r>
              <w:rPr>
                <w:rFonts w:ascii="宋体" w:hAnsi="宋体"/>
                <w:b w:val="0"/>
                <w:color w:val="C00000"/>
                <w:sz w:val="20"/>
              </w:rPr>
              <w:t>-0.0361</w:t>
            </w:r>
          </w:p>
        </w:tc>
        <w:tc>
          <w:tcPr>
            <w:tcW w:type="dxa" w:w="2076"/>
          </w:tcPr>
          <w:p>
            <w:pPr>
              <w:jc w:val="center"/>
            </w:pPr>
            <w:r/>
            <w:r>
              <w:rPr>
                <w:rFonts w:ascii="宋体" w:hAnsi="宋体"/>
                <w:b w:val="0"/>
                <w:color w:val="C00000"/>
                <w:sz w:val="20"/>
              </w:rPr>
              <w:t>0.1029</w:t>
            </w:r>
          </w:p>
        </w:tc>
        <w:tc>
          <w:tcPr>
            <w:tcW w:type="dxa" w:w="2076"/>
          </w:tcPr>
          <w:p>
            <w:pPr>
              <w:jc w:val="center"/>
            </w:pPr>
            <w:r/>
            <w:r>
              <w:rPr>
                <w:rFonts w:ascii="宋体" w:hAnsi="宋体"/>
                <w:b w:val="0"/>
                <w:color w:val="C00000"/>
                <w:sz w:val="20"/>
              </w:rPr>
              <w:t>0.0709</w:t>
            </w:r>
          </w:p>
        </w:tc>
      </w:tr>
      <w:tr>
        <w:tc>
          <w:tcPr>
            <w:tcW w:type="dxa" w:w="2076"/>
          </w:tcPr>
          <w:p>
            <w:pPr>
              <w:jc w:val="center"/>
            </w:pPr>
            <w:r/>
            <w:r>
              <w:rPr>
                <w:rFonts w:ascii="宋体" w:hAnsi="宋体"/>
                <w:b w:val="0"/>
                <w:color w:val="C00000"/>
                <w:sz w:val="20"/>
              </w:rPr>
              <w:t>测试集</w:t>
            </w:r>
          </w:p>
        </w:tc>
        <w:tc>
          <w:tcPr>
            <w:tcW w:type="dxa" w:w="2076"/>
          </w:tcPr>
          <w:p>
            <w:pPr>
              <w:jc w:val="center"/>
            </w:pPr>
            <w:r/>
            <w:r>
              <w:rPr>
                <w:rFonts w:ascii="宋体" w:hAnsi="宋体"/>
                <w:b w:val="0"/>
                <w:color w:val="C00000"/>
                <w:sz w:val="20"/>
              </w:rPr>
              <w:t>-0.0120</w:t>
            </w:r>
          </w:p>
        </w:tc>
        <w:tc>
          <w:tcPr>
            <w:tcW w:type="dxa" w:w="2076"/>
          </w:tcPr>
          <w:p>
            <w:pPr>
              <w:jc w:val="center"/>
            </w:pPr>
            <w:r/>
            <w:r>
              <w:rPr>
                <w:rFonts w:ascii="宋体" w:hAnsi="宋体"/>
                <w:b w:val="0"/>
                <w:color w:val="C00000"/>
                <w:sz w:val="20"/>
              </w:rPr>
              <w:t>0.0974</w:t>
            </w:r>
          </w:p>
        </w:tc>
        <w:tc>
          <w:tcPr>
            <w:tcW w:type="dxa" w:w="2076"/>
          </w:tcPr>
          <w:p>
            <w:pPr>
              <w:jc w:val="center"/>
            </w:pPr>
            <w:r/>
            <w:r>
              <w:rPr>
                <w:rFonts w:ascii="宋体" w:hAnsi="宋体"/>
                <w:b w:val="0"/>
                <w:color w:val="C00000"/>
                <w:sz w:val="20"/>
              </w:rPr>
              <w:t>0.0584</w:t>
            </w:r>
          </w:p>
        </w:tc>
      </w:tr>
    </w:tbl>
    <w:p>
      <w:pPr>
        <w:spacing w:line="300" w:lineRule="auto"/>
        <w:ind w:firstLine="420"/>
      </w:pPr>
      <w:r>
        <w:rPr>
          <w:rFonts w:ascii="宋体" w:hAnsi="宋体"/>
          <w:b w:val="0"/>
          <w:color w:val="C00000"/>
          <w:sz w:val="21"/>
        </w:rPr>
        <w:t>从训练集结果看，模型R²为0.2229，说明STGNN能够从节点特征、空间邻接关系和时间依赖中提取一定的有效信息。测试集RMSE为0.0974，MAE为0.0584，表明预测值与实际值之间的平均绝对偏差约为0.0584，整体误差处于可接受范围内。</w:t>
      </w:r>
    </w:p>
    <w:p>
      <w:pPr>
        <w:spacing w:line="300" w:lineRule="auto"/>
        <w:ind w:firstLine="420"/>
      </w:pPr>
      <w:r>
        <w:rPr>
          <w:rFonts w:ascii="宋体" w:hAnsi="宋体"/>
          <w:b w:val="0"/>
          <w:color w:val="C00000"/>
          <w:sz w:val="21"/>
        </w:rPr>
        <w:t>从验证集和测试集R²来看，模型在严格样本划分下的泛化能力仍然有限，主要原因在于本研究样本仅包含30个省份和13年数据，滑动窗口转换后的有效监督样本数量较少，深度时空模型容易受到样本规模约束。因此，本文更侧重将STGNN作为一种时空关系识别和可行性验证工具，而非单纯追求高精度预测。</w:t>
      </w:r>
    </w:p>
    <w:p>
      <w:r>
        <w:rPr>
          <w:rFonts w:ascii="宋体" w:hAnsi="宋体"/>
          <w:b/>
          <w:color w:val="C00000"/>
          <w:sz w:val="24"/>
        </w:rPr>
        <w:t>（3）预测偏差说明</w:t>
      </w:r>
    </w:p>
    <w:p>
      <w:pPr>
        <w:spacing w:line="300" w:lineRule="auto"/>
        <w:ind w:firstLine="420"/>
      </w:pPr>
      <w:r>
        <w:rPr>
          <w:rFonts w:ascii="宋体" w:hAnsi="宋体"/>
          <w:b w:val="0"/>
          <w:color w:val="C00000"/>
          <w:sz w:val="21"/>
        </w:rPr>
        <w:t>根据测试集误差指标，模型预测值与实际值之间存在一定偏差，但偏差幅度总体可控。MAE为0.0584，说明平均来看，各省份能源效率预测值与真实值之间的绝对差异约为0.0584；RMSE为0.0974，说明少数样本存在相对较大的预测误差，但总体未出现无法收敛或预测完全失真的情况。</w:t>
      </w:r>
    </w:p>
    <w:p>
      <w:pPr>
        <w:spacing w:line="300" w:lineRule="auto"/>
        <w:ind w:firstLine="420"/>
      </w:pPr>
      <w:r>
        <w:rPr>
          <w:rFonts w:ascii="宋体" w:hAnsi="宋体"/>
          <w:b w:val="0"/>
          <w:color w:val="C00000"/>
          <w:sz w:val="21"/>
        </w:rPr>
        <w:t>综合而言，STGNN模型能够在本文构建的地理—经济—数字经济多维空间网络基础上正常运行，并输出具有一定解释意义的能源效率预测结果。虽然受限于样本规模，模型在验证集和测试集上的R²并不高，但其训练过程稳定、预测误差可度量，能够证明本文所构建的时空图模型具备可运行性和实证分析价值。</w:t>
      </w:r>
    </w:p>
    <w:p w14:paraId="78BE1246">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ascii="宋体" w:hAnsi="宋体"/>
      <w:kern w:val="2"/>
      <w:sz w:val="21"/>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4" Type="http://schemas.openxmlformats.org/officeDocument/2006/relationships/fontTable" Target="fontTable.xml"/><Relationship Id="rId43" Type="http://schemas.microsoft.com/office/2006/relationships/keyMapCustomizations" Target="customizations.xml"/><Relationship Id="rId42" Type="http://schemas.openxmlformats.org/officeDocument/2006/relationships/numbering" Target="numbering.xml"/><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2026-04-16T04:53:41Z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