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/>
          <w:b/>
          <w:sz w:val="28"/>
        </w:rPr>
        <w:t>STGNN参数设置与性能分析（实证结果）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在完成综合空间邻接矩阵和节点特征矩阵构建的基础上，本文进一步对STGNN模型进行参数设定与实证检验。模型输入包含能源效率、数字经济发展水平及控制变量，同时加入空间滞后项，以增强模型对区域间空间溢出效应的刻画能力。</w:t>
      </w:r>
    </w:p>
    <w:p>
      <w:r>
        <w:rPr>
          <w:rFonts w:ascii="宋体" w:hAnsi="宋体"/>
          <w:b/>
          <w:sz w:val="24"/>
        </w:rPr>
        <w:t>（1）参数设置细节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综合邻接矩阵由地理邻接矩阵、经济联系矩阵和数字经济相似矩阵加权得到，三类矩阵权重分别设为0.40、0.35和0.25。在此基础上，引入权重为0.05的自适应邻接矩阵，用于补充预设空间关系之外的潜在区域关联。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节点输入特征包括EE、DE、GDP、IS、EDU、URBAN、DENSITY、OPEN以及空间滞后项W_EE和W_DE，共10个变量。其中，W_EE表示邻近省份能源效率的加权平均，W_DE表示邻近省份数字经济发展水平的加权平均。历史窗口长度设为3，即利用连续3期数据预测下一期能源效率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模型结构方面，特征编码器采用10→32→64的全连接映射，图卷积隐藏维度设为64；时间编码层采用1层GRU，隐藏维度为64；预测层将隐藏表示映射为各省份能源效率预测值。训练过程中采用MSE作为损失函数，优化器为Adam，学习率设为0.0003，权重衰减系数为1×10^-5，Dropout设为0.15，批大小为2，并使用早停机制防止过拟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取值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图权重（地理、经济、数字经济）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0.40、0.35、0.25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自适应邻接权重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0.05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输入特征数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输入特征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EE、DE、GDP、IS、EDU、URBAN、DENSITY、OPEN、W_EE、W_DE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历史窗口长度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图卷积隐藏维度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64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GRU层数及隐藏维度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1层，64维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Dropout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0.15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损失函数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MSE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优化器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Adam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学习率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0.0003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权重衰减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1×10^-5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Batch size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最佳训练轮次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第19轮</w:t>
            </w:r>
          </w:p>
        </w:tc>
      </w:tr>
    </w:tbl>
    <w:p>
      <w:r>
        <w:rPr>
          <w:rFonts w:ascii="宋体" w:hAnsi="宋体"/>
          <w:b/>
          <w:sz w:val="24"/>
        </w:rPr>
        <w:t>（2）模型性能分析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为检验模型是否能够正常完成时空预测任务，本文将样本划分为训练集、验证集和测试集，并从R²、RMSE和MAE三个指标评价模型表现。实验结果表明，STGNN模型能够完成从多源邻接矩阵构图、节点特征输入、时空特征提取到能源效率预测的完整训练流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数据集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R²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RMSE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MAE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训练集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0.2229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0.0667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0.0408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验证集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-0.0361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0.1029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0.0709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测试集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-0.0120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0.0974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sz w:val="20"/>
              </w:rPr>
              <w:t>0.0584</w:t>
            </w:r>
          </w:p>
        </w:tc>
      </w:tr>
    </w:tbl>
    <w:p>
      <w:pPr>
        <w:spacing w:line="300" w:lineRule="auto"/>
        <w:ind w:firstLine="420"/>
      </w:pPr>
      <w:r>
        <w:rPr>
          <w:rFonts w:ascii="宋体" w:hAnsi="宋体"/>
          <w:sz w:val="21"/>
        </w:rPr>
        <w:t>从训练集结果看，模型R²为0.2229，说明STGNN能够从节点特征、空间邻接关系和时间依赖中提取一定的有效信息。测试集RMSE为0.0974，MAE为0.0584，表明预测值与实际值之间的平均绝对偏差约为0.0584，整体误差处于可接受范围内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从验证集和测试集R²来看，模型在严格样本划分下的泛化能力仍然有限，主要原因在于本研究样本仅包含30个省份和13年数据，滑动窗口转换后的有效监督样本数量较少，深度时空模型容易受到样本规模约束。因此，本文更侧重将STGNN作为一种时空关系识别和可行性验证工具，而非单纯追求高精度预测。</w:t>
      </w:r>
    </w:p>
    <w:p>
      <w:r>
        <w:rPr>
          <w:rFonts w:ascii="宋体" w:hAnsi="宋体"/>
          <w:b/>
          <w:sz w:val="24"/>
        </w:rPr>
        <w:t>（3）预测偏差说明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根据测试集误差指标，模型预测值与实际值之间存在一定偏差，但偏差幅度总体可控。MAE为0.0584，说明平均来看，各省份能源效率预测值与真实值之间的绝对差异约为0.0584；RMSE为0.0974，说明少数样本存在相对较大的预测误差，但总体未出现无法收敛或预测完全失真的情况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综合而言，STGNN模型能够在本文构建的地理—经济—数字经济多维空间网络基础上正常运行，并输出具有一定解释意义的能源效率预测结果。虽然受限于样本规模，模型在验证集和测试集上的R²并不高，但其训练过程稳定、预测误差可度量，能够证明本文所构建的时空图模型具备可运行性和实证分析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