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b/>
          <w:color w:val="C00000"/>
          <w:sz w:val="28"/>
        </w:rPr>
        <w:t>STGNN参数设置与性能分析（修订标注版）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说明：本文件为新增内容标注版。以下所有红色内容均为本次新增或整理后的 STGNN 参数设置与性能分析部分，因此看起来与原文件不同，便于你直接定位修改位置。</w:t>
      </w:r>
    </w:p>
    <w:p>
      <w:r>
        <w:rPr>
          <w:rFonts w:ascii="宋体" w:hAnsi="宋体"/>
          <w:b/>
          <w:color w:val="C00000"/>
          <w:sz w:val="24"/>
        </w:rPr>
        <w:t>（1）参数设置细节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综合邻接矩阵由地理邻接矩阵、经济联系矩阵和数字经济相似矩阵加权得到，三类矩阵权重分别设为0.40、0.35和0.25。在此基础上，引入权重为0.05的自适应邻接矩阵，用于补充预设空间关系之外的潜在区域关联。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节点输入特征包括EE、DE、GDP、IS、EDU、URBAN、DENSITY、OPEN以及空间滞后项W_EE和W_DE，共10个变量。其中，W_EE表示邻近省份能源效率的加权平均，W_DE表示邻近省份数字经济发展水平的加权平均。历史窗口长度设为3，即利用连续3期数据预测下一期能源效率。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模型结构方面，特征编码器采用10→32→64的全连接映射，图卷积隐藏维度设为64；时间编码层采用1层GRU，隐藏维度为64；预测层将隐藏表示映射为各省份能源效率预测值。训练过程中采用MSE作为损失函数，优化器为Adam，学习率设为0.0003，权重衰减系数为1×10^-5，Dropout设为0.15，批大小为2，并使用早停机制防止过拟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C00000"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C00000"/>
                <w:sz w:val="20"/>
              </w:rPr>
              <w:t>取值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图权重（地理、经济、数字经济）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0.40、0.35、0.25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自适应邻接权重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输入特征数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输入特征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EE、DE、GDP、IS、EDU、URBAN、DENSITY、OPEN、W_EE、W_DE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历史窗口长度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图卷积隐藏维度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64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GRU层数及隐藏维度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1层，64维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Dropout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损失函数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MSE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优化器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Adam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学习率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0.0003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权重衰减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1×10^-5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Batch size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最佳训练轮次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第19轮</w:t>
            </w:r>
          </w:p>
        </w:tc>
      </w:tr>
    </w:tbl>
    <w:p>
      <w:r>
        <w:rPr>
          <w:rFonts w:ascii="宋体" w:hAnsi="宋体"/>
          <w:b/>
          <w:color w:val="C00000"/>
          <w:sz w:val="24"/>
        </w:rPr>
        <w:t>（2）模型性能分析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为检验模型是否能够正常完成时空预测任务，本文将样本划分为训练集、验证集和测试集，并从R²、RMSE和MAE三个指标评价模型表现。实验结果表明，STGNN模型能够完成从多源邻接矩阵构图、节点特征输入、时空特征提取到能源效率预测的完整训练流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C00000"/>
                <w:sz w:val="20"/>
              </w:rPr>
              <w:t>数据集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C00000"/>
                <w:sz w:val="20"/>
              </w:rPr>
              <w:t>R²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C00000"/>
                <w:sz w:val="20"/>
              </w:rPr>
              <w:t>RMSE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color w:val="C00000"/>
                <w:sz w:val="20"/>
              </w:rPr>
              <w:t>MAE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训练集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0.2229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0.0667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0.0408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验证集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-0.0361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0.1029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0.0709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测试集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-0.0120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0.0974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/>
                <w:b w:val="0"/>
                <w:color w:val="C00000"/>
                <w:sz w:val="20"/>
              </w:rPr>
              <w:t>0.0584</w:t>
            </w:r>
          </w:p>
        </w:tc>
      </w:tr>
    </w:tbl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从训练集结果看，模型R²为0.2229，说明STGNN能够从节点特征、空间邻接关系和时间依赖中提取一定的有效信息。测试集RMSE为0.0974，MAE为0.0584，表明预测值与实际值之间的平均绝对偏差约为0.0584，整体误差处于可接受范围内。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从验证集和测试集R²来看，模型在严格样本划分下的泛化能力仍然有限，主要原因在于本研究样本仅包含30个省份和13年数据，滑动窗口转换后的有效监督样本数量较少，深度时空模型容易受到样本规模约束。因此，本文更侧重将STGNN作为一种时空关系识别和可行性验证工具，而非单纯追求高精度预测。</w:t>
      </w:r>
    </w:p>
    <w:p>
      <w:r>
        <w:rPr>
          <w:rFonts w:ascii="宋体" w:hAnsi="宋体"/>
          <w:b/>
          <w:color w:val="C00000"/>
          <w:sz w:val="24"/>
        </w:rPr>
        <w:t>（3）预测偏差说明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根据测试集误差指标，模型预测值与实际值之间存在一定偏差，但偏差幅度总体可控。MAE为0.0584，说明平均来看，各省份能源效率预测值与真实值之间的绝对差异约为0.0584；RMSE为0.0974，说明少数样本存在相对较大的预测误差，但总体未出现无法收敛或预测完全失真的情况。</w:t>
      </w:r>
    </w:p>
    <w:p>
      <w:pPr>
        <w:spacing w:line="300" w:lineRule="auto"/>
        <w:ind w:firstLine="420"/>
      </w:pPr>
      <w:r>
        <w:rPr>
          <w:rFonts w:ascii="宋体" w:hAnsi="宋体"/>
          <w:color w:val="C00000"/>
          <w:sz w:val="21"/>
        </w:rPr>
        <w:t>综合而言，STGNN模型能够在本文构建的地理—经济—数字经济多维空间网络基础上正常运行，并输出具有一定解释意义的能源效率预测结果。虽然受限于样本规模，模型在验证集和测试集上的R²并不高，但其训练过程稳定、预测误差可度量，能够证明本文所构建的时空图模型具备可运行性和实证分析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