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8ABB1">
      <w:pPr>
        <w:pStyle w:val="173"/>
        <w:rPr>
          <w:color w:val="auto"/>
        </w:rPr>
      </w:pPr>
    </w:p>
    <w:p w14:paraId="216F6631">
      <w:pPr>
        <w:pStyle w:val="3"/>
        <w:rPr>
          <w:color w:val="auto"/>
          <w:lang w:eastAsia="zh-CN"/>
        </w:rPr>
      </w:pPr>
      <w:bookmarkStart w:id="0" w:name="_Toc227613125"/>
      <w:bookmarkStart w:id="1" w:name="本科毕业论文初稿"/>
      <w:r>
        <w:rPr>
          <w:color w:val="auto"/>
          <w:lang w:eastAsia="zh-CN"/>
        </w:rPr>
        <w:t>本科毕业论文</w:t>
      </w:r>
      <w:bookmarkEnd w:id="0"/>
      <w:bookmarkStart w:id="359" w:name="_GoBack"/>
      <w:bookmarkEnd w:id="359"/>
    </w:p>
    <w:bookmarkEnd w:id="1"/>
    <w:p w14:paraId="49B024D1">
      <w:pPr>
        <w:pStyle w:val="3"/>
        <w:rPr>
          <w:color w:val="auto"/>
          <w:lang w:eastAsia="zh-CN"/>
        </w:rPr>
      </w:pPr>
      <w:bookmarkStart w:id="2" w:name="_Toc227613126"/>
      <w:bookmarkStart w:id="3" w:name="基于机器学习的石蝇分类系统的设计与实现"/>
      <w:r>
        <w:rPr>
          <w:color w:val="auto"/>
          <w:lang w:eastAsia="zh-CN"/>
        </w:rPr>
        <w:t>基于机器学习的石蝇分类系统的设计与实现</w:t>
      </w:r>
      <w:bookmarkEnd w:id="2"/>
    </w:p>
    <w:bookmarkEnd w:id="3"/>
    <w:p w14:paraId="491683C8">
      <w:pPr>
        <w:pStyle w:val="3"/>
        <w:rPr>
          <w:color w:val="auto"/>
          <w:lang w:eastAsia="zh-CN"/>
        </w:rPr>
      </w:pPr>
      <w:bookmarkStart w:id="4" w:name="_Toc227613127"/>
      <w:bookmarkStart w:id="5" w:name="摘要"/>
      <w:r>
        <w:rPr>
          <w:color w:val="auto"/>
          <w:lang w:eastAsia="zh-CN"/>
        </w:rPr>
        <w:t>摘要</w:t>
      </w:r>
      <w:bookmarkEnd w:id="4"/>
    </w:p>
    <w:p w14:paraId="7FCA7136">
      <w:pPr>
        <w:rPr>
          <w:color w:val="auto"/>
          <w:lang w:eastAsia="zh-CN"/>
        </w:rPr>
      </w:pPr>
      <w:r>
        <w:rPr>
          <w:color w:val="auto"/>
          <w:lang w:eastAsia="zh-CN"/>
        </w:rPr>
        <w:t>生物物种识别问题具有类别数量多、样本分布长尾化和领域知识依赖强等特点。在石蝇识别场景中，若仅依赖人工检索与经验判断，不仅效率较低，而且在类别规模扩张后容易受到主观经验差异的影响。围绕石蝇样本的地理位置、形态属性和分类学字段，构建了一个面向表格型生物特征数据的智能分类系统。系统采用前后端分离架构，前端以 Vue 3、TypeScript 与 Element Plus 构建交互界面，后端以 Flask 提供分类预测与可视化接口，算法层则依托 scikit-learn 与 XGBoost 完成数据预处理、特征工程、模型训练和模型评估。</w:t>
      </w:r>
    </w:p>
    <w:p w14:paraId="1466117E">
      <w:pPr>
        <w:pStyle w:val="20"/>
        <w:rPr>
          <w:color w:val="auto"/>
          <w:lang w:eastAsia="zh-CN"/>
        </w:rPr>
      </w:pPr>
      <w:r>
        <w:rPr>
          <w:color w:val="auto"/>
          <w:lang w:eastAsia="zh-CN"/>
        </w:rPr>
        <w:t>在数据处理环节，系统首先对原始样本实施基础统计分析与异常值检测，并针对类别极端不均衡问题引入类别过滤与 Unknown 类下采样策略。依据数据探索报告，原始样本规模为 99900 条，目标类别数为 662 个；在保留样本数不少于 50 的类别后，训练候选类别缩减为 125 个，从而显著缓解极端长尾分布带来的学习困难。在特征工程环节，系统采用主成分分析与 LASSO 特征选择构建紧凑输入特征，其中 PCA 的前两个主成分累计解释方差达到 0.9800，LASSO 最终保留 6 个关键特征，形成以经纬度、国家、科、体长与颜色为主的分类特征集合。</w:t>
      </w:r>
    </w:p>
    <w:p w14:paraId="2AB9BF67">
      <w:pPr>
        <w:pStyle w:val="20"/>
        <w:rPr>
          <w:color w:val="auto"/>
          <w:lang w:eastAsia="zh-CN"/>
        </w:rPr>
      </w:pPr>
      <w:r>
        <w:rPr>
          <w:color w:val="auto"/>
          <w:lang w:eastAsia="zh-CN"/>
        </w:rPr>
        <w:t>在模型训练环节，系统设计了随机森林、支持向量机、XGBoost 与 K 近邻四类候选模型，并结合随机搜索、网格搜索和交叉验证完成参数寻优。模型评价以宏平均 F1 值为优先指标，同时综合考虑准确率、平衡准确率、Top-3 准确率、未知预测占比和已知类准确率等指标。在当前训练结果中，XGBoost 取得最优宏平均 F1 值 0.3237，对应准确率 0.4015、Top-3 准确率 0.7230。进一步的参数扫描实验表明，当 Unknown 占比上限设置为 0.25 时，宏平均 F1 可提升至 0.3689，表现出较好的类别均衡性。</w:t>
      </w:r>
    </w:p>
    <w:p w14:paraId="32F0A7D6">
      <w:pPr>
        <w:pStyle w:val="20"/>
        <w:rPr>
          <w:color w:val="auto"/>
          <w:lang w:eastAsia="zh-CN"/>
        </w:rPr>
      </w:pPr>
      <w:r>
        <w:rPr>
          <w:color w:val="auto"/>
          <w:lang w:eastAsia="zh-CN"/>
        </w:rPr>
        <w:t>系统除提供模型训练与评估功能外，还实现了分类预测页面、模型信息页面与统计可视化页面，支持特征表单输入、Top-3 结果输出、置信度分级、图表查看和接口测试。接口实测表明，/health、/api/features、/api/model-info、/api/stats 等端点均可稳定返回结构化结果，/api/predict 能够输出预测类别、置信度与候选类别集合。系统具备较好的模块化程度和复现能力，可为生物分类数据的智能判别、教学演示和后续开放集识别研究提供实现基础。</w:t>
      </w:r>
    </w:p>
    <w:p w14:paraId="55639947">
      <w:pPr>
        <w:pStyle w:val="20"/>
        <w:rPr>
          <w:color w:val="auto"/>
          <w:lang w:eastAsia="zh-CN"/>
        </w:rPr>
      </w:pPr>
      <w:r>
        <w:rPr>
          <w:b/>
          <w:bCs/>
          <w:color w:val="auto"/>
          <w:lang w:eastAsia="zh-CN"/>
        </w:rPr>
        <w:t>关键词：</w:t>
      </w:r>
      <w:r>
        <w:rPr>
          <w:color w:val="auto"/>
          <w:lang w:eastAsia="zh-CN"/>
        </w:rPr>
        <w:t xml:space="preserve"> 石蝇分类；机器学习；Flask；Vue 3；XGBoost；特征工程</w:t>
      </w:r>
    </w:p>
    <w:bookmarkEnd w:id="5"/>
    <w:p w14:paraId="68FC1F25">
      <w:pPr>
        <w:pStyle w:val="3"/>
        <w:rPr>
          <w:color w:val="auto"/>
        </w:rPr>
      </w:pPr>
      <w:bookmarkStart w:id="6" w:name="_Toc227613128"/>
      <w:bookmarkStart w:id="7" w:name="abstract"/>
      <w:r>
        <w:rPr>
          <w:color w:val="auto"/>
        </w:rPr>
        <w:t>Abstract</w:t>
      </w:r>
      <w:bookmarkEnd w:id="6"/>
    </w:p>
    <w:p w14:paraId="2B43ACED">
      <w:pPr>
        <w:rPr>
          <w:color w:val="auto"/>
        </w:rPr>
      </w:pPr>
      <w:r>
        <w:rPr>
          <w:color w:val="auto"/>
        </w:rPr>
        <w:t>Species identification in biological research is characterized by a large number of classes, long-tailed data distribution, and strong dependence on expert knowledge. For stonefly identification, a purely manual workflow is inefficient and becomes increasingly unstable when the class space continues to expand. A machine-learning-based stonefly classification system is therefore designed and implemented for tabular biological trait data. The system adopts a front-end and back-end separated architecture. Vue 3, TypeScript and Element Plus are used to construct the user interface, Flask is employed to provide prediction and visualization APIs, and scikit-learn together with XGBoost is adopted to accomplish data preprocessing, feature engineering, model training and model evaluation.</w:t>
      </w:r>
    </w:p>
    <w:p w14:paraId="5E4DDBCF">
      <w:pPr>
        <w:pStyle w:val="20"/>
        <w:rPr>
          <w:color w:val="auto"/>
        </w:rPr>
      </w:pPr>
      <w:r>
        <w:rPr>
          <w:color w:val="auto"/>
        </w:rPr>
        <w:t>The data exploration report shows that the original dataset contains 99900 samples and 662 species labels. After filtering categories with fewer than 50 samples, 125 classes are retained for model training. To alleviate severe class imbalance, an Unknown downsampling mechanism is further introduced. In feature engineering, principal component analysis and LASSO-based feature selection are applied. The first two principal components explain 0.9800 of cumulative variance, and 6 informative features are finally selected. Four models, namely Random Forest, Support Vector Machine, XGBoost and K-Nearest Neighbors, are trained and compared with cross-validation and parameter search. Macro-F1 is used as the primary criterion, while accuracy, balanced accuracy, Top-3 accuracy, unknown prediction rate and known-only accuracy are jointly considered.</w:t>
      </w:r>
    </w:p>
    <w:p w14:paraId="6BF67AA0">
      <w:pPr>
        <w:pStyle w:val="20"/>
        <w:rPr>
          <w:color w:val="auto"/>
        </w:rPr>
      </w:pPr>
      <w:r>
        <w:rPr>
          <w:color w:val="auto"/>
        </w:rPr>
        <w:t>Experimental results indicate that XGBoost achieves the best macro-F1 score of 0.3237 under the current configuration. The corresponding accuracy and Top-3 accuracy are 0.4015 and 0.7230, respectively. A parameter sweep on the Unknown cap ratio demonstrates that a cap of 0.25 can further increase macro-F1 to 0.3689. In addition to model training and evaluation, the system implements a home page, a prediction page and a dashboard page, supporting feature submission, Top-3 result presentation, confidence grading and visualization browsing. API testing confirms that the service endpoints return structured responses stably and that the prediction endpoint outputs category labels, confidence scores and candidate classes effectively. The system provides a reproducible engineering basis for intelligent biological classification, educational demonstration and future open-set recognition extension.</w:t>
      </w:r>
    </w:p>
    <w:p w14:paraId="69CB3193">
      <w:pPr>
        <w:pStyle w:val="20"/>
        <w:rPr>
          <w:color w:val="auto"/>
        </w:rPr>
      </w:pPr>
      <w:r>
        <w:rPr>
          <w:b/>
          <w:bCs/>
          <w:color w:val="auto"/>
        </w:rPr>
        <w:t>Keywords:</w:t>
      </w:r>
      <w:r>
        <w:rPr>
          <w:color w:val="auto"/>
        </w:rPr>
        <w:t xml:space="preserve"> stonefly classification; machine learning; Flask; Vue 3; XGBoost; feature engineering</w:t>
      </w:r>
    </w:p>
    <w:bookmarkEnd w:id="7"/>
    <w:p w14:paraId="3339D282">
      <w:pPr>
        <w:pStyle w:val="3"/>
        <w:rPr>
          <w:color w:val="auto"/>
          <w:lang w:eastAsia="zh-CN"/>
        </w:rPr>
      </w:pPr>
      <w:bookmarkStart w:id="8" w:name="_Toc227613129"/>
      <w:bookmarkStart w:id="9" w:name="目录"/>
      <w:r>
        <w:rPr>
          <w:color w:val="auto"/>
          <w:lang w:eastAsia="zh-CN"/>
        </w:rPr>
        <w:t>目录</w:t>
      </w:r>
      <w:bookmarkEnd w:id="8"/>
    </w:p>
    <w:bookmarkEnd w:id="9"/>
    <w:p w14:paraId="4C4D939A">
      <w:pPr>
        <w:pStyle w:val="3"/>
        <w:rPr>
          <w:color w:val="auto"/>
          <w:lang w:eastAsia="zh-CN"/>
        </w:rPr>
      </w:pPr>
      <w:bookmarkStart w:id="10" w:name="_Toc227613130"/>
      <w:bookmarkStart w:id="11" w:name="第1章-绪论"/>
      <w:r>
        <w:rPr>
          <w:color w:val="auto"/>
          <w:lang w:eastAsia="zh-CN"/>
        </w:rPr>
        <w:t>第1章 绪论</w:t>
      </w:r>
      <w:bookmarkEnd w:id="10"/>
    </w:p>
    <w:p w14:paraId="572454A2">
      <w:pPr>
        <w:pStyle w:val="4"/>
        <w:rPr>
          <w:color w:val="auto"/>
          <w:lang w:eastAsia="zh-CN"/>
        </w:rPr>
      </w:pPr>
      <w:bookmarkStart w:id="12" w:name="_Toc227613131"/>
      <w:bookmarkStart w:id="13" w:name="研究背景"/>
      <w:r>
        <w:rPr>
          <w:color w:val="auto"/>
          <w:lang w:eastAsia="zh-CN"/>
        </w:rPr>
        <w:t>1.1 研究背景</w:t>
      </w:r>
      <w:bookmarkEnd w:id="12"/>
    </w:p>
    <w:p w14:paraId="27CFB4F4">
      <w:pPr>
        <w:rPr>
          <w:color w:val="auto"/>
          <w:lang w:eastAsia="zh-CN"/>
        </w:rPr>
      </w:pPr>
      <w:r>
        <w:rPr>
          <w:color w:val="auto"/>
          <w:lang w:eastAsia="zh-CN"/>
        </w:rPr>
        <w:t>在生物多样性研究、生态监测与环境评价等应用场景中，物种识别始终是数据采集链路中的关键环节。石蝇作为淡水生态环境评价中的重要指示类群，其分布位置、科级分类、体长和颜色等属性与水体生态状态具有较强相关性。因此，围绕石蝇样本构建准确、可复用且便于部署的智能分类系统，对于提升分类效率和支撑生态数据分析具有明显价值。</w:t>
      </w:r>
    </w:p>
    <w:p w14:paraId="665DAFE8">
      <w:pPr>
        <w:pStyle w:val="20"/>
        <w:rPr>
          <w:color w:val="auto"/>
          <w:lang w:eastAsia="zh-CN"/>
        </w:rPr>
      </w:pPr>
      <w:r>
        <w:rPr>
          <w:color w:val="auto"/>
          <w:lang w:eastAsia="zh-CN"/>
        </w:rPr>
        <w:t>传统石蝇识别主要依赖分类学专家根据形态结构、地理分布和经验规则进行人工判读。这一方式在小规模样本条件下具有较好的解释性，但当样本规模达到万级甚至更高、物种数目进入长尾分布后，人工流程在效率、一致性和扩展性方面均面临约束。尤其是在样本类间边界模糊、Unknown 类比例偏高以及字段取值存在离散化差异时，纯粹依赖人工经验难以满足实时推断与统一评估的要求。</w:t>
      </w:r>
    </w:p>
    <w:p w14:paraId="33324B1F">
      <w:pPr>
        <w:pStyle w:val="20"/>
        <w:rPr>
          <w:color w:val="auto"/>
          <w:lang w:eastAsia="zh-CN"/>
        </w:rPr>
      </w:pPr>
      <w:r>
        <w:rPr>
          <w:color w:val="auto"/>
          <w:lang w:eastAsia="zh-CN"/>
        </w:rPr>
        <w:t>机器学习方法为表格型生物特征识别提供了新的工程路径。与图像分类场景不同，石蝇分类数据并不直接来源于显微图像，而是以经纬度、国家、科、体长、颜色与头部特征等结构化字段构成。该类数据天然适合基于树模型、支持向量机与距离度量模型进行建模。相较深度卷积网络，传统机器学习方法在中等维度表格数据上具有训练成本可控、解释性较强和部署负担较低等优势，更适合作为本科阶段面向工程实现的研究对象。</w:t>
      </w:r>
    </w:p>
    <w:p w14:paraId="2B78B70F">
      <w:pPr>
        <w:pStyle w:val="20"/>
        <w:rPr>
          <w:color w:val="auto"/>
          <w:lang w:eastAsia="zh-CN"/>
        </w:rPr>
      </w:pPr>
      <w:r>
        <w:rPr>
          <w:color w:val="auto"/>
          <w:lang w:eastAsia="zh-CN"/>
        </w:rPr>
        <w:t>从系统实现角度看，分类算法本身并不足以构成完整应用。现实场景还要求系统提供数据探索、预处理、模型对比、结果展示和接口服务等完整链路，使算法能力转化为可交互的软件能力。基于此，围绕石蝇结构化数据构建一个从训练到部署贯通的 Web 分类系统，既能够体现计算机专业对数据处理、算法实现与软件工程集成的综合要求，也能够形成具有可演示性和可扩展性的毕业设计成果。</w:t>
      </w:r>
    </w:p>
    <w:bookmarkEnd w:id="13"/>
    <w:p w14:paraId="51138946">
      <w:pPr>
        <w:pStyle w:val="4"/>
        <w:rPr>
          <w:color w:val="auto"/>
          <w:lang w:eastAsia="zh-CN"/>
        </w:rPr>
      </w:pPr>
      <w:bookmarkStart w:id="14" w:name="_Toc227613132"/>
      <w:bookmarkStart w:id="15" w:name="研究目的与意义"/>
      <w:r>
        <w:rPr>
          <w:color w:val="auto"/>
          <w:lang w:eastAsia="zh-CN"/>
        </w:rPr>
        <w:t>1.2 研究目的与意义</w:t>
      </w:r>
      <w:bookmarkEnd w:id="14"/>
    </w:p>
    <w:p w14:paraId="75861F90">
      <w:pPr>
        <w:pStyle w:val="5"/>
        <w:rPr>
          <w:color w:val="auto"/>
          <w:lang w:eastAsia="zh-CN"/>
        </w:rPr>
      </w:pPr>
      <w:bookmarkStart w:id="16" w:name="_Toc227613133"/>
      <w:bookmarkStart w:id="17" w:name="理论意义"/>
      <w:r>
        <w:rPr>
          <w:color w:val="auto"/>
          <w:lang w:eastAsia="zh-CN"/>
        </w:rPr>
        <w:t>1.2.1 理论意义</w:t>
      </w:r>
      <w:bookmarkEnd w:id="16"/>
    </w:p>
    <w:p w14:paraId="3575CF0D">
      <w:pPr>
        <w:rPr>
          <w:color w:val="auto"/>
        </w:rPr>
      </w:pPr>
      <w:r>
        <w:rPr>
          <w:color w:val="auto"/>
        </w:rPr>
        <w:t>本文的研究对象并非单纯的模型精度追求，而是面向长尾类别结构、Unknown 类干扰和有限特征维度条件下的工程化分类流程设计。系统以表格型生物分类数据为中心，将数据探索、类别过滤、Unknown 比例约束、LASSO 特征选择和多模型比较纳入统一框架，能够为同类生态样本的结构化识别问题提供可借鉴的系统设计思路。</w:t>
      </w:r>
    </w:p>
    <w:p w14:paraId="0394E365">
      <w:pPr>
        <w:pStyle w:val="20"/>
        <w:rPr>
          <w:color w:val="auto"/>
        </w:rPr>
      </w:pPr>
      <w:r>
        <w:rPr>
          <w:color w:val="auto"/>
        </w:rPr>
        <w:t>同时，系统在评价阶段不仅使用准确率，还引入宏平均 F1、平衡准确率、Top-3 准确率、未知预测占比与已知类准确率等多维指标。这种评价体系适合长尾类别和开放集近似场景，避免仅凭总体准确率掩盖小样本类别识别能力不足的问题，对表格分类任务的评价设计具有一定方法参考价值。</w:t>
      </w:r>
    </w:p>
    <w:bookmarkEnd w:id="17"/>
    <w:p w14:paraId="01E4399D">
      <w:pPr>
        <w:pStyle w:val="5"/>
        <w:rPr>
          <w:color w:val="auto"/>
        </w:rPr>
      </w:pPr>
      <w:bookmarkStart w:id="18" w:name="_Toc227613134"/>
      <w:bookmarkStart w:id="19" w:name="应用意义"/>
      <w:r>
        <w:rPr>
          <w:color w:val="auto"/>
        </w:rPr>
        <w:t>1.2.2 应用意义</w:t>
      </w:r>
      <w:bookmarkEnd w:id="18"/>
    </w:p>
    <w:p w14:paraId="2B82FE0C">
      <w:pPr>
        <w:rPr>
          <w:color w:val="auto"/>
        </w:rPr>
      </w:pPr>
      <w:r>
        <w:rPr>
          <w:color w:val="auto"/>
        </w:rPr>
        <w:t>从应用层面看，系统可以作为石蝇分类的辅助工具，为实验教学、生态监测数据处理和课程答辩演示提供可运行的软件基础。用户仅需输入七项结构化特征，即可获得预测类别、置信度和 Top-3 候选结果，降低了重复性人工检索成本。</w:t>
      </w:r>
    </w:p>
    <w:p w14:paraId="5B58ED2C">
      <w:pPr>
        <w:pStyle w:val="20"/>
        <w:rPr>
          <w:color w:val="auto"/>
        </w:rPr>
      </w:pPr>
      <w:r>
        <w:rPr>
          <w:color w:val="auto"/>
        </w:rPr>
        <w:t>系统还具有较强的复现实验价值。一方面，训练脚本能够自动生成模型文件、测试集对象和可视化结果，适合用于参数对比与结果复验；另一方面，前后端分离结构使其易于移植到其他物种分类任务，仅需替换数据集和字段配置即可开展类似实验。对于计算机专业毕业设计而言，这种兼具算法实现和软件服务能力的系统更能体现综合培养目标。</w:t>
      </w:r>
    </w:p>
    <w:bookmarkEnd w:id="15"/>
    <w:bookmarkEnd w:id="19"/>
    <w:p w14:paraId="7D8FA784">
      <w:pPr>
        <w:pStyle w:val="4"/>
        <w:rPr>
          <w:color w:val="auto"/>
        </w:rPr>
      </w:pPr>
      <w:bookmarkStart w:id="20" w:name="_Toc227613135"/>
      <w:bookmarkStart w:id="21" w:name="国内外研究现状"/>
      <w:r>
        <w:rPr>
          <w:color w:val="auto"/>
        </w:rPr>
        <w:t>1.3 国内外研究现状</w:t>
      </w:r>
      <w:bookmarkEnd w:id="20"/>
    </w:p>
    <w:p w14:paraId="0B1A80CC">
      <w:pPr>
        <w:pStyle w:val="5"/>
        <w:rPr>
          <w:color w:val="auto"/>
        </w:rPr>
      </w:pPr>
      <w:bookmarkStart w:id="22" w:name="_Toc227613136"/>
      <w:bookmarkStart w:id="23" w:name="生物分类识别研究现状"/>
      <w:r>
        <w:rPr>
          <w:color w:val="auto"/>
        </w:rPr>
        <w:t>1.3.1 生物分类识别研究现状</w:t>
      </w:r>
      <w:bookmarkEnd w:id="22"/>
    </w:p>
    <w:p w14:paraId="12CBBFBE">
      <w:pPr>
        <w:rPr>
          <w:color w:val="auto"/>
        </w:rPr>
      </w:pPr>
      <w:r>
        <w:rPr>
          <w:color w:val="auto"/>
        </w:rPr>
        <w:t>物种识别长期是生物信息学与生态信息学的重要研究方向。早期研究主要围绕人工规则、分类检索表与专家经验开展，随着数字化样本积累和计算能力提升，自动化识别逐步成为主流趋势。针对昆虫和淡水无脊椎动物的研究通常采用形态学指标、地理分布信息以及环境上下文特征建立统计或机器学习模型，以降低人工识别负担。</w:t>
      </w:r>
    </w:p>
    <w:p w14:paraId="2D87A741">
      <w:pPr>
        <w:pStyle w:val="20"/>
        <w:rPr>
          <w:color w:val="auto"/>
        </w:rPr>
      </w:pPr>
      <w:r>
        <w:rPr>
          <w:color w:val="auto"/>
        </w:rPr>
        <w:t>近年研究中，图像识别和 DNA 条形码方法发展迅速，但这两类方法均存在使用条件约束。图像方法依赖高质量成像环境和标注样本，而 DNA 方法具有实验成本较高和流程复杂的限制。对于已具备结构化形态字段的样本数据，基于表格特征的机器学习建模仍然具有现实意义，尤其适用于教学、数据整理和轻量化辅助判别等场景。</w:t>
      </w:r>
    </w:p>
    <w:bookmarkEnd w:id="23"/>
    <w:p w14:paraId="48282A2D">
      <w:pPr>
        <w:pStyle w:val="5"/>
        <w:rPr>
          <w:color w:val="auto"/>
        </w:rPr>
      </w:pPr>
      <w:bookmarkStart w:id="24" w:name="_Toc227613137"/>
      <w:bookmarkStart w:id="25" w:name="机器学习分类系统研究现状"/>
      <w:r>
        <w:rPr>
          <w:color w:val="auto"/>
        </w:rPr>
        <w:t>1.3.2 机器学习分类系统研究现状</w:t>
      </w:r>
      <w:bookmarkEnd w:id="24"/>
    </w:p>
    <w:p w14:paraId="47E6D7B7">
      <w:pPr>
        <w:rPr>
          <w:color w:val="auto"/>
        </w:rPr>
      </w:pPr>
      <w:r>
        <w:rPr>
          <w:color w:val="auto"/>
        </w:rPr>
        <w:t>在表格型分类任务中，随机森林、支持向量机、梯度提升树和 K 近邻等方法仍被广泛采用。Breiman 提出的随机森林通过多棵决策树集成显著提升了模型的稳健性[2]；Cortes 与 Vapnik 提出的支持向量机在高维非线性分类中表现稳定[3]；Chen 与 Guestrin 的 XGBoost 将正则化、二阶近似和并行计算结合，成为结构化数据竞赛和工业场景中的重要基线[4]；K 近邻则以简单直接、无显式训练参数的优势在小规模样本分类任务中保持可用性[7]。</w:t>
      </w:r>
    </w:p>
    <w:p w14:paraId="7DEE5960">
      <w:pPr>
        <w:pStyle w:val="20"/>
        <w:rPr>
          <w:color w:val="auto"/>
        </w:rPr>
      </w:pPr>
      <w:r>
        <w:rPr>
          <w:color w:val="auto"/>
        </w:rPr>
        <w:t>然而，单一分类算法并不能直接解决工程问题。现有系统研究更关注从数据处理、特征工程、参数搜索到服务部署的全流程组织方式。对于长尾类别数据，仅以总体准确率评价往往会掩盖小样本类别的识别不足，因此宏平均 F1、平衡准确率与候选集准确率等指标逐渐被引入实际系统评估之中。</w:t>
      </w:r>
    </w:p>
    <w:bookmarkEnd w:id="25"/>
    <w:p w14:paraId="3BE7A62C">
      <w:pPr>
        <w:pStyle w:val="5"/>
        <w:rPr>
          <w:color w:val="auto"/>
        </w:rPr>
      </w:pPr>
      <w:bookmarkStart w:id="26" w:name="_Toc227613138"/>
      <w:bookmarkStart w:id="27" w:name="可视化智能分析平台研究现状"/>
      <w:r>
        <w:rPr>
          <w:color w:val="auto"/>
        </w:rPr>
        <w:t>1.3.3 可视化智能分析平台研究现状</w:t>
      </w:r>
      <w:bookmarkEnd w:id="26"/>
    </w:p>
    <w:p w14:paraId="40DEA7D9">
      <w:pPr>
        <w:rPr>
          <w:color w:val="auto"/>
        </w:rPr>
      </w:pPr>
      <w:r>
        <w:rPr>
          <w:color w:val="auto"/>
        </w:rPr>
        <w:t>分类系统的工程价值通常取决于其服务化能力和可解释展示能力。现代智能分析平台普遍采用前后端分离架构，通过前端组件库实现表单录入、卡片式指标展示和图表加载，通过后端接口向前端返回模型结果与统计报告。Flask 等轻量级框架在科研原型系统中应用广泛，Vue 3 则因组件化能力和响应式机制成为数据可视化界面的常见选择。</w:t>
      </w:r>
    </w:p>
    <w:p w14:paraId="38D9FCB6">
      <w:pPr>
        <w:pStyle w:val="20"/>
        <w:rPr>
          <w:color w:val="auto"/>
        </w:rPr>
      </w:pPr>
      <w:r>
        <w:rPr>
          <w:color w:val="auto"/>
        </w:rPr>
        <w:t>面向本科毕业设计的智能分类系统，应避免过度追求复杂微服务和分布式部署，而应强调可运行性、模块边界清晰性和实验可复现性。基于这一原则，本文围绕石蝇分类任务构建了一个紧凑而完整的单体式智能分类系统，使算法模块与 Web 展示模块在统一工程中协同运行。</w:t>
      </w:r>
    </w:p>
    <w:bookmarkEnd w:id="21"/>
    <w:bookmarkEnd w:id="27"/>
    <w:p w14:paraId="1DC09388">
      <w:pPr>
        <w:pStyle w:val="4"/>
        <w:rPr>
          <w:color w:val="auto"/>
        </w:rPr>
      </w:pPr>
      <w:bookmarkStart w:id="28" w:name="_Toc227613139"/>
      <w:bookmarkStart w:id="29" w:name="研究内容"/>
      <w:r>
        <w:rPr>
          <w:color w:val="auto"/>
        </w:rPr>
        <w:t>1.4 研究内容</w:t>
      </w:r>
      <w:bookmarkEnd w:id="28"/>
    </w:p>
    <w:p w14:paraId="7FE891D5">
      <w:pPr>
        <w:rPr>
          <w:color w:val="auto"/>
        </w:rPr>
      </w:pPr>
      <w:r>
        <w:rPr>
          <w:color w:val="auto"/>
        </w:rPr>
        <w:t>本文围绕石蝇分类系统的设计与实现开展研究，主要内容包括以下几个方面。</w:t>
      </w:r>
    </w:p>
    <w:p w14:paraId="182F98E2">
      <w:pPr>
        <w:pStyle w:val="20"/>
        <w:rPr>
          <w:color w:val="auto"/>
        </w:rPr>
      </w:pPr>
      <w:r>
        <w:rPr>
          <w:color w:val="auto"/>
        </w:rPr>
        <w:t>第一，完成原始数据集的探索性分析。系统读取 CSV 格式样本文件，对样本规模、特征类型、缺失值比例、类别分布和异常值情况进行统计，并以 JSON 报告形式输出结果。</w:t>
      </w:r>
    </w:p>
    <w:p w14:paraId="7508DD5B">
      <w:pPr>
        <w:pStyle w:val="20"/>
        <w:rPr>
          <w:color w:val="auto"/>
        </w:rPr>
      </w:pPr>
      <w:r>
        <w:rPr>
          <w:color w:val="auto"/>
        </w:rPr>
        <w:t>第二，设计面向长尾类别的预处理策略。系统对缺失值和异常值进行统一处理，并对分类型字段实施标签编码，对数值型字段进行标准化；同时依据类别样本阈值筛除极端稀疏类别，并对 Unknown Stonefly 类实施占比上限控制。</w:t>
      </w:r>
    </w:p>
    <w:p w14:paraId="7020E24B">
      <w:pPr>
        <w:pStyle w:val="20"/>
        <w:rPr>
          <w:color w:val="auto"/>
        </w:rPr>
      </w:pPr>
      <w:r>
        <w:rPr>
          <w:color w:val="auto"/>
        </w:rPr>
        <w:t>第三，构建多模型训练与特征工程流程。系统采用 PCA 和 LASSO 对输入特征进行分析与选择，在此基础上训练随机森林、支持向量机、XGBoost 和 K 近邻模型，通过交叉验证和参数搜索完成候选模型优化。</w:t>
      </w:r>
    </w:p>
    <w:p w14:paraId="3896495D">
      <w:pPr>
        <w:pStyle w:val="20"/>
        <w:rPr>
          <w:color w:val="auto"/>
        </w:rPr>
      </w:pPr>
      <w:r>
        <w:rPr>
          <w:color w:val="auto"/>
        </w:rPr>
        <w:t>第四，实现分类预测与结果展示服务。系统通过 Flask 对外提供特征说明、预测、模型信息和统计信息接口，并通过 Vue 3 前端实现首页、预测页和数据大屏页面。</w:t>
      </w:r>
    </w:p>
    <w:p w14:paraId="788940D6">
      <w:pPr>
        <w:pStyle w:val="20"/>
        <w:rPr>
          <w:color w:val="auto"/>
        </w:rPr>
      </w:pPr>
      <w:r>
        <w:rPr>
          <w:color w:val="auto"/>
        </w:rPr>
        <w:t>第五，开展模型实验与系统测试。系统在保存的测试集上对不同模型进行对比，并通过 Unknown 占比上限参数扫描分析数据平衡策略对模型性能的影响，同时完成接口与功能层面的验证。</w:t>
      </w:r>
    </w:p>
    <w:bookmarkEnd w:id="11"/>
    <w:bookmarkEnd w:id="29"/>
    <w:p w14:paraId="6554DF28">
      <w:pPr>
        <w:pStyle w:val="3"/>
        <w:rPr>
          <w:color w:val="auto"/>
        </w:rPr>
      </w:pPr>
      <w:bookmarkStart w:id="30" w:name="_Toc227613141"/>
      <w:bookmarkStart w:id="31" w:name="第2章-相关技术与理论基础"/>
      <w:r>
        <w:rPr>
          <w:color w:val="auto"/>
        </w:rPr>
        <w:t>第2章 相关技术与理论基础</w:t>
      </w:r>
      <w:bookmarkEnd w:id="30"/>
    </w:p>
    <w:p w14:paraId="0401E737">
      <w:pPr>
        <w:pStyle w:val="4"/>
        <w:rPr>
          <w:color w:val="auto"/>
        </w:rPr>
      </w:pPr>
      <w:bookmarkStart w:id="32" w:name="_Toc227613142"/>
      <w:bookmarkStart w:id="33" w:name="系统总体技术路线"/>
      <w:r>
        <w:rPr>
          <w:color w:val="auto"/>
        </w:rPr>
        <w:t>2.1 系统总体技术路线</w:t>
      </w:r>
      <w:bookmarkEnd w:id="32"/>
    </w:p>
    <w:p w14:paraId="580FC8C0">
      <w:pPr>
        <w:rPr>
          <w:color w:val="auto"/>
        </w:rPr>
      </w:pPr>
      <w:r>
        <w:rPr>
          <w:color w:val="auto"/>
        </w:rPr>
        <w:t>系统技术路线遵循“结构化数据治理—特征选择—多模型训练—综合评估—接口服务化—前端展示”的组织方式。与单纯以训练脚本输出分类结果的实验不同，该技术路线强调算法流程与软件功能的统一。训练阶段负责生成预处理器、特征选择器、候选模型、测试集及各类图表；部署阶段通过接口复用这些中间对象，实现预测与展示的分离。</w:t>
      </w:r>
    </w:p>
    <w:p w14:paraId="70954830">
      <w:pPr>
        <w:pStyle w:val="20"/>
        <w:rPr>
          <w:color w:val="auto"/>
        </w:rPr>
      </w:pPr>
      <w:r>
        <w:rPr>
          <w:color w:val="auto"/>
        </w:rPr>
        <w:t>从工程角度看，系统主要由前端展示层、后端接口层、机器学习流程层和文件化存储层构成。前端承担用户交互和结果可视化，后端负责请求解析和对象加载，机器学习流程层负责离线训练、评价和可视化输出，文件化存储层则承接 CSV、PKL、NPZ、JSON 与 PNG 等多种对象。技术栈配置如表2-1所示。</w:t>
      </w:r>
    </w:p>
    <w:p w14:paraId="590B6AB8">
      <w:pPr>
        <w:pStyle w:val="20"/>
        <w:rPr>
          <w:color w:val="auto"/>
        </w:rPr>
      </w:pPr>
      <w:r>
        <w:rPr>
          <w:color w:val="auto"/>
        </w:rPr>
        <w:t>表2-1 系统主要技术栈</w:t>
      </w:r>
      <w:r>
        <w:rPr>
          <w:color w:val="auto"/>
        </w:rPr>
        <w:br w:type="textWrapping"/>
      </w:r>
    </w:p>
    <w:tbl>
      <w:tblPr>
        <w:tblStyle w:val="41"/>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9"/>
        <w:gridCol w:w="2289"/>
        <w:gridCol w:w="4042"/>
      </w:tblGrid>
      <w:tr w14:paraId="5A45A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4ABD1B0">
            <w:pPr>
              <w:pStyle w:val="20"/>
              <w:ind w:left="0" w:leftChars="0" w:firstLine="0" w:firstLineChars="0"/>
              <w:rPr>
                <w:color w:val="auto"/>
              </w:rPr>
            </w:pPr>
            <w:r>
              <w:rPr>
                <w:color w:val="auto"/>
                <w:lang w:val="en-US" w:eastAsia="zh-CN"/>
              </w:rPr>
              <w:t>层次</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93C2DBE">
            <w:pPr>
              <w:pStyle w:val="20"/>
              <w:rPr>
                <w:color w:val="auto"/>
              </w:rPr>
            </w:pPr>
            <w:r>
              <w:rPr>
                <w:color w:val="auto"/>
                <w:lang w:val="en-US" w:eastAsia="zh-CN"/>
              </w:rPr>
              <w:t>技术或框架</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AE133BC">
            <w:pPr>
              <w:pStyle w:val="20"/>
              <w:rPr>
                <w:color w:val="auto"/>
              </w:rPr>
            </w:pPr>
            <w:r>
              <w:rPr>
                <w:color w:val="auto"/>
                <w:lang w:val="en-US" w:eastAsia="zh-CN"/>
              </w:rPr>
              <w:t>作用</w:t>
            </w:r>
          </w:p>
        </w:tc>
      </w:tr>
      <w:tr w14:paraId="7334B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7B7609A">
            <w:pPr>
              <w:pStyle w:val="20"/>
              <w:ind w:left="0" w:leftChars="0" w:firstLine="0" w:firstLineChars="0"/>
              <w:rPr>
                <w:color w:val="auto"/>
              </w:rPr>
            </w:pPr>
            <w:r>
              <w:rPr>
                <w:color w:val="auto"/>
                <w:lang w:val="en-US" w:eastAsia="zh-CN"/>
              </w:rPr>
              <w:t>表示层</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98A1E9F">
            <w:pPr>
              <w:pStyle w:val="20"/>
              <w:ind w:left="0" w:leftChars="0" w:firstLine="0" w:firstLineChars="0"/>
              <w:rPr>
                <w:color w:val="auto"/>
              </w:rPr>
            </w:pPr>
            <w:r>
              <w:rPr>
                <w:color w:val="auto"/>
                <w:lang w:val="en-US" w:eastAsia="zh-CN"/>
              </w:rPr>
              <w:t>Vue 3 + TypeScript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682AE83">
            <w:pPr>
              <w:pStyle w:val="20"/>
              <w:ind w:left="0" w:leftChars="0" w:firstLine="0" w:firstLineChars="0"/>
              <w:rPr>
                <w:color w:val="auto"/>
              </w:rPr>
            </w:pPr>
            <w:r>
              <w:rPr>
                <w:color w:val="auto"/>
                <w:lang w:val="en-US" w:eastAsia="zh-CN"/>
              </w:rPr>
              <w:t>构建单页应用界面、页面路由与类型化交互逻辑</w:t>
            </w:r>
          </w:p>
        </w:tc>
      </w:tr>
      <w:tr w14:paraId="29E9C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8F3D5FC">
            <w:pPr>
              <w:pStyle w:val="20"/>
              <w:ind w:left="0" w:leftChars="0" w:firstLine="0" w:firstLineChars="0"/>
              <w:rPr>
                <w:color w:val="auto"/>
              </w:rPr>
            </w:pPr>
            <w:r>
              <w:rPr>
                <w:color w:val="auto"/>
                <w:lang w:val="en-US" w:eastAsia="zh-CN"/>
              </w:rPr>
              <w:t>UI 组件层</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79DEF78">
            <w:pPr>
              <w:pStyle w:val="20"/>
              <w:ind w:left="0" w:leftChars="0" w:firstLine="0" w:firstLineChars="0"/>
              <w:rPr>
                <w:color w:val="auto"/>
              </w:rPr>
            </w:pPr>
            <w:r>
              <w:rPr>
                <w:color w:val="auto"/>
                <w:lang w:val="en-US" w:eastAsia="zh-CN"/>
              </w:rPr>
              <w:t>Element Plus</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25907D2">
            <w:pPr>
              <w:pStyle w:val="20"/>
              <w:ind w:left="0" w:leftChars="0" w:firstLine="0" w:firstLineChars="0"/>
              <w:rPr>
                <w:color w:val="auto"/>
              </w:rPr>
            </w:pPr>
            <w:r>
              <w:rPr>
                <w:color w:val="auto"/>
                <w:lang w:val="en-US" w:eastAsia="zh-CN"/>
              </w:rPr>
              <w:t>实现表单、卡片、表格、统计卡片与消息提示</w:t>
            </w:r>
          </w:p>
        </w:tc>
      </w:tr>
      <w:tr w14:paraId="7500C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A880DDF">
            <w:pPr>
              <w:pStyle w:val="20"/>
              <w:ind w:left="0" w:leftChars="0" w:firstLine="0" w:firstLineChars="0"/>
              <w:rPr>
                <w:color w:val="auto"/>
              </w:rPr>
            </w:pPr>
            <w:r>
              <w:rPr>
                <w:color w:val="auto"/>
                <w:lang w:val="en-US" w:eastAsia="zh-CN"/>
              </w:rPr>
              <w:t>通信层</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DA7FD82">
            <w:pPr>
              <w:pStyle w:val="20"/>
              <w:ind w:left="0" w:leftChars="0" w:firstLine="0" w:firstLineChars="0"/>
              <w:rPr>
                <w:color w:val="auto"/>
              </w:rPr>
            </w:pPr>
            <w:r>
              <w:rPr>
                <w:color w:val="auto"/>
                <w:lang w:val="en-US" w:eastAsia="zh-CN"/>
              </w:rPr>
              <w:t>Axios + Vite Proxy</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F320F53">
            <w:pPr>
              <w:pStyle w:val="20"/>
              <w:ind w:left="0" w:leftChars="0" w:firstLine="0" w:firstLineChars="0"/>
              <w:rPr>
                <w:color w:val="auto"/>
              </w:rPr>
            </w:pPr>
            <w:r>
              <w:rPr>
                <w:color w:val="auto"/>
                <w:lang w:val="en-US" w:eastAsia="zh-CN"/>
              </w:rPr>
              <w:t>封装 HTTP 请求并代理到 Flask 接口</w:t>
            </w:r>
          </w:p>
        </w:tc>
      </w:tr>
      <w:tr w14:paraId="02CA9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93A64F1">
            <w:pPr>
              <w:pStyle w:val="20"/>
              <w:ind w:left="0" w:leftChars="0" w:firstLine="0" w:firstLineChars="0"/>
              <w:rPr>
                <w:color w:val="auto"/>
              </w:rPr>
            </w:pPr>
            <w:r>
              <w:rPr>
                <w:color w:val="auto"/>
                <w:lang w:val="en-US" w:eastAsia="zh-CN"/>
              </w:rPr>
              <w:t>服务层</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0A51245">
            <w:pPr>
              <w:pStyle w:val="20"/>
              <w:ind w:left="0" w:leftChars="0" w:firstLine="0" w:firstLineChars="0"/>
              <w:rPr>
                <w:color w:val="auto"/>
              </w:rPr>
            </w:pPr>
            <w:r>
              <w:rPr>
                <w:color w:val="auto"/>
                <w:lang w:val="en-US" w:eastAsia="zh-CN"/>
              </w:rPr>
              <w:t>Flask + Flask-CORS</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C629A66">
            <w:pPr>
              <w:pStyle w:val="20"/>
              <w:ind w:left="0" w:leftChars="0" w:firstLine="0" w:firstLineChars="0"/>
              <w:rPr>
                <w:color w:val="auto"/>
              </w:rPr>
            </w:pPr>
            <w:r>
              <w:rPr>
                <w:color w:val="auto"/>
                <w:lang w:val="en-US" w:eastAsia="zh-CN"/>
              </w:rPr>
              <w:t>提供预测、统计、模型信息与可视化资源接口</w:t>
            </w:r>
          </w:p>
        </w:tc>
      </w:tr>
      <w:tr w14:paraId="4D84D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9FB3AAF">
            <w:pPr>
              <w:pStyle w:val="20"/>
              <w:ind w:left="0" w:leftChars="0" w:firstLine="0" w:firstLineChars="0"/>
              <w:rPr>
                <w:color w:val="auto"/>
              </w:rPr>
            </w:pPr>
            <w:r>
              <w:rPr>
                <w:color w:val="auto"/>
                <w:lang w:val="en-US" w:eastAsia="zh-CN"/>
              </w:rPr>
              <w:t>算法层</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7E2FA62">
            <w:pPr>
              <w:pStyle w:val="20"/>
              <w:ind w:left="0" w:leftChars="0" w:firstLine="0" w:firstLineChars="0"/>
              <w:rPr>
                <w:color w:val="auto"/>
              </w:rPr>
            </w:pPr>
            <w:r>
              <w:rPr>
                <w:color w:val="auto"/>
                <w:lang w:val="en-US" w:eastAsia="zh-CN"/>
              </w:rPr>
              <w:t>scikit-learn+XGBoost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D21872C">
            <w:pPr>
              <w:pStyle w:val="20"/>
              <w:ind w:left="0" w:leftChars="0" w:firstLine="0" w:firstLineChars="0"/>
              <w:rPr>
                <w:color w:val="auto"/>
              </w:rPr>
            </w:pPr>
            <w:r>
              <w:rPr>
                <w:color w:val="auto"/>
                <w:lang w:val="en-US" w:eastAsia="zh-CN"/>
              </w:rPr>
              <w:t>完成预处理、特征工程、多模型训练与评估</w:t>
            </w:r>
          </w:p>
        </w:tc>
      </w:tr>
      <w:tr w14:paraId="34E9E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8FF1862">
            <w:pPr>
              <w:pStyle w:val="20"/>
              <w:ind w:left="0" w:leftChars="0" w:firstLine="0" w:firstLineChars="0"/>
              <w:rPr>
                <w:color w:val="auto"/>
              </w:rPr>
            </w:pPr>
            <w:r>
              <w:rPr>
                <w:color w:val="auto"/>
                <w:lang w:val="en-US" w:eastAsia="zh-CN"/>
              </w:rPr>
              <w:t>数据处理层</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59AE917">
            <w:pPr>
              <w:pStyle w:val="20"/>
              <w:ind w:left="0" w:leftChars="0" w:firstLine="0" w:firstLineChars="0"/>
              <w:rPr>
                <w:color w:val="auto"/>
              </w:rPr>
            </w:pPr>
            <w:r>
              <w:rPr>
                <w:color w:val="auto"/>
                <w:lang w:val="en-US" w:eastAsia="zh-CN"/>
              </w:rPr>
              <w:t>pandas+numpy</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DF323F3">
            <w:pPr>
              <w:pStyle w:val="20"/>
              <w:ind w:left="0" w:leftChars="0" w:firstLine="0" w:firstLineChars="0"/>
              <w:rPr>
                <w:color w:val="auto"/>
              </w:rPr>
            </w:pPr>
            <w:r>
              <w:rPr>
                <w:color w:val="auto"/>
                <w:lang w:val="en-US" w:eastAsia="zh-CN"/>
              </w:rPr>
              <w:t>实现CSV读取、统计分析与数组持久化</w:t>
            </w:r>
          </w:p>
        </w:tc>
      </w:tr>
      <w:tr w14:paraId="4DE46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0840DF6">
            <w:pPr>
              <w:pStyle w:val="20"/>
              <w:ind w:left="0" w:leftChars="0" w:firstLine="0" w:firstLineChars="0"/>
              <w:rPr>
                <w:color w:val="auto"/>
              </w:rPr>
            </w:pPr>
            <w:r>
              <w:rPr>
                <w:color w:val="auto"/>
                <w:lang w:val="en-US" w:eastAsia="zh-CN"/>
              </w:rPr>
              <w:t>可视化层</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801287A">
            <w:pPr>
              <w:pStyle w:val="20"/>
              <w:ind w:left="0" w:leftChars="0" w:firstLine="0" w:firstLineChars="0"/>
              <w:rPr>
                <w:color w:val="auto"/>
              </w:rPr>
            </w:pPr>
            <w:r>
              <w:rPr>
                <w:color w:val="auto"/>
                <w:lang w:val="en-US" w:eastAsia="zh-CN"/>
              </w:rPr>
              <w:t>matplotlib+seaborn</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8E20661">
            <w:pPr>
              <w:pStyle w:val="20"/>
              <w:ind w:left="0" w:leftChars="0" w:firstLine="0" w:firstLineChars="0"/>
              <w:rPr>
                <w:color w:val="auto"/>
              </w:rPr>
            </w:pPr>
            <w:r>
              <w:rPr>
                <w:color w:val="auto"/>
                <w:lang w:val="en-US" w:eastAsia="zh-CN"/>
              </w:rPr>
              <w:t>生成类别分布、相关矩阵与模型比较图</w:t>
            </w:r>
          </w:p>
        </w:tc>
      </w:tr>
      <w:tr w14:paraId="49728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392063D">
            <w:pPr>
              <w:pStyle w:val="20"/>
              <w:ind w:left="0" w:leftChars="0" w:firstLine="0" w:firstLineChars="0"/>
              <w:rPr>
                <w:color w:val="auto"/>
              </w:rPr>
            </w:pPr>
            <w:r>
              <w:rPr>
                <w:color w:val="auto"/>
                <w:lang w:val="en-US" w:eastAsia="zh-CN"/>
              </w:rPr>
              <w:t>测试层</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B2FF59D">
            <w:pPr>
              <w:pStyle w:val="20"/>
              <w:ind w:left="0" w:leftChars="0" w:firstLine="0" w:firstLineChars="0"/>
              <w:rPr>
                <w:color w:val="auto"/>
              </w:rPr>
            </w:pPr>
            <w:r>
              <w:rPr>
                <w:color w:val="auto"/>
                <w:lang w:val="en-US" w:eastAsia="zh-CN"/>
              </w:rPr>
              <w:t>pytest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74338E6">
            <w:pPr>
              <w:pStyle w:val="20"/>
              <w:ind w:left="0" w:leftChars="0" w:firstLine="0" w:firstLineChars="0"/>
              <w:rPr>
                <w:color w:val="auto"/>
              </w:rPr>
            </w:pPr>
            <w:r>
              <w:rPr>
                <w:color w:val="auto"/>
                <w:lang w:val="en-US" w:eastAsia="zh-CN"/>
              </w:rPr>
              <w:t>实现接口级自动化测试</w:t>
            </w:r>
          </w:p>
        </w:tc>
      </w:tr>
    </w:tbl>
    <w:p w14:paraId="29FF3C7F">
      <w:pPr>
        <w:pStyle w:val="20"/>
        <w:rPr>
          <w:color w:val="auto"/>
        </w:rPr>
      </w:pPr>
    </w:p>
    <w:bookmarkEnd w:id="33"/>
    <w:p w14:paraId="3FC08CB5">
      <w:pPr>
        <w:pStyle w:val="4"/>
        <w:rPr>
          <w:color w:val="auto"/>
        </w:rPr>
      </w:pPr>
      <w:bookmarkStart w:id="34" w:name="_Toc227613143"/>
      <w:bookmarkStart w:id="35" w:name="前端关键技术"/>
      <w:r>
        <w:rPr>
          <w:color w:val="auto"/>
        </w:rPr>
        <w:t>2.2 前端关键技术</w:t>
      </w:r>
      <w:bookmarkEnd w:id="34"/>
    </w:p>
    <w:p w14:paraId="58E2DAE9">
      <w:pPr>
        <w:pStyle w:val="5"/>
        <w:rPr>
          <w:color w:val="auto"/>
        </w:rPr>
      </w:pPr>
      <w:bookmarkStart w:id="36" w:name="_Toc227613144"/>
      <w:bookmarkStart w:id="37" w:name="vue-3-框架"/>
      <w:r>
        <w:rPr>
          <w:color w:val="auto"/>
        </w:rPr>
        <w:t>2.2.1 Vue 3 框架</w:t>
      </w:r>
      <w:bookmarkEnd w:id="36"/>
    </w:p>
    <w:p w14:paraId="11F510B6">
      <w:pPr>
        <w:rPr>
          <w:color w:val="auto"/>
        </w:rPr>
      </w:pPr>
      <w:r>
        <w:rPr>
          <w:color w:val="auto"/>
        </w:rPr>
        <w:t>Vue 3 是一种以组件化和响应式编程为核心的前端框架。系统使用 Vue 3 构建首页、分类预测页和数据大屏页，将页面视图、表单逻辑和接口响应分离为独立组件。在该框架下，界面状态可通过响应式对象自动驱动 DOM 更新，能够有效降低手工更新页面状态带来的复杂度。</w:t>
      </w:r>
    </w:p>
    <w:p w14:paraId="018ED775">
      <w:pPr>
        <w:pStyle w:val="20"/>
        <w:rPr>
          <w:color w:val="auto"/>
        </w:rPr>
      </w:pPr>
      <w:r>
        <w:rPr>
          <w:color w:val="auto"/>
        </w:rPr>
        <w:t>在系统实现中，前端路由以 createRouter 和 createWebHistory 组织页面访问路径，根组件 App.vue 统一实现导航栏、主体内容区和页脚布局，三类视图则分别负责概览展示、分类输入和性能看板。这样的组织方式符合单页应用的通行实现模式，也有利于后续功能扩展。</w:t>
      </w:r>
    </w:p>
    <w:bookmarkEnd w:id="37"/>
    <w:p w14:paraId="5FEC65F7">
      <w:pPr>
        <w:pStyle w:val="5"/>
        <w:rPr>
          <w:color w:val="auto"/>
        </w:rPr>
      </w:pPr>
      <w:bookmarkStart w:id="38" w:name="_Toc227613145"/>
      <w:bookmarkStart w:id="39" w:name="typescript-语言机制"/>
      <w:r>
        <w:rPr>
          <w:color w:val="auto"/>
        </w:rPr>
        <w:t>2.2.2 TypeScript 语言机制</w:t>
      </w:r>
      <w:bookmarkEnd w:id="38"/>
    </w:p>
    <w:p w14:paraId="0B1092FF">
      <w:pPr>
        <w:rPr>
          <w:color w:val="auto"/>
        </w:rPr>
      </w:pPr>
      <w:r>
        <w:rPr>
          <w:color w:val="auto"/>
        </w:rPr>
        <w:t>TypeScript 为 JavaScript 提供了静态类型系统。由于预测请求与预测响应均具有固定字段结构，引入 TypeScript 能够在编译阶段发现字段缺失、类型不匹配或属性引用错误。系统在前端服务层显式定义了 PredictionRequest 与 PredictionResponse 接口，使 lat、lon、body_length_mm 等字段在调用预测接口时保持清晰的数据边界。</w:t>
      </w:r>
    </w:p>
    <w:p w14:paraId="15E3EC8C">
      <w:pPr>
        <w:pStyle w:val="20"/>
        <w:rPr>
          <w:color w:val="auto"/>
        </w:rPr>
      </w:pPr>
      <w:r>
        <w:rPr>
          <w:color w:val="auto"/>
        </w:rPr>
        <w:t>从可维护性角度看，类型约束不仅减少了前端逻辑中的隐式错误，也为后续接口扩展提供了更稳定的开发基础。例如，当预测接口返回置信度等级、复核标记或路由模式时，页面逻辑能够基于类型提示进行安全读取与显示。</w:t>
      </w:r>
    </w:p>
    <w:bookmarkEnd w:id="39"/>
    <w:p w14:paraId="63F67B44">
      <w:pPr>
        <w:pStyle w:val="5"/>
        <w:rPr>
          <w:color w:val="auto"/>
        </w:rPr>
      </w:pPr>
      <w:bookmarkStart w:id="40" w:name="_Toc227613146"/>
      <w:bookmarkStart w:id="41" w:name="element-plus-组件库"/>
      <w:r>
        <w:rPr>
          <w:color w:val="auto"/>
        </w:rPr>
        <w:t>2.2.3 Element Plus 组件库</w:t>
      </w:r>
      <w:bookmarkEnd w:id="40"/>
    </w:p>
    <w:p w14:paraId="01E3D9B1">
      <w:pPr>
        <w:rPr>
          <w:color w:val="auto"/>
        </w:rPr>
      </w:pPr>
      <w:r>
        <w:rPr>
          <w:color w:val="auto"/>
        </w:rPr>
        <w:t>Element Plus 为系统提供了卡片、表格、表单、进度条、统计卡片、滑块和空状态等 UI 组件。预测页面中使用输入数字框、下拉选择框和滑块共同完成七项特征输入；数据大屏页面使用统计卡片、表格和图像卡片展示模型结果；首页则利用统计卡片和功能入口卡片组织导航信息。</w:t>
      </w:r>
    </w:p>
    <w:p w14:paraId="1D2303B1">
      <w:pPr>
        <w:pStyle w:val="20"/>
        <w:rPr>
          <w:color w:val="auto"/>
        </w:rPr>
      </w:pPr>
      <w:r>
        <w:rPr>
          <w:color w:val="auto"/>
        </w:rPr>
        <w:t>组件库的引入显著降低了界面开发成本，同时保证了统一的视觉风格。对于毕业设计型系统而言，Element Plus 使开发重点能够更多落在交互逻辑和数据服务上，而无需重复实现基础界面控件。</w:t>
      </w:r>
    </w:p>
    <w:bookmarkEnd w:id="41"/>
    <w:p w14:paraId="63514D1B">
      <w:pPr>
        <w:pStyle w:val="5"/>
        <w:rPr>
          <w:color w:val="auto"/>
        </w:rPr>
      </w:pPr>
      <w:bookmarkStart w:id="42" w:name="_Toc227613147"/>
      <w:bookmarkStart w:id="43" w:name="axios-与前后端通信机制"/>
      <w:r>
        <w:rPr>
          <w:color w:val="auto"/>
        </w:rPr>
        <w:t>2.2.4 Axios 与前后端通信机制</w:t>
      </w:r>
      <w:bookmarkEnd w:id="42"/>
    </w:p>
    <w:p w14:paraId="4107F14E">
      <w:pPr>
        <w:rPr>
          <w:color w:val="auto"/>
        </w:rPr>
      </w:pPr>
      <w:r>
        <w:rPr>
          <w:color w:val="auto"/>
        </w:rPr>
        <w:t>系统通过 Axios 创建统一的 apiClient，并以 /api 作为基础路径向后端发送请求。前端服务封装了 predictStonefly、getFeatures、getModelInfo 与 getStats 四个调用方法，形成相对清晰的通信接口层。该设计使视图文件无需直接处理底层请求配置，有利于降低页面逻辑耦合。</w:t>
      </w:r>
    </w:p>
    <w:p w14:paraId="68C117C6">
      <w:pPr>
        <w:pStyle w:val="20"/>
        <w:rPr>
          <w:color w:val="auto"/>
        </w:rPr>
      </w:pPr>
      <w:r>
        <w:rPr>
          <w:color w:val="auto"/>
        </w:rPr>
        <w:t>在 Vite 开发配置中，/api 请求被代理至 http://localhost:5000，这使前端在本地开发阶段可以避免浏览器同源限制，同时保持部署路径的一致性。后端进一步通过 Flask-CORS 显式放行 http://localhost:5173 和 http://127.0.0.1:5173 两个来源，实现跨域访问控制。</w:t>
      </w:r>
    </w:p>
    <w:bookmarkEnd w:id="35"/>
    <w:bookmarkEnd w:id="43"/>
    <w:p w14:paraId="52B9E9FC">
      <w:pPr>
        <w:pStyle w:val="4"/>
        <w:rPr>
          <w:color w:val="auto"/>
        </w:rPr>
      </w:pPr>
      <w:bookmarkStart w:id="44" w:name="_Toc227613148"/>
      <w:bookmarkStart w:id="45" w:name="后端关键技术"/>
      <w:r>
        <w:rPr>
          <w:color w:val="auto"/>
        </w:rPr>
        <w:t>2.3 后端关键技术</w:t>
      </w:r>
      <w:bookmarkEnd w:id="44"/>
    </w:p>
    <w:p w14:paraId="41524755">
      <w:pPr>
        <w:pStyle w:val="5"/>
        <w:rPr>
          <w:color w:val="auto"/>
        </w:rPr>
      </w:pPr>
      <w:bookmarkStart w:id="46" w:name="_Toc227613149"/>
      <w:bookmarkStart w:id="47" w:name="flask-框架"/>
      <w:r>
        <w:rPr>
          <w:color w:val="auto"/>
        </w:rPr>
        <w:t>2.3.1 Flask 框架</w:t>
      </w:r>
      <w:bookmarkEnd w:id="46"/>
    </w:p>
    <w:p w14:paraId="0C87591B">
      <w:pPr>
        <w:rPr>
          <w:color w:val="auto"/>
        </w:rPr>
      </w:pPr>
      <w:r>
        <w:rPr>
          <w:color w:val="auto"/>
        </w:rPr>
        <w:t>Flask 是一种轻量级 Python Web 框架，适合构建结构清晰、依赖少、易于调试的科研原型系统。系统使用应用工厂 create_app 组织服务创建过程，并通过 Blueprint 将预测接口和可视化接口拆分到独立路由文件中。与重量级框架相比，Flask 更适合本系统这种以文件对象加载和模型调用为核心的单体式服务。</w:t>
      </w:r>
    </w:p>
    <w:p w14:paraId="3F721063">
      <w:pPr>
        <w:pStyle w:val="20"/>
        <w:rPr>
          <w:color w:val="auto"/>
        </w:rPr>
      </w:pPr>
      <w:r>
        <w:rPr>
          <w:color w:val="auto"/>
        </w:rPr>
        <w:t>由于模型预测逻辑并不依赖复杂的数据库事务和权限控制，轻量化框架能够降低额外开发负担。系统实际实现中，健康检查接口、首页欢迎接口与业务接口均可直接在 Flask 层完成组织，满足毕业设计原型系统对简洁性与可运行性的要求。</w:t>
      </w:r>
    </w:p>
    <w:bookmarkEnd w:id="47"/>
    <w:p w14:paraId="15EB8CEB">
      <w:pPr>
        <w:pStyle w:val="5"/>
        <w:rPr>
          <w:color w:val="auto"/>
        </w:rPr>
      </w:pPr>
      <w:bookmarkStart w:id="48" w:name="_Toc227613150"/>
      <w:bookmarkStart w:id="49" w:name="restful-接口设计思想"/>
      <w:r>
        <w:rPr>
          <w:color w:val="auto"/>
        </w:rPr>
        <w:t>2.3.2 RESTful 接口设计思想</w:t>
      </w:r>
      <w:bookmarkEnd w:id="48"/>
    </w:p>
    <w:p w14:paraId="0889DCE1">
      <w:pPr>
        <w:rPr>
          <w:color w:val="auto"/>
        </w:rPr>
      </w:pPr>
      <w:r>
        <w:rPr>
          <w:color w:val="auto"/>
        </w:rPr>
        <w:t>系统接口遵循面向资源的组织方式。/api/features 用于返回字段描述，/api/predict 用于接收输入并输出分类结果，/api/model-info 与 /api/stats 用于提供训练结果和数据统计，/api/visualization/ 用于返回图片资源流。该设计使不同页面能够按需请求不同资源，而无需在单一接口中混杂多种职责。</w:t>
      </w:r>
    </w:p>
    <w:p w14:paraId="2BEB5E7C">
      <w:pPr>
        <w:pStyle w:val="20"/>
        <w:rPr>
          <w:color w:val="auto"/>
        </w:rPr>
      </w:pPr>
      <w:r>
        <w:rPr>
          <w:color w:val="auto"/>
        </w:rPr>
        <w:t>REST 风格还带来了前后端独立开发的便利性。模型训练流程只需负责按约定生成 JSON 或 PNG 文件，后端接口即可统一读取这些对象；前端页面只需关注接口契约，而不必深入算法模块内部实现，从而形成相对稳定的分层结构。</w:t>
      </w:r>
    </w:p>
    <w:bookmarkEnd w:id="49"/>
    <w:p w14:paraId="7F947E1B">
      <w:pPr>
        <w:pStyle w:val="5"/>
        <w:rPr>
          <w:color w:val="auto"/>
        </w:rPr>
      </w:pPr>
      <w:bookmarkStart w:id="50" w:name="_Toc227613151"/>
      <w:bookmarkStart w:id="51" w:name="cors-跨域通信机制"/>
      <w:r>
        <w:rPr>
          <w:color w:val="auto"/>
        </w:rPr>
        <w:t>2.3.3 CORS 跨域通信机制</w:t>
      </w:r>
      <w:bookmarkEnd w:id="50"/>
    </w:p>
    <w:p w14:paraId="7EB6C173">
      <w:pPr>
        <w:rPr>
          <w:color w:val="auto"/>
        </w:rPr>
      </w:pPr>
      <w:r>
        <w:rPr>
          <w:color w:val="auto"/>
        </w:rPr>
        <w:t>由于前端开发服务器与后端接口服务运行在不同端口，浏览器在默认情况下会对跨域请求施加限制。系统使用 Flask-CORS 为 /api/* 路径配置允许来源、请求方法和请求头，使前端可以在开发模式下安全访问接口资源。这一配置在课程演示和本地调试场景中具有实际必要性。</w:t>
      </w:r>
    </w:p>
    <w:bookmarkEnd w:id="45"/>
    <w:bookmarkEnd w:id="51"/>
    <w:p w14:paraId="44284B7E">
      <w:pPr>
        <w:pStyle w:val="4"/>
        <w:rPr>
          <w:color w:val="auto"/>
        </w:rPr>
      </w:pPr>
      <w:bookmarkStart w:id="52" w:name="_Toc227613152"/>
      <w:bookmarkStart w:id="53" w:name="机器学习相关技术"/>
      <w:r>
        <w:rPr>
          <w:color w:val="auto"/>
        </w:rPr>
        <w:t>2.4 机器学习相关技术</w:t>
      </w:r>
      <w:bookmarkEnd w:id="52"/>
    </w:p>
    <w:p w14:paraId="58E4FE35">
      <w:pPr>
        <w:pStyle w:val="5"/>
        <w:rPr>
          <w:color w:val="auto"/>
        </w:rPr>
      </w:pPr>
      <w:bookmarkStart w:id="54" w:name="_Toc227613153"/>
      <w:bookmarkStart w:id="55" w:name="数据预处理方法"/>
      <w:r>
        <w:rPr>
          <w:color w:val="auto"/>
        </w:rPr>
        <w:t>2.4.1 数据预处理方法</w:t>
      </w:r>
      <w:bookmarkEnd w:id="54"/>
    </w:p>
    <w:p w14:paraId="63F9247F">
      <w:pPr>
        <w:rPr>
          <w:color w:val="auto"/>
        </w:rPr>
      </w:pPr>
      <w:r>
        <w:rPr>
          <w:color w:val="auto"/>
        </w:rPr>
        <w:t>数据预处理的目标在于提升模型输入的一致性与可学习性。系统分别对数值型字段和分类型字段进行处理。对于数值特征，采用标准化方法将不同量纲映射至统一尺度。其表达式为</w:t>
      </w:r>
    </w:p>
    <w:p w14:paraId="67FA15E5">
      <w:pPr>
        <w:pStyle w:val="20"/>
        <w:rPr>
          <w:color w:val="auto"/>
        </w:rPr>
      </w:pPr>
      <m:oMathPara>
        <m:oMathParaPr>
          <m:jc m:val="center"/>
        </m:oMathParaPr>
        <m:oMath>
          <m:r>
            <m:rPr/>
            <w:rPr>
              <w:rFonts w:ascii="Cambria Math" w:hAnsi="Cambria Math"/>
              <w:color w:val="auto"/>
            </w:rPr>
            <m:t>z</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x</m:t>
              </m:r>
              <m:r>
                <m:rPr>
                  <m:sty m:val="p"/>
                </m:rPr>
                <w:rPr>
                  <w:rFonts w:ascii="Cambria Math" w:hAnsi="Cambria Math"/>
                  <w:color w:val="auto"/>
                </w:rPr>
                <m:t>−</m:t>
              </m:r>
              <m:r>
                <m:rPr/>
                <w:rPr>
                  <w:rFonts w:ascii="Cambria Math" w:hAnsi="Cambria Math"/>
                  <w:color w:val="auto"/>
                </w:rPr>
                <m:t>μ</m:t>
              </m:r>
              <m:ctrlPr>
                <w:rPr>
                  <w:rFonts w:ascii="Cambria Math" w:hAnsi="Cambria Math"/>
                  <w:color w:val="auto"/>
                </w:rPr>
              </m:ctrlPr>
            </m:num>
            <m:den>
              <m:r>
                <m:rPr/>
                <w:rPr>
                  <w:rFonts w:ascii="Cambria Math" w:hAnsi="Cambria Math"/>
                  <w:color w:val="auto"/>
                </w:rPr>
                <m:t>σ</m:t>
              </m:r>
              <m:ctrlPr>
                <w:rPr>
                  <w:rFonts w:ascii="Cambria Math" w:hAnsi="Cambria Math"/>
                  <w:color w:val="auto"/>
                </w:rPr>
              </m:ctrlPr>
            </m:den>
          </m:f>
        </m:oMath>
      </m:oMathPara>
    </w:p>
    <w:p w14:paraId="0026D267">
      <w:pPr>
        <w:rPr>
          <w:color w:val="auto"/>
        </w:rPr>
      </w:pPr>
      <w:r>
        <w:rPr>
          <w:color w:val="auto"/>
        </w:rPr>
        <w:t>其中，</w:t>
      </w:r>
      <m:oMath>
        <m:r>
          <m:rPr/>
          <w:rPr>
            <w:rFonts w:ascii="Cambria Math" w:hAnsi="Cambria Math"/>
            <w:color w:val="auto"/>
          </w:rPr>
          <m:t>x</m:t>
        </m:r>
      </m:oMath>
      <w:r>
        <w:rPr>
          <w:color w:val="auto"/>
        </w:rPr>
        <w:t xml:space="preserve"> 表示原始观测值，</w:t>
      </w:r>
      <m:oMath>
        <m:r>
          <m:rPr/>
          <w:rPr>
            <w:rFonts w:ascii="Cambria Math" w:hAnsi="Cambria Math"/>
            <w:color w:val="auto"/>
          </w:rPr>
          <m:t>μ</m:t>
        </m:r>
      </m:oMath>
      <w:r>
        <w:rPr>
          <w:color w:val="auto"/>
        </w:rPr>
        <w:t xml:space="preserve"> 表示该特征均值，</w:t>
      </w:r>
      <m:oMath>
        <m:r>
          <m:rPr/>
          <w:rPr>
            <w:rFonts w:ascii="Cambria Math" w:hAnsi="Cambria Math"/>
            <w:color w:val="auto"/>
          </w:rPr>
          <m:t>σ</m:t>
        </m:r>
      </m:oMath>
      <w:r>
        <w:rPr>
          <w:color w:val="auto"/>
        </w:rPr>
        <w:t xml:space="preserve"> 表示标准差。标准化后，经纬度与体长等变量能够在更接近的数值空间中参与训练，减少量纲差异对距离型算法和核方法的影响。</w:t>
      </w:r>
    </w:p>
    <w:p w14:paraId="6C627595">
      <w:pPr>
        <w:pStyle w:val="20"/>
        <w:rPr>
          <w:color w:val="auto"/>
        </w:rPr>
      </w:pPr>
      <w:r>
        <w:rPr>
          <w:color w:val="auto"/>
        </w:rPr>
        <w:t>针对异常值，系统使用 IQR 方法进行截断处理。首先计算四分位间距</w:t>
      </w:r>
    </w:p>
    <w:p w14:paraId="1845CFDE">
      <w:pPr>
        <w:pStyle w:val="20"/>
        <w:rPr>
          <w:color w:val="auto"/>
        </w:rPr>
      </w:pPr>
      <m:oMathPara>
        <m:oMathParaPr>
          <m:jc m:val="center"/>
        </m:oMathParaPr>
        <m:oMath>
          <m:r>
            <m:rPr/>
            <w:rPr>
              <w:rFonts w:ascii="Cambria Math" w:hAnsi="Cambria Math"/>
              <w:color w:val="auto"/>
            </w:rPr>
            <m:t>IQR</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Q</m:t>
              </m:r>
              <m:ctrlPr>
                <w:rPr>
                  <w:rFonts w:ascii="Cambria Math" w:hAnsi="Cambria Math"/>
                  <w:color w:val="auto"/>
                </w:rPr>
              </m:ctrlPr>
            </m:e>
            <m:sub>
              <m:r>
                <m:rPr/>
                <w:rPr>
                  <w:rFonts w:ascii="Cambria Math" w:hAnsi="Cambria Math"/>
                  <w:color w:val="auto"/>
                </w:rPr>
                <m:t>3</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Q</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oMath>
      </m:oMathPara>
    </w:p>
    <w:p w14:paraId="49442761">
      <w:pPr>
        <w:rPr>
          <w:color w:val="auto"/>
        </w:rPr>
      </w:pPr>
      <w:r>
        <w:rPr>
          <w:color w:val="auto"/>
        </w:rPr>
        <w:t>再设定上下边界</w:t>
      </w:r>
    </w:p>
    <w:p w14:paraId="56A782C3">
      <w:pPr>
        <w:pStyle w:val="20"/>
        <w:rPr>
          <w:color w:val="auto"/>
        </w:rPr>
      </w:pPr>
      <m:oMathPara>
        <m:oMathParaPr>
          <m:jc m:val="center"/>
        </m:oMathParaPr>
        <m:oMath>
          <m:r>
            <m:rPr/>
            <w:rPr>
              <w:rFonts w:ascii="Cambria Math" w:hAnsi="Cambria Math"/>
              <w:color w:val="auto"/>
            </w:rPr>
            <m:t>L</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Q</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1.5IQR</m:t>
          </m:r>
          <m:r>
            <m:rPr>
              <m:sty m:val="p"/>
            </m:rPr>
            <w:rPr>
              <w:rFonts w:ascii="Cambria Math" w:hAnsi="Cambria Math"/>
              <w:color w:val="auto"/>
            </w:rPr>
            <m:t>,</m:t>
          </m:r>
          <m:r>
            <m:rPr/>
            <w:rPr>
              <w:rFonts w:ascii="Cambria Math" w:hAnsi="Cambria Math"/>
              <w:color w:val="auto"/>
            </w:rPr>
            <m:t> U</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Q</m:t>
              </m:r>
              <m:ctrlPr>
                <w:rPr>
                  <w:rFonts w:ascii="Cambria Math" w:hAnsi="Cambria Math"/>
                  <w:color w:val="auto"/>
                </w:rPr>
              </m:ctrlPr>
            </m:e>
            <m:sub>
              <m:r>
                <m:rPr/>
                <w:rPr>
                  <w:rFonts w:ascii="Cambria Math" w:hAnsi="Cambria Math"/>
                  <w:color w:val="auto"/>
                </w:rPr>
                <m:t>3</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1.5IQR</m:t>
          </m:r>
        </m:oMath>
      </m:oMathPara>
    </w:p>
    <w:p w14:paraId="73505A76">
      <w:pPr>
        <w:rPr>
          <w:color w:val="auto"/>
        </w:rPr>
      </w:pPr>
      <w:r>
        <w:rPr>
          <w:color w:val="auto"/>
        </w:rPr>
        <w:t xml:space="preserve">并将观测值裁剪到区间 </w:t>
      </w:r>
      <m:oMath>
        <m:d>
          <m:dPr>
            <m:begChr m:val="["/>
            <m:endChr m:val="]"/>
            <m:ctrlPr>
              <w:rPr>
                <w:rFonts w:ascii="Cambria Math" w:hAnsi="Cambria Math"/>
                <w:color w:val="auto"/>
              </w:rPr>
            </m:ctrlPr>
          </m:dPr>
          <m:e>
            <m:r>
              <m:rPr/>
              <w:rPr>
                <w:rFonts w:ascii="Cambria Math" w:hAnsi="Cambria Math"/>
                <w:color w:val="auto"/>
              </w:rPr>
              <m:t>L</m:t>
            </m:r>
            <m:r>
              <m:rPr>
                <m:sty m:val="p"/>
              </m:rPr>
              <w:rPr>
                <w:rFonts w:ascii="Cambria Math" w:hAnsi="Cambria Math"/>
                <w:color w:val="auto"/>
              </w:rPr>
              <m:t>,</m:t>
            </m:r>
            <m:r>
              <m:rPr/>
              <w:rPr>
                <w:rFonts w:ascii="Cambria Math" w:hAnsi="Cambria Math"/>
                <w:color w:val="auto"/>
              </w:rPr>
              <m:t>U</m:t>
            </m:r>
            <m:ctrlPr>
              <w:rPr>
                <w:rFonts w:ascii="Cambria Math" w:hAnsi="Cambria Math"/>
                <w:color w:val="auto"/>
              </w:rPr>
            </m:ctrlPr>
          </m:e>
        </m:d>
      </m:oMath>
      <w:r>
        <w:rPr>
          <w:color w:val="auto"/>
        </w:rPr>
        <w:t>。这种方式比直接删除异常样本更适合样本规模较大且字段较少的结构化数据场景。</w:t>
      </w:r>
    </w:p>
    <w:bookmarkEnd w:id="55"/>
    <w:p w14:paraId="6CAB6916">
      <w:pPr>
        <w:pStyle w:val="5"/>
        <w:rPr>
          <w:color w:val="auto"/>
        </w:rPr>
      </w:pPr>
      <w:bookmarkStart w:id="56" w:name="_Toc227613154"/>
      <w:bookmarkStart w:id="57" w:name="主成分分析方法"/>
      <w:r>
        <w:rPr>
          <w:color w:val="auto"/>
        </w:rPr>
        <w:t>2.4.2 主成分分析方法</w:t>
      </w:r>
      <w:bookmarkEnd w:id="56"/>
    </w:p>
    <w:p w14:paraId="06EB5387">
      <w:pPr>
        <w:rPr>
          <w:color w:val="auto"/>
        </w:rPr>
      </w:pPr>
      <w:r>
        <w:rPr>
          <w:color w:val="auto"/>
        </w:rPr>
        <w:t xml:space="preserve">主成分分析是一种经典的线性降维方法，其核心在于通过协方差矩阵的特征分解寻找方差最大的正交方向。对中心化后的样本矩阵 </w:t>
      </w:r>
      <m:oMath>
        <m:r>
          <m:rPr/>
          <w:rPr>
            <w:rFonts w:ascii="Cambria Math" w:hAnsi="Cambria Math"/>
            <w:color w:val="auto"/>
          </w:rPr>
          <m:t>X</m:t>
        </m:r>
      </m:oMath>
      <w:r>
        <w:rPr>
          <w:color w:val="auto"/>
        </w:rPr>
        <w:t>，其协方差矩阵可表示为</w:t>
      </w:r>
    </w:p>
    <w:p w14:paraId="0CF01021">
      <w:pPr>
        <w:pStyle w:val="20"/>
        <w:rPr>
          <w:color w:val="auto"/>
        </w:rPr>
      </w:pPr>
      <m:oMathPara>
        <m:oMathParaPr>
          <m:jc m:val="center"/>
        </m:oMathParaPr>
        <m:oMath>
          <m:r>
            <m:rPr/>
            <w:rPr>
              <w:rFonts w:ascii="Cambria Math" w:hAnsi="Cambria Math"/>
              <w:color w:val="auto"/>
            </w:rPr>
            <m:t>Σ</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1</m:t>
              </m:r>
              <m:ctrlPr>
                <w:rPr>
                  <w:rFonts w:ascii="Cambria Math" w:hAnsi="Cambria Math"/>
                  <w:color w:val="auto"/>
                </w:rPr>
              </m:ctrlPr>
            </m:num>
            <m:den>
              <m:r>
                <m:rPr/>
                <w:rPr>
                  <w:rFonts w:ascii="Cambria Math" w:hAnsi="Cambria Math"/>
                  <w:color w:val="auto"/>
                </w:rPr>
                <m:t>n</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den>
          </m:f>
          <m:sSup>
            <m:sSupPr>
              <m:ctrlPr>
                <w:rPr>
                  <w:rFonts w:ascii="Cambria Math" w:hAnsi="Cambria Math"/>
                  <w:color w:val="auto"/>
                </w:rPr>
              </m:ctrlPr>
            </m:sSupPr>
            <m:e>
              <m:r>
                <m:rPr/>
                <w:rPr>
                  <w:rFonts w:ascii="Cambria Math" w:hAnsi="Cambria Math"/>
                  <w:color w:val="auto"/>
                </w:rPr>
                <m:t>X</m:t>
              </m:r>
              <m:ctrlPr>
                <w:rPr>
                  <w:rFonts w:ascii="Cambria Math" w:hAnsi="Cambria Math"/>
                  <w:color w:val="auto"/>
                </w:rPr>
              </m:ctrlPr>
            </m:e>
            <m:sup>
              <m:r>
                <m:rPr/>
                <w:rPr>
                  <w:rFonts w:ascii="Cambria Math" w:hAnsi="Cambria Math"/>
                  <w:color w:val="auto"/>
                </w:rPr>
                <m:t>T</m:t>
              </m:r>
              <m:ctrlPr>
                <w:rPr>
                  <w:rFonts w:ascii="Cambria Math" w:hAnsi="Cambria Math"/>
                  <w:color w:val="auto"/>
                </w:rPr>
              </m:ctrlPr>
            </m:sup>
          </m:sSup>
          <m:r>
            <m:rPr/>
            <w:rPr>
              <w:rFonts w:ascii="Cambria Math" w:hAnsi="Cambria Math"/>
              <w:color w:val="auto"/>
            </w:rPr>
            <m:t>X</m:t>
          </m:r>
        </m:oMath>
      </m:oMathPara>
    </w:p>
    <w:p w14:paraId="70A76A4C">
      <w:pPr>
        <w:rPr>
          <w:color w:val="auto"/>
        </w:rPr>
      </w:pPr>
      <w:r>
        <w:rPr>
          <w:color w:val="auto"/>
        </w:rPr>
        <w:t xml:space="preserve">若 </w:t>
      </w:r>
      <m:oMath>
        <m:sSub>
          <m:sSubPr>
            <m:ctrlPr>
              <w:rPr>
                <w:rFonts w:ascii="Cambria Math" w:hAnsi="Cambria Math"/>
                <w:color w:val="auto"/>
              </w:rPr>
            </m:ctrlPr>
          </m:sSubPr>
          <m:e>
            <m:r>
              <m:rPr/>
              <w:rPr>
                <w:rFonts w:ascii="Cambria Math" w:hAnsi="Cambria Math"/>
                <w:color w:val="auto"/>
              </w:rPr>
              <m:t>λ</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λ</m:t>
            </m:r>
            <m:ctrlPr>
              <w:rPr>
                <w:rFonts w:ascii="Cambria Math" w:hAnsi="Cambria Math"/>
                <w:color w:val="auto"/>
              </w:rPr>
            </m:ctrlPr>
          </m:e>
          <m:sub>
            <m:r>
              <m:rPr/>
              <w:rPr>
                <w:rFonts w:ascii="Cambria Math" w:hAnsi="Cambria Math"/>
                <w:color w:val="auto"/>
              </w:rPr>
              <m:t>2</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λ</m:t>
            </m:r>
            <m:ctrlPr>
              <w:rPr>
                <w:rFonts w:ascii="Cambria Math" w:hAnsi="Cambria Math"/>
                <w:color w:val="auto"/>
              </w:rPr>
            </m:ctrlPr>
          </m:e>
          <m:sub>
            <m:r>
              <m:rPr/>
              <w:rPr>
                <w:rFonts w:ascii="Cambria Math" w:hAnsi="Cambria Math"/>
                <w:color w:val="auto"/>
              </w:rPr>
              <m:t>m</m:t>
            </m:r>
            <m:ctrlPr>
              <w:rPr>
                <w:rFonts w:ascii="Cambria Math" w:hAnsi="Cambria Math"/>
                <w:color w:val="auto"/>
              </w:rPr>
            </m:ctrlPr>
          </m:sub>
        </m:sSub>
      </m:oMath>
      <w:r>
        <w:rPr>
          <w:color w:val="auto"/>
        </w:rPr>
        <w:t xml:space="preserve"> 为按降序排列的特征值，则前 </w:t>
      </w:r>
      <m:oMath>
        <m:r>
          <m:rPr/>
          <w:rPr>
            <w:rFonts w:ascii="Cambria Math" w:hAnsi="Cambria Math"/>
            <w:color w:val="auto"/>
          </w:rPr>
          <m:t>k</m:t>
        </m:r>
      </m:oMath>
      <w:r>
        <w:rPr>
          <w:color w:val="auto"/>
        </w:rPr>
        <w:t xml:space="preserve"> 个主成分的累计解释方差为</w:t>
      </w:r>
    </w:p>
    <w:p w14:paraId="61A5DB2C">
      <w:pPr>
        <w:pStyle w:val="2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η</m:t>
              </m:r>
              <m:ctrlPr>
                <w:rPr>
                  <w:rFonts w:ascii="Cambria Math" w:hAnsi="Cambria Math"/>
                  <w:color w:val="auto"/>
                </w:rPr>
              </m:ctrlPr>
            </m:e>
            <m:sub>
              <m:r>
                <m:rPr/>
                <w:rPr>
                  <w:rFonts w:ascii="Cambria Math" w:hAnsi="Cambria Math"/>
                  <w:color w:val="auto"/>
                </w:rPr>
                <m:t>k</m:t>
              </m:r>
              <m:ctrlPr>
                <w:rPr>
                  <w:rFonts w:ascii="Cambria Math" w:hAnsi="Cambria Math"/>
                  <w:color w:val="auto"/>
                </w:rPr>
              </m:ctrlPr>
            </m:sub>
          </m:sSub>
          <m:r>
            <m:rPr>
              <m:sty m:val="p"/>
            </m:rPr>
            <w:rPr>
              <w:rFonts w:ascii="Cambria Math" w:hAnsi="Cambria Math"/>
              <w:color w:val="auto"/>
            </w:rPr>
            <m:t>=</m:t>
          </m:r>
          <m:f>
            <m:fPr>
              <m:ctrlPr>
                <w:rPr>
                  <w:rFonts w:ascii="Cambria Math" w:hAnsi="Cambria Math"/>
                  <w:color w:val="auto"/>
                </w:rPr>
              </m:ctrlPr>
            </m:fPr>
            <m:num>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k</m:t>
                  </m:r>
                  <m:ctrlPr>
                    <w:rPr>
                      <w:rFonts w:ascii="Cambria Math" w:hAnsi="Cambria Math"/>
                      <w:color w:val="auto"/>
                    </w:rPr>
                  </m:ctrlPr>
                </m:sup>
                <m:e>
                  <m:sSub>
                    <m:sSubPr>
                      <m:ctrlPr>
                        <w:rPr>
                          <w:rFonts w:ascii="Cambria Math" w:hAnsi="Cambria Math"/>
                          <w:color w:val="auto"/>
                        </w:rPr>
                      </m:ctrlPr>
                    </m:sSubPr>
                    <m:e>
                      <m:r>
                        <m:rPr/>
                        <w:rPr>
                          <w:rFonts w:ascii="Cambria Math" w:hAnsi="Cambria Math"/>
                          <w:color w:val="auto"/>
                        </w:rPr>
                        <m:t>λ</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nary>
              <m:ctrlPr>
                <w:rPr>
                  <w:rFonts w:ascii="Cambria Math" w:hAnsi="Cambria Math"/>
                  <w:color w:val="auto"/>
                </w:rPr>
              </m:ctrlPr>
            </m:num>
            <m:den>
              <m:nary>
                <m:naryPr>
                  <m:chr m:val="∑"/>
                  <m:limLoc m:val="undOvr"/>
                  <m:ctrlPr>
                    <w:rPr>
                      <w:rFonts w:ascii="Cambria Math" w:hAnsi="Cambria Math"/>
                      <w:color w:val="auto"/>
                    </w:rPr>
                  </m:ctrlPr>
                </m:naryPr>
                <m:sub>
                  <m:r>
                    <m:rPr/>
                    <w:rPr>
                      <w:rFonts w:ascii="Cambria Math" w:hAnsi="Cambria Math"/>
                      <w:color w:val="auto"/>
                    </w:rPr>
                    <m:t>j</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m</m:t>
                  </m:r>
                  <m:ctrlPr>
                    <w:rPr>
                      <w:rFonts w:ascii="Cambria Math" w:hAnsi="Cambria Math"/>
                      <w:color w:val="auto"/>
                    </w:rPr>
                  </m:ctrlPr>
                </m:sup>
                <m:e>
                  <m:sSub>
                    <m:sSubPr>
                      <m:ctrlPr>
                        <w:rPr>
                          <w:rFonts w:ascii="Cambria Math" w:hAnsi="Cambria Math"/>
                          <w:color w:val="auto"/>
                        </w:rPr>
                      </m:ctrlPr>
                    </m:sSubPr>
                    <m:e>
                      <m:r>
                        <m:rPr/>
                        <w:rPr>
                          <w:rFonts w:ascii="Cambria Math" w:hAnsi="Cambria Math"/>
                          <w:color w:val="auto"/>
                        </w:rPr>
                        <m:t>λ</m:t>
                      </m:r>
                      <m:ctrlPr>
                        <w:rPr>
                          <w:rFonts w:ascii="Cambria Math" w:hAnsi="Cambria Math"/>
                          <w:color w:val="auto"/>
                        </w:rPr>
                      </m:ctrlPr>
                    </m:e>
                    <m:sub>
                      <m:r>
                        <m:rPr/>
                        <w:rPr>
                          <w:rFonts w:ascii="Cambria Math" w:hAnsi="Cambria Math"/>
                          <w:color w:val="auto"/>
                        </w:rPr>
                        <m:t>j</m:t>
                      </m:r>
                      <m:ctrlPr>
                        <w:rPr>
                          <w:rFonts w:ascii="Cambria Math" w:hAnsi="Cambria Math"/>
                          <w:color w:val="auto"/>
                        </w:rPr>
                      </m:ctrlPr>
                    </m:sub>
                  </m:sSub>
                  <m:ctrlPr>
                    <w:rPr>
                      <w:rFonts w:ascii="Cambria Math" w:hAnsi="Cambria Math"/>
                      <w:color w:val="auto"/>
                    </w:rPr>
                  </m:ctrlPr>
                </m:e>
              </m:nary>
              <m:ctrlPr>
                <w:rPr>
                  <w:rFonts w:ascii="Cambria Math" w:hAnsi="Cambria Math"/>
                  <w:color w:val="auto"/>
                </w:rPr>
              </m:ctrlPr>
            </m:den>
          </m:f>
        </m:oMath>
      </m:oMathPara>
    </w:p>
    <w:p w14:paraId="32D600AD">
      <w:pPr>
        <w:rPr>
          <w:color w:val="auto"/>
        </w:rPr>
      </w:pPr>
      <w:r>
        <w:rPr>
          <w:color w:val="auto"/>
        </w:rPr>
        <w:t>系统中 PCA 分析结果显示，前两个主成分的累计解释方差达到 0.9800，说明主要信息集中在少数线性组合之中。虽然训练阶段最终采用 LASSO 选出的原始特征进行建模，但 PCA 结果仍可用于分析特征空间压缩潜力。</w:t>
      </w:r>
    </w:p>
    <w:bookmarkEnd w:id="57"/>
    <w:p w14:paraId="56E4B095">
      <w:pPr>
        <w:pStyle w:val="5"/>
        <w:rPr>
          <w:color w:val="auto"/>
        </w:rPr>
      </w:pPr>
      <w:bookmarkStart w:id="58" w:name="_Toc227613155"/>
      <w:bookmarkStart w:id="59" w:name="lasso-特征选择方法"/>
      <w:r>
        <w:rPr>
          <w:color w:val="auto"/>
        </w:rPr>
        <w:t>2.4.3 LASSO 特征选择方法</w:t>
      </w:r>
      <w:bookmarkEnd w:id="58"/>
    </w:p>
    <w:p w14:paraId="1E5725C3">
      <w:pPr>
        <w:rPr>
          <w:color w:val="auto"/>
        </w:rPr>
      </w:pPr>
      <w:r>
        <w:rPr>
          <w:color w:val="auto"/>
        </w:rPr>
        <w:t xml:space="preserve">LASSO 通过在损失函数中引入 </w:t>
      </w:r>
      <m:oMath>
        <m:sSub>
          <m:sSubPr>
            <m:ctrlPr>
              <w:rPr>
                <w:rFonts w:ascii="Cambria Math" w:hAnsi="Cambria Math"/>
                <w:color w:val="auto"/>
              </w:rPr>
            </m:ctrlPr>
          </m:sSubPr>
          <m:e>
            <m:r>
              <m:rPr/>
              <w:rPr>
                <w:rFonts w:ascii="Cambria Math" w:hAnsi="Cambria Math"/>
                <w:color w:val="auto"/>
              </w:rPr>
              <m:t>L</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oMath>
      <w:r>
        <w:rPr>
          <w:color w:val="auto"/>
        </w:rPr>
        <w:t xml:space="preserve"> 正则项实现参数稀疏化。其优化目标为</w:t>
      </w:r>
    </w:p>
    <w:p w14:paraId="10507752">
      <w:pPr>
        <w:pStyle w:val="20"/>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olor w:val="auto"/>
                </w:rPr>
                <m:t>min</m:t>
              </m:r>
              <m:ctrlPr>
                <w:rPr>
                  <w:rFonts w:ascii="Cambria Math" w:hAnsi="Cambria Math"/>
                  <w:color w:val="auto"/>
                </w:rPr>
              </m:ctrlPr>
            </m:e>
            <m:lim>
              <m:r>
                <m:rPr/>
                <w:rPr>
                  <w:rFonts w:ascii="Cambria Math" w:hAnsi="Cambria Math"/>
                  <w:color w:val="auto"/>
                </w:rPr>
                <m:t>β</m:t>
              </m:r>
              <m:ctrlPr>
                <w:rPr>
                  <w:rFonts w:ascii="Cambria Math" w:hAnsi="Cambria Math"/>
                  <w:color w:val="auto"/>
                </w:rPr>
              </m:ctrlPr>
            </m:lim>
          </m:limLow>
          <m:f>
            <m:fPr>
              <m:ctrlPr>
                <w:rPr>
                  <w:rFonts w:ascii="Cambria Math" w:hAnsi="Cambria Math"/>
                  <w:color w:val="auto"/>
                </w:rPr>
              </m:ctrlPr>
            </m:fPr>
            <m:num>
              <m:r>
                <m:rPr/>
                <w:rPr>
                  <w:rFonts w:ascii="Cambria Math" w:hAnsi="Cambria Math"/>
                  <w:color w:val="auto"/>
                </w:rPr>
                <m:t>1</m:t>
              </m:r>
              <m:ctrlPr>
                <w:rPr>
                  <w:rFonts w:ascii="Cambria Math" w:hAnsi="Cambria Math"/>
                  <w:color w:val="auto"/>
                </w:rPr>
              </m:ctrlPr>
            </m:num>
            <m:den>
              <m:r>
                <m:rPr/>
                <w:rPr>
                  <w:rFonts w:ascii="Cambria Math" w:hAnsi="Cambria Math"/>
                  <w:color w:val="auto"/>
                </w:rPr>
                <m:t>2n</m:t>
              </m:r>
              <m:ctrlPr>
                <w:rPr>
                  <w:rFonts w:ascii="Cambria Math" w:hAnsi="Cambria Math"/>
                  <w:color w:val="auto"/>
                </w:rPr>
              </m:ctrlPr>
            </m:den>
          </m:f>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sSup>
                <m:sSupPr>
                  <m:ctrlPr>
                    <w:rPr>
                      <w:rFonts w:ascii="Cambria Math" w:hAnsi="Cambria Math"/>
                      <w:color w:val="auto"/>
                    </w:rPr>
                  </m:ctrlPr>
                </m:sSupPr>
                <m:e>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Sup>
                        <m:sSubSupPr>
                          <m:ctrlPr>
                            <w:rPr>
                              <w:rFonts w:ascii="Cambria Math" w:hAnsi="Cambria Math"/>
                              <w:color w:val="auto"/>
                            </w:rPr>
                          </m:ctrlPr>
                        </m:sSubSup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up>
                          <m:r>
                            <m:rPr/>
                            <w:rPr>
                              <w:rFonts w:ascii="Cambria Math" w:hAnsi="Cambria Math"/>
                              <w:color w:val="auto"/>
                            </w:rPr>
                            <m:t>T</m:t>
                          </m:r>
                          <m:ctrlPr>
                            <w:rPr>
                              <w:rFonts w:ascii="Cambria Math" w:hAnsi="Cambria Math"/>
                              <w:color w:val="auto"/>
                            </w:rPr>
                          </m:ctrlPr>
                        </m:sup>
                      </m:sSubSup>
                      <m:r>
                        <m:rPr/>
                        <w:rPr>
                          <w:rFonts w:ascii="Cambria Math" w:hAnsi="Cambria Math"/>
                          <w:color w:val="auto"/>
                        </w:rPr>
                        <m:t>β</m:t>
                      </m:r>
                      <m:ctrlPr>
                        <w:rPr>
                          <w:rFonts w:ascii="Cambria Math" w:hAnsi="Cambria Math"/>
                          <w:color w:val="auto"/>
                        </w:rPr>
                      </m:ctrlPr>
                    </m:e>
                  </m:d>
                  <m:ctrlPr>
                    <w:rPr>
                      <w:rFonts w:ascii="Cambria Math" w:hAnsi="Cambria Math"/>
                      <w:color w:val="auto"/>
                    </w:rPr>
                  </m:ctrlPr>
                </m:e>
                <m:sup>
                  <m:r>
                    <m:rPr/>
                    <w:rPr>
                      <w:rFonts w:ascii="Cambria Math" w:hAnsi="Cambria Math"/>
                      <w:color w:val="auto"/>
                    </w:rPr>
                    <m:t>2</m:t>
                  </m:r>
                  <m:ctrlPr>
                    <w:rPr>
                      <w:rFonts w:ascii="Cambria Math" w:hAnsi="Cambria Math"/>
                      <w:color w:val="auto"/>
                    </w:rPr>
                  </m:ctrlPr>
                </m:sup>
              </m:sSup>
              <m:ctrlPr>
                <w:rPr>
                  <w:rFonts w:ascii="Cambria Math" w:hAnsi="Cambria Math"/>
                  <w:color w:val="auto"/>
                </w:rPr>
              </m:ctrlPr>
            </m:e>
          </m:nary>
          <m:r>
            <m:rPr>
              <m:sty m:val="p"/>
            </m:rPr>
            <w:rPr>
              <w:rFonts w:ascii="Cambria Math" w:hAnsi="Cambria Math"/>
              <w:color w:val="auto"/>
            </w:rPr>
            <m:t>+</m:t>
          </m:r>
          <m:r>
            <m:rPr/>
            <w:rPr>
              <w:rFonts w:ascii="Cambria Math" w:hAnsi="Cambria Math"/>
              <w:color w:val="auto"/>
            </w:rPr>
            <m:t>α</m:t>
          </m:r>
          <m:r>
            <m:rPr>
              <m:sty m:val="p"/>
            </m:rPr>
            <w:rPr>
              <w:rFonts w:ascii="Cambria Math" w:hAnsi="Cambria Math"/>
              <w:color w:val="auto"/>
            </w:rPr>
            <m:t>∥</m:t>
          </m:r>
          <m:r>
            <m:rPr/>
            <w:rPr>
              <w:rFonts w:ascii="Cambria Math" w:hAnsi="Cambria Math"/>
              <w:color w:val="auto"/>
            </w:rPr>
            <m:t>β</m:t>
          </m:r>
          <m:sSub>
            <m:sSubPr>
              <m:ctrlPr>
                <w:rPr>
                  <w:rFonts w:ascii="Cambria Math" w:hAnsi="Cambria Math"/>
                  <w:color w:val="auto"/>
                </w:rPr>
              </m:ctrlPr>
            </m:sSubPr>
            <m:e>
              <m:r>
                <m:rPr>
                  <m:sty m:val="p"/>
                </m:rPr>
                <w:rPr>
                  <w:rFonts w:ascii="Cambria Math" w:hAnsi="Cambria Math"/>
                  <w:color w:val="auto"/>
                </w:rPr>
                <m:t>∥</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oMath>
      </m:oMathPara>
    </w:p>
    <w:p w14:paraId="79FE3138">
      <w:pPr>
        <w:rPr>
          <w:color w:val="auto"/>
        </w:rPr>
      </w:pPr>
      <w:r>
        <w:rPr>
          <w:color w:val="auto"/>
        </w:rPr>
        <w:t>其中，</w:t>
      </w:r>
      <m:oMath>
        <m:r>
          <m:rPr/>
          <w:rPr>
            <w:rFonts w:ascii="Cambria Math" w:hAnsi="Cambria Math"/>
            <w:color w:val="auto"/>
          </w:rPr>
          <m:t>α</m:t>
        </m:r>
      </m:oMath>
      <w:r>
        <w:rPr>
          <w:color w:val="auto"/>
        </w:rPr>
        <w:t xml:space="preserve"> 为正则化强度，</w:t>
      </w:r>
      <m:oMath>
        <m:r>
          <m:rPr>
            <m:sty m:val="p"/>
          </m:rPr>
          <w:rPr>
            <w:rFonts w:ascii="Cambria Math" w:hAnsi="Cambria Math"/>
            <w:color w:val="auto"/>
          </w:rPr>
          <m:t>∥</m:t>
        </m:r>
        <m:r>
          <m:rPr/>
          <w:rPr>
            <w:rFonts w:ascii="Cambria Math" w:hAnsi="Cambria Math"/>
            <w:color w:val="auto"/>
          </w:rPr>
          <m:t>β</m:t>
        </m:r>
        <m:sSub>
          <m:sSubPr>
            <m:ctrlPr>
              <w:rPr>
                <w:rFonts w:ascii="Cambria Math" w:hAnsi="Cambria Math"/>
                <w:color w:val="auto"/>
              </w:rPr>
            </m:ctrlPr>
          </m:sSubPr>
          <m:e>
            <m:r>
              <m:rPr>
                <m:sty m:val="p"/>
              </m:rPr>
              <w:rPr>
                <w:rFonts w:ascii="Cambria Math" w:hAnsi="Cambria Math"/>
                <w:color w:val="auto"/>
              </w:rPr>
              <m:t>∥</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oMath>
      <w:r>
        <w:rPr>
          <w:color w:val="auto"/>
        </w:rPr>
        <w:t xml:space="preserve"> 为参数向量绝对值和。LASSO 在保持预测能力的同时倾向于将弱相关特征系数压缩为零，因此可作为嵌入式特征选择方法。系统结果表明，在七个输入特征中，head_feature 的重要性被压缩为零，其余六项特征被保留为训练输入，验证了稀疏特征选择在该任务中的有效性。</w:t>
      </w:r>
    </w:p>
    <w:bookmarkEnd w:id="59"/>
    <w:p w14:paraId="27B32689">
      <w:pPr>
        <w:pStyle w:val="5"/>
        <w:rPr>
          <w:color w:val="auto"/>
        </w:rPr>
      </w:pPr>
      <w:bookmarkStart w:id="60" w:name="_Toc227613156"/>
      <w:bookmarkStart w:id="61" w:name="随机森林分类算法"/>
      <w:r>
        <w:rPr>
          <w:color w:val="auto"/>
        </w:rPr>
        <w:t>2.4.4 随机森林分类算法</w:t>
      </w:r>
      <w:bookmarkEnd w:id="60"/>
    </w:p>
    <w:p w14:paraId="1EDA0C8B">
      <w:pPr>
        <w:rPr>
          <w:color w:val="auto"/>
        </w:rPr>
      </w:pPr>
      <w:r>
        <w:rPr>
          <w:color w:val="auto"/>
        </w:rPr>
        <w:t>随机森林通过构建多棵决策树并在分类时进行投票集成，以降低单棵树对训练样本波动的敏感性。决策树分裂时常用基尼不纯度评价节点混杂程度，其定义为</w:t>
      </w:r>
    </w:p>
    <w:p w14:paraId="2E2001DF">
      <w:pPr>
        <w:pStyle w:val="20"/>
        <w:rPr>
          <w:color w:val="auto"/>
        </w:rPr>
      </w:pPr>
      <m:oMathPara>
        <m:oMathParaPr>
          <m:jc m:val="center"/>
        </m:oMathParaPr>
        <m:oMath>
          <m:r>
            <m:rPr/>
            <w:rPr>
              <w:rFonts w:ascii="Cambria Math" w:hAnsi="Cambria Math"/>
              <w:color w:val="auto"/>
            </w:rPr>
            <m:t>G</m:t>
          </m:r>
          <m:d>
            <m:dPr>
              <m:ctrlPr>
                <w:rPr>
                  <w:rFonts w:ascii="Cambria Math" w:hAnsi="Cambria Math"/>
                  <w:color w:val="auto"/>
                </w:rPr>
              </m:ctrlPr>
            </m:dPr>
            <m:e>
              <m:r>
                <m:rPr/>
                <w:rPr>
                  <w:rFonts w:ascii="Cambria Math" w:hAnsi="Cambria Math"/>
                  <w:color w:val="auto"/>
                </w:rPr>
                <m:t>t</m:t>
              </m:r>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1</m:t>
          </m:r>
          <m:r>
            <m:rPr>
              <m:sty m:val="p"/>
            </m:rPr>
            <w:rPr>
              <w:rFonts w:ascii="Cambria Math" w:hAnsi="Cambria Math"/>
              <w:color w:val="auto"/>
            </w:rPr>
            <m:t>−</m:t>
          </m:r>
          <m:nary>
            <m:naryPr>
              <m:chr m:val="∑"/>
              <m:limLoc m:val="undOvr"/>
              <m:ctrlPr>
                <w:rPr>
                  <w:rFonts w:ascii="Cambria Math" w:hAnsi="Cambria Math"/>
                  <w:color w:val="auto"/>
                </w:rPr>
              </m:ctrlPr>
            </m:naryPr>
            <m:sub>
              <m:r>
                <m:rPr/>
                <w:rPr>
                  <w:rFonts w:ascii="Cambria Math" w:hAnsi="Cambria Math"/>
                  <w:color w:val="auto"/>
                </w:rPr>
                <m:t>k</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K</m:t>
              </m:r>
              <m:ctrlPr>
                <w:rPr>
                  <w:rFonts w:ascii="Cambria Math" w:hAnsi="Cambria Math"/>
                  <w:color w:val="auto"/>
                </w:rPr>
              </m:ctrlPr>
            </m:sup>
            <m:e>
              <m:sSubSup>
                <m:sSubSupPr>
                  <m:ctrlPr>
                    <w:rPr>
                      <w:rFonts w:ascii="Cambria Math" w:hAnsi="Cambria Math"/>
                      <w:color w:val="auto"/>
                    </w:rPr>
                  </m:ctrlPr>
                </m:sSubSupPr>
                <m:e>
                  <m:r>
                    <m:rPr/>
                    <w:rPr>
                      <w:rFonts w:ascii="Cambria Math" w:hAnsi="Cambria Math"/>
                      <w:color w:val="auto"/>
                    </w:rPr>
                    <m:t>p</m:t>
                  </m:r>
                  <m:ctrlPr>
                    <w:rPr>
                      <w:rFonts w:ascii="Cambria Math" w:hAnsi="Cambria Math"/>
                      <w:color w:val="auto"/>
                    </w:rPr>
                  </m:ctrlPr>
                </m:e>
                <m:sub>
                  <m:r>
                    <m:rPr/>
                    <w:rPr>
                      <w:rFonts w:ascii="Cambria Math" w:hAnsi="Cambria Math"/>
                      <w:color w:val="auto"/>
                    </w:rPr>
                    <m:t>k</m:t>
                  </m:r>
                  <m:ctrlPr>
                    <w:rPr>
                      <w:rFonts w:ascii="Cambria Math" w:hAnsi="Cambria Math"/>
                      <w:color w:val="auto"/>
                    </w:rPr>
                  </m:ctrlPr>
                </m:sub>
                <m:sup>
                  <m:r>
                    <m:rPr/>
                    <w:rPr>
                      <w:rFonts w:ascii="Cambria Math" w:hAnsi="Cambria Math"/>
                      <w:color w:val="auto"/>
                    </w:rPr>
                    <m:t>2</m:t>
                  </m:r>
                  <m:ctrlPr>
                    <w:rPr>
                      <w:rFonts w:ascii="Cambria Math" w:hAnsi="Cambria Math"/>
                      <w:color w:val="auto"/>
                    </w:rPr>
                  </m:ctrlPr>
                </m:sup>
              </m:sSubSup>
              <m:ctrlPr>
                <w:rPr>
                  <w:rFonts w:ascii="Cambria Math" w:hAnsi="Cambria Math"/>
                  <w:color w:val="auto"/>
                </w:rPr>
              </m:ctrlPr>
            </m:e>
          </m:nary>
        </m:oMath>
      </m:oMathPara>
    </w:p>
    <w:p w14:paraId="1CF48588">
      <w:pPr>
        <w:rPr>
          <w:color w:val="auto"/>
        </w:rPr>
      </w:pPr>
      <w:r>
        <w:rPr>
          <w:color w:val="auto"/>
        </w:rPr>
        <w:t>其中，</w:t>
      </w:r>
      <m:oMath>
        <m:sSub>
          <m:sSubPr>
            <m:ctrlPr>
              <w:rPr>
                <w:rFonts w:ascii="Cambria Math" w:hAnsi="Cambria Math"/>
                <w:color w:val="auto"/>
              </w:rPr>
            </m:ctrlPr>
          </m:sSubPr>
          <m:e>
            <m:r>
              <m:rPr/>
              <w:rPr>
                <w:rFonts w:ascii="Cambria Math" w:hAnsi="Cambria Math"/>
                <w:color w:val="auto"/>
              </w:rPr>
              <m:t>p</m:t>
            </m:r>
            <m:ctrlPr>
              <w:rPr>
                <w:rFonts w:ascii="Cambria Math" w:hAnsi="Cambria Math"/>
                <w:color w:val="auto"/>
              </w:rPr>
            </m:ctrlPr>
          </m:e>
          <m:sub>
            <m:r>
              <m:rPr/>
              <w:rPr>
                <w:rFonts w:ascii="Cambria Math" w:hAnsi="Cambria Math"/>
                <w:color w:val="auto"/>
              </w:rPr>
              <m:t>k</m:t>
            </m:r>
            <m:ctrlPr>
              <w:rPr>
                <w:rFonts w:ascii="Cambria Math" w:hAnsi="Cambria Math"/>
                <w:color w:val="auto"/>
              </w:rPr>
            </m:ctrlPr>
          </m:sub>
        </m:sSub>
      </m:oMath>
      <w:r>
        <w:rPr>
          <w:color w:val="auto"/>
        </w:rPr>
        <w:t xml:space="preserve"> 为节点 </w:t>
      </w:r>
      <m:oMath>
        <m:r>
          <m:rPr/>
          <w:rPr>
            <w:rFonts w:ascii="Cambria Math" w:hAnsi="Cambria Math"/>
            <w:color w:val="auto"/>
          </w:rPr>
          <m:t>t</m:t>
        </m:r>
      </m:oMath>
      <w:r>
        <w:rPr>
          <w:color w:val="auto"/>
        </w:rPr>
        <w:t xml:space="preserve"> 中属于第 </w:t>
      </w:r>
      <m:oMath>
        <m:r>
          <m:rPr/>
          <w:rPr>
            <w:rFonts w:ascii="Cambria Math" w:hAnsi="Cambria Math"/>
            <w:color w:val="auto"/>
          </w:rPr>
          <m:t>k</m:t>
        </m:r>
      </m:oMath>
      <w:r>
        <w:rPr>
          <w:color w:val="auto"/>
        </w:rPr>
        <w:t xml:space="preserve"> 类样本的比例。随机森林通过引入样本重采样与特征随机子集选择，能够在结构化数据上获得较强的稳健性。系统中随机森林不仅被用作候选主分类器，也被用于训练阶段一已知/未知二分类模型与阶段二已知类别细分类模型。</w:t>
      </w:r>
    </w:p>
    <w:bookmarkEnd w:id="61"/>
    <w:p w14:paraId="6BB36AC0">
      <w:pPr>
        <w:pStyle w:val="5"/>
        <w:rPr>
          <w:color w:val="auto"/>
        </w:rPr>
      </w:pPr>
      <w:bookmarkStart w:id="62" w:name="_Toc227613157"/>
      <w:bookmarkStart w:id="63" w:name="支持向量机分类算法"/>
      <w:r>
        <w:rPr>
          <w:color w:val="auto"/>
        </w:rPr>
        <w:t>2.4.5 支持向量机分类算法</w:t>
      </w:r>
      <w:bookmarkEnd w:id="62"/>
    </w:p>
    <w:p w14:paraId="5D13385E">
      <w:pPr>
        <w:rPr>
          <w:color w:val="auto"/>
        </w:rPr>
      </w:pPr>
      <w:r>
        <w:rPr>
          <w:color w:val="auto"/>
        </w:rPr>
        <w:t>支持向量机通过最大化分类间隔获得较好的泛化能力。其软间隔优化问题可写为</w:t>
      </w:r>
    </w:p>
    <w:p w14:paraId="4566484A">
      <w:pPr>
        <w:pStyle w:val="20"/>
        <w:rPr>
          <w:color w:val="auto"/>
        </w:rPr>
      </w:pPr>
      <m:oMathPara>
        <m:oMathParaPr>
          <m:jc m:val="center"/>
        </m:oMathParaPr>
        <m:oMath>
          <m:limLow>
            <m:limLowPr>
              <m:ctrlPr>
                <w:rPr>
                  <w:rFonts w:ascii="Cambria Math" w:hAnsi="Cambria Math"/>
                  <w:color w:val="auto"/>
                </w:rPr>
              </m:ctrlPr>
            </m:limLowPr>
            <m:e>
              <m:r>
                <m:rPr>
                  <m:sty m:val="p"/>
                </m:rPr>
                <w:rPr>
                  <w:rFonts w:ascii="Cambria Math" w:hAnsi="Cambria Math"/>
                  <w:color w:val="auto"/>
                </w:rPr>
                <m:t>min</m:t>
              </m:r>
              <m:ctrlPr>
                <w:rPr>
                  <w:rFonts w:ascii="Cambria Math" w:hAnsi="Cambria Math"/>
                  <w:color w:val="auto"/>
                </w:rPr>
              </m:ctrlPr>
            </m:e>
            <m:lim>
              <m:r>
                <m:rPr/>
                <w:rPr>
                  <w:rFonts w:ascii="Cambria Math" w:hAnsi="Cambria Math"/>
                  <w:color w:val="auto"/>
                </w:rPr>
                <m:t>w</m:t>
              </m:r>
              <m:r>
                <m:rPr>
                  <m:sty m:val="p"/>
                </m:rPr>
                <w:rPr>
                  <w:rFonts w:ascii="Cambria Math" w:hAnsi="Cambria Math"/>
                  <w:color w:val="auto"/>
                </w:rPr>
                <m:t>,</m:t>
              </m:r>
              <m:r>
                <m:rPr/>
                <w:rPr>
                  <w:rFonts w:ascii="Cambria Math" w:hAnsi="Cambria Math"/>
                  <w:color w:val="auto"/>
                </w:rPr>
                <m:t>b</m:t>
              </m:r>
              <m:r>
                <m:rPr>
                  <m:sty m:val="p"/>
                </m:rPr>
                <w:rPr>
                  <w:rFonts w:ascii="Cambria Math" w:hAnsi="Cambria Math"/>
                  <w:color w:val="auto"/>
                </w:rPr>
                <m:t>,</m:t>
              </m:r>
              <m:r>
                <m:rPr/>
                <w:rPr>
                  <w:rFonts w:ascii="Cambria Math" w:hAnsi="Cambria Math"/>
                  <w:color w:val="auto"/>
                </w:rPr>
                <m:t>ξ</m:t>
              </m:r>
              <m:ctrlPr>
                <w:rPr>
                  <w:rFonts w:ascii="Cambria Math" w:hAnsi="Cambria Math"/>
                  <w:color w:val="auto"/>
                </w:rPr>
              </m:ctrlPr>
            </m:lim>
          </m:limLow>
          <m:f>
            <m:fPr>
              <m:ctrlPr>
                <w:rPr>
                  <w:rFonts w:ascii="Cambria Math" w:hAnsi="Cambria Math"/>
                  <w:color w:val="auto"/>
                </w:rPr>
              </m:ctrlPr>
            </m:fPr>
            <m:num>
              <m:r>
                <m:rPr/>
                <w:rPr>
                  <w:rFonts w:ascii="Cambria Math" w:hAnsi="Cambria Math"/>
                  <w:color w:val="auto"/>
                </w:rPr>
                <m:t>1</m:t>
              </m:r>
              <m:ctrlPr>
                <w:rPr>
                  <w:rFonts w:ascii="Cambria Math" w:hAnsi="Cambria Math"/>
                  <w:color w:val="auto"/>
                </w:rPr>
              </m:ctrlPr>
            </m:num>
            <m:den>
              <m:r>
                <m:rPr/>
                <w:rPr>
                  <w:rFonts w:ascii="Cambria Math" w:hAnsi="Cambria Math"/>
                  <w:color w:val="auto"/>
                </w:rPr>
                <m:t>2</m:t>
              </m:r>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w</m:t>
          </m:r>
          <m:sSup>
            <m:sSupPr>
              <m:ctrlPr>
                <w:rPr>
                  <w:rFonts w:ascii="Cambria Math" w:hAnsi="Cambria Math"/>
                  <w:color w:val="auto"/>
                </w:rPr>
              </m:ctrlPr>
            </m:sSupPr>
            <m:e>
              <m:r>
                <m:rPr>
                  <m:sty m:val="p"/>
                </m:rPr>
                <w:rPr>
                  <w:rFonts w:ascii="Cambria Math" w:hAnsi="Cambria Math"/>
                  <w:color w:val="auto"/>
                </w:rPr>
                <m:t>∥</m:t>
              </m:r>
              <m:ctrlPr>
                <w:rPr>
                  <w:rFonts w:ascii="Cambria Math" w:hAnsi="Cambria Math"/>
                  <w:color w:val="auto"/>
                </w:rPr>
              </m:ctrlPr>
            </m:e>
            <m:sup>
              <m:r>
                <m:rPr/>
                <w:rPr>
                  <w:rFonts w:ascii="Cambria Math" w:hAnsi="Cambria Math"/>
                  <w:color w:val="auto"/>
                </w:rPr>
                <m:t>2</m:t>
              </m:r>
              <m:ctrlPr>
                <w:rPr>
                  <w:rFonts w:ascii="Cambria Math" w:hAnsi="Cambria Math"/>
                  <w:color w:val="auto"/>
                </w:rPr>
              </m:ctrlPr>
            </m:sup>
          </m:sSup>
          <m:r>
            <m:rPr>
              <m:sty m:val="p"/>
            </m:rPr>
            <w:rPr>
              <w:rFonts w:ascii="Cambria Math" w:hAnsi="Cambria Math"/>
              <w:color w:val="auto"/>
            </w:rPr>
            <m:t>+</m:t>
          </m:r>
          <m:r>
            <m:rPr/>
            <w:rPr>
              <w:rFonts w:ascii="Cambria Math" w:hAnsi="Cambria Math"/>
              <w:color w:val="auto"/>
            </w:rPr>
            <m:t>C</m:t>
          </m:r>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nary>
        </m:oMath>
      </m:oMathPara>
    </w:p>
    <w:p w14:paraId="7FF00610">
      <w:pPr>
        <w:rPr>
          <w:color w:val="auto"/>
        </w:rPr>
      </w:pPr>
      <w:r>
        <w:rPr>
          <w:color w:val="auto"/>
        </w:rPr>
        <w:t>满足约束</w:t>
      </w:r>
    </w:p>
    <w:p w14:paraId="36258315">
      <w:pPr>
        <w:pStyle w:val="2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d>
            <m:dPr>
              <m:ctrlPr>
                <w:rPr>
                  <w:rFonts w:ascii="Cambria Math" w:hAnsi="Cambria Math"/>
                  <w:color w:val="auto"/>
                </w:rPr>
              </m:ctrlPr>
            </m:dPr>
            <m:e>
              <m:sSup>
                <m:sSupPr>
                  <m:ctrlPr>
                    <w:rPr>
                      <w:rFonts w:ascii="Cambria Math" w:hAnsi="Cambria Math"/>
                      <w:color w:val="auto"/>
                    </w:rPr>
                  </m:ctrlPr>
                </m:sSupPr>
                <m:e>
                  <m:r>
                    <m:rPr/>
                    <w:rPr>
                      <w:rFonts w:ascii="Cambria Math" w:hAnsi="Cambria Math"/>
                      <w:color w:val="auto"/>
                    </w:rPr>
                    <m:t>w</m:t>
                  </m:r>
                  <m:ctrlPr>
                    <w:rPr>
                      <w:rFonts w:ascii="Cambria Math" w:hAnsi="Cambria Math"/>
                      <w:color w:val="auto"/>
                    </w:rPr>
                  </m:ctrlPr>
                </m:e>
                <m:sup>
                  <m:r>
                    <m:rPr/>
                    <w:rPr>
                      <w:rFonts w:ascii="Cambria Math" w:hAnsi="Cambria Math"/>
                      <w:color w:val="auto"/>
                    </w:rPr>
                    <m:t>T</m:t>
                  </m:r>
                  <m:ctrlPr>
                    <w:rPr>
                      <w:rFonts w:ascii="Cambria Math" w:hAnsi="Cambria Math"/>
                      <w:color w:val="auto"/>
                    </w:rPr>
                  </m:ctrlPr>
                </m:sup>
              </m:sSup>
              <m:r>
                <m:rPr/>
                <w:rPr>
                  <w:rFonts w:ascii="Cambria Math" w:hAnsi="Cambria Math"/>
                  <w:color w:val="auto"/>
                </w:rPr>
                <m:t>ϕ</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b</m:t>
              </m:r>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 </m:t>
          </m:r>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0</m:t>
          </m:r>
        </m:oMath>
      </m:oMathPara>
    </w:p>
    <w:p w14:paraId="58228C6D">
      <w:pPr>
        <w:rPr>
          <w:color w:val="auto"/>
        </w:rPr>
      </w:pPr>
      <w:r>
        <w:rPr>
          <w:color w:val="auto"/>
        </w:rPr>
        <w:t>其中，</w:t>
      </w:r>
      <m:oMath>
        <m:r>
          <m:rPr/>
          <w:rPr>
            <w:rFonts w:ascii="Cambria Math" w:hAnsi="Cambria Math"/>
            <w:color w:val="auto"/>
          </w:rPr>
          <m:t>C</m:t>
        </m:r>
      </m:oMath>
      <w:r>
        <w:rPr>
          <w:color w:val="auto"/>
        </w:rPr>
        <w:t xml:space="preserve"> 用于调节分类间隔与误分类惩罚之间的平衡，</w:t>
      </w:r>
      <m:oMath>
        <m:r>
          <m:rPr/>
          <w:rPr>
            <w:rFonts w:ascii="Cambria Math" w:hAnsi="Cambria Math"/>
            <w:color w:val="auto"/>
          </w:rPr>
          <m:t>ϕ</m:t>
        </m:r>
        <m:d>
          <m:dPr>
            <m:ctrlPr>
              <w:rPr>
                <w:rFonts w:ascii="Cambria Math" w:hAnsi="Cambria Math"/>
                <w:color w:val="auto"/>
              </w:rPr>
            </m:ctrlPr>
          </m:dPr>
          <m:e>
            <m:r>
              <m:rPr>
                <m:sty m:val="p"/>
              </m:rPr>
              <w:rPr>
                <w:rFonts w:ascii="Cambria Math" w:hAnsi="Cambria Math"/>
                <w:color w:val="auto"/>
              </w:rPr>
              <m:t>⋅</m:t>
            </m:r>
            <m:ctrlPr>
              <w:rPr>
                <w:rFonts w:ascii="Cambria Math" w:hAnsi="Cambria Math"/>
                <w:color w:val="auto"/>
              </w:rPr>
            </m:ctrlPr>
          </m:e>
        </m:d>
      </m:oMath>
      <w:r>
        <w:rPr>
          <w:color w:val="auto"/>
        </w:rPr>
        <w:t xml:space="preserve"> 表示核映射。系统采用 RBF 核并开启 probability=True，使支持向量机不仅能够输出类别标签，还能参与 Top-3 候选集计算。</w:t>
      </w:r>
    </w:p>
    <w:bookmarkEnd w:id="63"/>
    <w:p w14:paraId="40721C98">
      <w:pPr>
        <w:pStyle w:val="5"/>
        <w:rPr>
          <w:color w:val="auto"/>
        </w:rPr>
      </w:pPr>
      <w:bookmarkStart w:id="64" w:name="_Toc227613158"/>
      <w:bookmarkStart w:id="65" w:name="xgboost-分类算法"/>
      <w:r>
        <w:rPr>
          <w:color w:val="auto"/>
        </w:rPr>
        <w:t>2.4.6 XGBoost 分类算法</w:t>
      </w:r>
      <w:bookmarkEnd w:id="64"/>
    </w:p>
    <w:p w14:paraId="74BFDBBE">
      <w:pPr>
        <w:rPr>
          <w:color w:val="auto"/>
        </w:rPr>
      </w:pPr>
      <w:r>
        <w:rPr>
          <w:color w:val="auto"/>
        </w:rPr>
        <w:t>XGBoost 属于梯度提升树方法，其思想是在已有模型基础上逐步叠加弱学习器，最小化目标函数</w:t>
      </w:r>
    </w:p>
    <w:p w14:paraId="7F5DF0C5">
      <w:pPr>
        <w:pStyle w:val="20"/>
        <w:rPr>
          <w:color w:val="auto"/>
        </w:rPr>
      </w:pPr>
      <m:oMathPara>
        <m:oMathParaPr>
          <m:jc m:val="center"/>
        </m:oMathParaPr>
        <m:oMath>
          <m:r>
            <m:rPr/>
            <w:rPr>
              <w:rFonts w:ascii="Cambria Math" w:hAnsi="Cambria Math"/>
              <w:color w:val="auto"/>
            </w:rPr>
            <m:t>Ob</m:t>
          </m:r>
          <m:sSup>
            <m:sSupPr>
              <m:ctrlPr>
                <w:rPr>
                  <w:rFonts w:ascii="Cambria Math" w:hAnsi="Cambria Math"/>
                  <w:color w:val="auto"/>
                </w:rPr>
              </m:ctrlPr>
            </m:sSupPr>
            <m:e>
              <m:r>
                <m:rPr/>
                <w:rPr>
                  <w:rFonts w:ascii="Cambria Math" w:hAnsi="Cambria Math"/>
                  <w:color w:val="auto"/>
                </w:rPr>
                <m:t>j</m:t>
              </m:r>
              <m:ctrlPr>
                <w:rPr>
                  <w:rFonts w:ascii="Cambria Math" w:hAnsi="Cambria Math"/>
                  <w:color w:val="auto"/>
                </w:rPr>
              </m:ctrlPr>
            </m:e>
            <m:sup>
              <m:d>
                <m:dPr>
                  <m:ctrlPr>
                    <w:rPr>
                      <w:rFonts w:ascii="Cambria Math" w:hAnsi="Cambria Math"/>
                      <w:color w:val="auto"/>
                    </w:rPr>
                  </m:ctrlPr>
                </m:dPr>
                <m:e>
                  <m:r>
                    <m:rPr/>
                    <w:rPr>
                      <w:rFonts w:ascii="Cambria Math" w:hAnsi="Cambria Math"/>
                      <w:color w:val="auto"/>
                    </w:rPr>
                    <m:t>t</m:t>
                  </m:r>
                  <m:ctrlPr>
                    <w:rPr>
                      <w:rFonts w:ascii="Cambria Math" w:hAnsi="Cambria Math"/>
                      <w:color w:val="auto"/>
                    </w:rPr>
                  </m:ctrlPr>
                </m:e>
              </m:d>
              <m:ctrlPr>
                <w:rPr>
                  <w:rFonts w:ascii="Cambria Math" w:hAnsi="Cambria Math"/>
                  <w:color w:val="auto"/>
                </w:rPr>
              </m:ctrlPr>
            </m:sup>
          </m:sSup>
          <m:r>
            <m:rPr>
              <m:sty m:val="p"/>
            </m:rPr>
            <w:rPr>
              <w:rFonts w:ascii="Cambria Math" w:hAnsi="Cambria Math"/>
              <w:color w:val="auto"/>
            </w:rPr>
            <m:t>=</m:t>
          </m:r>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r>
                <m:rPr/>
                <w:rPr>
                  <w:rFonts w:ascii="Cambria Math" w:hAnsi="Cambria Math"/>
                  <w:color w:val="auto"/>
                </w:rPr>
                <m:t>l</m:t>
              </m:r>
              <m:ctrlPr>
                <w:rPr>
                  <w:rFonts w:ascii="Cambria Math" w:hAnsi="Cambria Math"/>
                  <w:color w:val="auto"/>
                </w:rPr>
              </m:ctrlPr>
            </m:e>
          </m:nary>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Sup>
                <m:sSubSupPr>
                  <m:ctrlPr>
                    <w:rPr>
                      <w:rFonts w:ascii="Cambria Math" w:hAnsi="Cambria Math"/>
                      <w:color w:val="auto"/>
                    </w:rPr>
                  </m:ctrlPr>
                </m:sSubSupPr>
                <m:e>
                  <m:acc>
                    <m:accPr>
                      <m:ctrlPr>
                        <w:rPr>
                          <w:rFonts w:ascii="Cambria Math" w:hAnsi="Cambria Math"/>
                          <w:color w:val="auto"/>
                        </w:rPr>
                      </m:ctrlPr>
                    </m:accPr>
                    <m:e>
                      <m:r>
                        <m:rPr/>
                        <w:rPr>
                          <w:rFonts w:ascii="Cambria Math" w:hAnsi="Cambria Math"/>
                          <w:color w:val="auto"/>
                        </w:rPr>
                        <m:t>y</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up>
                  <m:d>
                    <m:dPr>
                      <m:ctrlPr>
                        <w:rPr>
                          <w:rFonts w:ascii="Cambria Math" w:hAnsi="Cambria Math"/>
                          <w:color w:val="auto"/>
                        </w:rPr>
                      </m:ctrlPr>
                    </m:dPr>
                    <m:e>
                      <m:r>
                        <m:rPr/>
                        <w:rPr>
                          <w:rFonts w:ascii="Cambria Math" w:hAnsi="Cambria Math"/>
                          <w:color w:val="auto"/>
                        </w:rPr>
                        <m:t>t</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e>
                  </m:d>
                  <m:ctrlPr>
                    <w:rPr>
                      <w:rFonts w:ascii="Cambria Math" w:hAnsi="Cambria Math"/>
                      <w:color w:val="auto"/>
                    </w:rPr>
                  </m:ctrlPr>
                </m:sup>
              </m:sSubSup>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f</m:t>
                  </m:r>
                  <m:ctrlPr>
                    <w:rPr>
                      <w:rFonts w:ascii="Cambria Math" w:hAnsi="Cambria Math"/>
                      <w:color w:val="auto"/>
                    </w:rPr>
                  </m:ctrlPr>
                </m:e>
                <m:sub>
                  <m:r>
                    <m:rPr/>
                    <w:rPr>
                      <w:rFonts w:ascii="Cambria Math" w:hAnsi="Cambria Math"/>
                      <w:color w:val="auto"/>
                    </w:rPr>
                    <m:t>t</m:t>
                  </m:r>
                  <m:ctrlPr>
                    <w:rPr>
                      <w:rFonts w:ascii="Cambria Math" w:hAnsi="Cambria Math"/>
                      <w:color w:val="auto"/>
                    </w:rPr>
                  </m:ctrlPr>
                </m:sub>
              </m:sSub>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Ω</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f</m:t>
                  </m:r>
                  <m:ctrlPr>
                    <w:rPr>
                      <w:rFonts w:ascii="Cambria Math" w:hAnsi="Cambria Math"/>
                      <w:color w:val="auto"/>
                    </w:rPr>
                  </m:ctrlPr>
                </m:e>
                <m:sub>
                  <m:r>
                    <m:rPr/>
                    <w:rPr>
                      <w:rFonts w:ascii="Cambria Math" w:hAnsi="Cambria Math"/>
                      <w:color w:val="auto"/>
                    </w:rPr>
                    <m:t>t</m:t>
                  </m:r>
                  <m:ctrlPr>
                    <w:rPr>
                      <w:rFonts w:ascii="Cambria Math" w:hAnsi="Cambria Math"/>
                      <w:color w:val="auto"/>
                    </w:rPr>
                  </m:ctrlPr>
                </m:sub>
              </m:sSub>
              <m:ctrlPr>
                <w:rPr>
                  <w:rFonts w:ascii="Cambria Math" w:hAnsi="Cambria Math"/>
                  <w:color w:val="auto"/>
                </w:rPr>
              </m:ctrlPr>
            </m:e>
          </m:d>
        </m:oMath>
      </m:oMathPara>
    </w:p>
    <w:p w14:paraId="51EAB35F">
      <w:pPr>
        <w:rPr>
          <w:color w:val="auto"/>
        </w:rPr>
      </w:pPr>
      <w:r>
        <w:rPr>
          <w:color w:val="auto"/>
        </w:rPr>
        <w:t>其中，正则项写为</w:t>
      </w:r>
    </w:p>
    <w:p w14:paraId="33F01C74">
      <w:pPr>
        <w:pStyle w:val="20"/>
        <w:rPr>
          <w:color w:val="auto"/>
        </w:rPr>
      </w:pPr>
      <m:oMathPara>
        <m:oMathParaPr>
          <m:jc m:val="center"/>
        </m:oMathParaPr>
        <m:oMath>
          <m:r>
            <m:rPr/>
            <w:rPr>
              <w:rFonts w:ascii="Cambria Math" w:hAnsi="Cambria Math"/>
              <w:color w:val="auto"/>
            </w:rPr>
            <m:t>Ω</m:t>
          </m:r>
          <m:d>
            <m:dPr>
              <m:ctrlPr>
                <w:rPr>
                  <w:rFonts w:ascii="Cambria Math" w:hAnsi="Cambria Math"/>
                  <w:color w:val="auto"/>
                </w:rPr>
              </m:ctrlPr>
            </m:dPr>
            <m:e>
              <m:r>
                <m:rPr/>
                <w:rPr>
                  <w:rFonts w:ascii="Cambria Math" w:hAnsi="Cambria Math"/>
                  <w:color w:val="auto"/>
                </w:rPr>
                <m:t>f</m:t>
              </m:r>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γT</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1</m:t>
              </m:r>
              <m:ctrlPr>
                <w:rPr>
                  <w:rFonts w:ascii="Cambria Math" w:hAnsi="Cambria Math"/>
                  <w:color w:val="auto"/>
                </w:rPr>
              </m:ctrlPr>
            </m:num>
            <m:den>
              <m:r>
                <m:rPr/>
                <w:rPr>
                  <w:rFonts w:ascii="Cambria Math" w:hAnsi="Cambria Math"/>
                  <w:color w:val="auto"/>
                </w:rPr>
                <m:t>2</m:t>
              </m:r>
              <m:ctrlPr>
                <w:rPr>
                  <w:rFonts w:ascii="Cambria Math" w:hAnsi="Cambria Math"/>
                  <w:color w:val="auto"/>
                </w:rPr>
              </m:ctrlPr>
            </m:den>
          </m:f>
          <m:r>
            <m:rPr/>
            <w:rPr>
              <w:rFonts w:ascii="Cambria Math" w:hAnsi="Cambria Math"/>
              <w:color w:val="auto"/>
            </w:rPr>
            <m:t>λ</m:t>
          </m:r>
          <m:nary>
            <m:naryPr>
              <m:chr m:val="∑"/>
              <m:limLoc m:val="undOvr"/>
              <m:ctrlPr>
                <w:rPr>
                  <w:rFonts w:ascii="Cambria Math" w:hAnsi="Cambria Math"/>
                  <w:color w:val="auto"/>
                </w:rPr>
              </m:ctrlPr>
            </m:naryPr>
            <m:sub>
              <m:r>
                <m:rPr/>
                <w:rPr>
                  <w:rFonts w:ascii="Cambria Math" w:hAnsi="Cambria Math"/>
                  <w:color w:val="auto"/>
                </w:rPr>
                <m:t>j</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T</m:t>
              </m:r>
              <m:ctrlPr>
                <w:rPr>
                  <w:rFonts w:ascii="Cambria Math" w:hAnsi="Cambria Math"/>
                  <w:color w:val="auto"/>
                </w:rPr>
              </m:ctrlPr>
            </m:sup>
            <m:e>
              <m:sSubSup>
                <m:sSubSupPr>
                  <m:ctrlPr>
                    <w:rPr>
                      <w:rFonts w:ascii="Cambria Math" w:hAnsi="Cambria Math"/>
                      <w:color w:val="auto"/>
                    </w:rPr>
                  </m:ctrlPr>
                </m:sSubSupPr>
                <m:e>
                  <m:r>
                    <m:rPr/>
                    <w:rPr>
                      <w:rFonts w:ascii="Cambria Math" w:hAnsi="Cambria Math"/>
                      <w:color w:val="auto"/>
                    </w:rPr>
                    <m:t>w</m:t>
                  </m:r>
                  <m:ctrlPr>
                    <w:rPr>
                      <w:rFonts w:ascii="Cambria Math" w:hAnsi="Cambria Math"/>
                      <w:color w:val="auto"/>
                    </w:rPr>
                  </m:ctrlPr>
                </m:e>
                <m:sub>
                  <m:r>
                    <m:rPr/>
                    <w:rPr>
                      <w:rFonts w:ascii="Cambria Math" w:hAnsi="Cambria Math"/>
                      <w:color w:val="auto"/>
                    </w:rPr>
                    <m:t>j</m:t>
                  </m:r>
                  <m:ctrlPr>
                    <w:rPr>
                      <w:rFonts w:ascii="Cambria Math" w:hAnsi="Cambria Math"/>
                      <w:color w:val="auto"/>
                    </w:rPr>
                  </m:ctrlPr>
                </m:sub>
                <m:sup>
                  <m:r>
                    <m:rPr/>
                    <w:rPr>
                      <w:rFonts w:ascii="Cambria Math" w:hAnsi="Cambria Math"/>
                      <w:color w:val="auto"/>
                    </w:rPr>
                    <m:t>2</m:t>
                  </m:r>
                  <m:ctrlPr>
                    <w:rPr>
                      <w:rFonts w:ascii="Cambria Math" w:hAnsi="Cambria Math"/>
                      <w:color w:val="auto"/>
                    </w:rPr>
                  </m:ctrlPr>
                </m:sup>
              </m:sSubSup>
              <m:ctrlPr>
                <w:rPr>
                  <w:rFonts w:ascii="Cambria Math" w:hAnsi="Cambria Math"/>
                  <w:color w:val="auto"/>
                </w:rPr>
              </m:ctrlPr>
            </m:e>
          </m:nary>
        </m:oMath>
      </m:oMathPara>
    </w:p>
    <w:p w14:paraId="1D8058EC">
      <w:pPr>
        <w:rPr>
          <w:color w:val="auto"/>
        </w:rPr>
      </w:pPr>
      <w:r>
        <w:rPr>
          <w:color w:val="auto"/>
        </w:rPr>
        <w:t>式中，</w:t>
      </w:r>
      <m:oMath>
        <m:r>
          <m:rPr/>
          <w:rPr>
            <w:rFonts w:ascii="Cambria Math" w:hAnsi="Cambria Math"/>
            <w:color w:val="auto"/>
          </w:rPr>
          <m:t>T</m:t>
        </m:r>
      </m:oMath>
      <w:r>
        <w:rPr>
          <w:color w:val="auto"/>
        </w:rPr>
        <w:t xml:space="preserve"> 表示叶节点数，</w:t>
      </w:r>
      <m:oMath>
        <m:sSub>
          <m:sSubPr>
            <m:ctrlPr>
              <w:rPr>
                <w:rFonts w:ascii="Cambria Math" w:hAnsi="Cambria Math"/>
                <w:color w:val="auto"/>
              </w:rPr>
            </m:ctrlPr>
          </m:sSubPr>
          <m:e>
            <m:r>
              <m:rPr/>
              <w:rPr>
                <w:rFonts w:ascii="Cambria Math" w:hAnsi="Cambria Math"/>
                <w:color w:val="auto"/>
              </w:rPr>
              <m:t>w</m:t>
            </m:r>
            <m:ctrlPr>
              <w:rPr>
                <w:rFonts w:ascii="Cambria Math" w:hAnsi="Cambria Math"/>
                <w:color w:val="auto"/>
              </w:rPr>
            </m:ctrlPr>
          </m:e>
          <m:sub>
            <m:r>
              <m:rPr/>
              <w:rPr>
                <w:rFonts w:ascii="Cambria Math" w:hAnsi="Cambria Math"/>
                <w:color w:val="auto"/>
              </w:rPr>
              <m:t>j</m:t>
            </m:r>
            <m:ctrlPr>
              <w:rPr>
                <w:rFonts w:ascii="Cambria Math" w:hAnsi="Cambria Math"/>
                <w:color w:val="auto"/>
              </w:rPr>
            </m:ctrlPr>
          </m:sub>
        </m:sSub>
      </m:oMath>
      <w:r>
        <w:rPr>
          <w:color w:val="auto"/>
        </w:rPr>
        <w:t xml:space="preserve"> 表示叶节点权重。XGBoost 适合处理非线性关系明显、特征维度中等且类别不平衡的结构化数据。系统实验表明，在当前任务中 XGBoost 的宏平均 F1 值达到 0.3237，为当前最优候选模型。</w:t>
      </w:r>
    </w:p>
    <w:bookmarkEnd w:id="65"/>
    <w:p w14:paraId="5FE013D9">
      <w:pPr>
        <w:pStyle w:val="5"/>
        <w:rPr>
          <w:color w:val="auto"/>
        </w:rPr>
      </w:pPr>
      <w:bookmarkStart w:id="66" w:name="_Toc227613159"/>
      <w:bookmarkStart w:id="67" w:name="k近邻分类算法"/>
      <w:r>
        <w:rPr>
          <w:color w:val="auto"/>
        </w:rPr>
        <w:t>2.4.7 K近邻分类算法</w:t>
      </w:r>
      <w:bookmarkEnd w:id="66"/>
    </w:p>
    <w:p w14:paraId="32665BED">
      <w:pPr>
        <w:rPr>
          <w:color w:val="auto"/>
        </w:rPr>
      </w:pPr>
      <w:r>
        <w:rPr>
          <w:color w:val="auto"/>
        </w:rPr>
        <w:t>K 近邻分类算法根据样本在特征空间中的邻域关系进行判定。常用的欧氏距离可表示为</w:t>
      </w:r>
    </w:p>
    <w:p w14:paraId="1BE162C0">
      <w:pPr>
        <w:pStyle w:val="20"/>
        <w:rPr>
          <w:color w:val="auto"/>
        </w:rPr>
      </w:pPr>
      <m:oMathPara>
        <m:oMathParaPr>
          <m:jc m:val="center"/>
        </m:oMathParaPr>
        <m:oMath>
          <m:r>
            <m:rPr/>
            <w:rPr>
              <w:rFonts w:ascii="Cambria Math" w:hAnsi="Cambria Math"/>
              <w:color w:val="auto"/>
            </w:rPr>
            <m:t>d</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j</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m:t>
          </m:r>
          <m:rad>
            <m:radPr>
              <m:degHide m:val="1"/>
              <m:ctrlPr>
                <w:rPr>
                  <w:rFonts w:ascii="Cambria Math" w:hAnsi="Cambria Math"/>
                  <w:color w:val="auto"/>
                </w:rPr>
              </m:ctrlPr>
            </m:radPr>
            <m:deg>
              <m:ctrlPr>
                <w:rPr>
                  <w:rFonts w:ascii="Cambria Math" w:hAnsi="Cambria Math"/>
                  <w:color w:val="auto"/>
                </w:rPr>
              </m:ctrlPr>
            </m:deg>
            <m:e>
              <m:nary>
                <m:naryPr>
                  <m:chr m:val="∑"/>
                  <m:limLoc m:val="undOvr"/>
                  <m:ctrlPr>
                    <w:rPr>
                      <w:rFonts w:ascii="Cambria Math" w:hAnsi="Cambria Math"/>
                      <w:color w:val="auto"/>
                    </w:rPr>
                  </m:ctrlPr>
                </m:naryPr>
                <m:sub>
                  <m:r>
                    <m:rPr/>
                    <w:rPr>
                      <w:rFonts w:ascii="Cambria Math" w:hAnsi="Cambria Math"/>
                      <w:color w:val="auto"/>
                    </w:rPr>
                    <m:t>m</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p</m:t>
                  </m:r>
                  <m:ctrlPr>
                    <w:rPr>
                      <w:rFonts w:ascii="Cambria Math" w:hAnsi="Cambria Math"/>
                      <w:color w:val="auto"/>
                    </w:rPr>
                  </m:ctrlPr>
                </m:sup>
                <m:e>
                  <m:sSup>
                    <m:sSupPr>
                      <m:ctrlPr>
                        <w:rPr>
                          <w:rFonts w:ascii="Cambria Math" w:hAnsi="Cambria Math"/>
                          <w:color w:val="auto"/>
                        </w:rPr>
                      </m:ctrlPr>
                    </m:sSupPr>
                    <m:e>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jm</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e>
                    <m:sup>
                      <m:r>
                        <m:rPr/>
                        <w:rPr>
                          <w:rFonts w:ascii="Cambria Math" w:hAnsi="Cambria Math"/>
                          <w:color w:val="auto"/>
                        </w:rPr>
                        <m:t>2</m:t>
                      </m:r>
                      <m:ctrlPr>
                        <w:rPr>
                          <w:rFonts w:ascii="Cambria Math" w:hAnsi="Cambria Math"/>
                          <w:color w:val="auto"/>
                        </w:rPr>
                      </m:ctrlPr>
                    </m:sup>
                  </m:sSup>
                  <m:ctrlPr>
                    <w:rPr>
                      <w:rFonts w:ascii="Cambria Math" w:hAnsi="Cambria Math"/>
                      <w:color w:val="auto"/>
                    </w:rPr>
                  </m:ctrlPr>
                </m:e>
              </m:nary>
              <m:ctrlPr>
                <w:rPr>
                  <w:rFonts w:ascii="Cambria Math" w:hAnsi="Cambria Math"/>
                  <w:color w:val="auto"/>
                </w:rPr>
              </m:ctrlPr>
            </m:e>
          </m:rad>
        </m:oMath>
      </m:oMathPara>
    </w:p>
    <w:p w14:paraId="30961673">
      <w:pPr>
        <w:rPr>
          <w:color w:val="auto"/>
        </w:rPr>
      </w:pPr>
      <w:r>
        <w:rPr>
          <w:color w:val="auto"/>
        </w:rPr>
        <w:t>系统中 K 近邻模型参数规模较小、训练速度快，但其预测质量对数据尺度一致性与噪声样本较为敏感，因此预处理阶段的标准化操作对其效果尤为重要。</w:t>
      </w:r>
    </w:p>
    <w:bookmarkEnd w:id="53"/>
    <w:bookmarkEnd w:id="67"/>
    <w:p w14:paraId="08E8042F">
      <w:pPr>
        <w:pStyle w:val="4"/>
        <w:rPr>
          <w:color w:val="auto"/>
        </w:rPr>
      </w:pPr>
      <w:bookmarkStart w:id="68" w:name="_Toc227613160"/>
      <w:bookmarkStart w:id="69" w:name="模型评估指标"/>
      <w:r>
        <w:rPr>
          <w:color w:val="auto"/>
        </w:rPr>
        <w:t>2.5 模型评估指标</w:t>
      </w:r>
      <w:bookmarkEnd w:id="68"/>
    </w:p>
    <w:p w14:paraId="47F540B6">
      <w:pPr>
        <w:pStyle w:val="5"/>
        <w:rPr>
          <w:color w:val="auto"/>
        </w:rPr>
      </w:pPr>
      <w:bookmarkStart w:id="70" w:name="_Toc227613161"/>
      <w:bookmarkStart w:id="71" w:name="准确率"/>
      <w:r>
        <w:rPr>
          <w:color w:val="auto"/>
        </w:rPr>
        <w:t>2.5.1 准确率</w:t>
      </w:r>
      <w:bookmarkEnd w:id="70"/>
    </w:p>
    <w:p w14:paraId="26C06474">
      <w:pPr>
        <w:rPr>
          <w:color w:val="auto"/>
        </w:rPr>
      </w:pPr>
      <w:r>
        <w:rPr>
          <w:color w:val="auto"/>
        </w:rPr>
        <w:t>准确率用于衡量分类正确样本占总样本的比例：</w:t>
      </w:r>
    </w:p>
    <w:p w14:paraId="3DDA83EB">
      <w:pPr>
        <w:pStyle w:val="20"/>
        <w:rPr>
          <w:color w:val="auto"/>
        </w:rPr>
      </w:pPr>
      <m:oMathPara>
        <m:oMathParaPr>
          <m:jc m:val="center"/>
        </m:oMathParaPr>
        <m:oMath>
          <m:r>
            <m:rPr/>
            <w:rPr>
              <w:rFonts w:ascii="Cambria Math" w:hAnsi="Cambria Math"/>
              <w:color w:val="auto"/>
            </w:rPr>
            <m:t>Accuracy</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TP</m:t>
              </m:r>
              <m:r>
                <m:rPr>
                  <m:sty m:val="p"/>
                </m:rPr>
                <w:rPr>
                  <w:rFonts w:ascii="Cambria Math" w:hAnsi="Cambria Math"/>
                  <w:color w:val="auto"/>
                </w:rPr>
                <m:t>+</m:t>
              </m:r>
              <m:r>
                <m:rPr/>
                <w:rPr>
                  <w:rFonts w:ascii="Cambria Math" w:hAnsi="Cambria Math"/>
                  <w:color w:val="auto"/>
                </w:rPr>
                <m:t>TN</m:t>
              </m:r>
              <m:ctrlPr>
                <w:rPr>
                  <w:rFonts w:ascii="Cambria Math" w:hAnsi="Cambria Math"/>
                  <w:color w:val="auto"/>
                </w:rPr>
              </m:ctrlPr>
            </m:num>
            <m:den>
              <m:r>
                <m:rPr/>
                <w:rPr>
                  <w:rFonts w:ascii="Cambria Math" w:hAnsi="Cambria Math"/>
                  <w:color w:val="auto"/>
                </w:rPr>
                <m:t>TP</m:t>
              </m:r>
              <m:r>
                <m:rPr>
                  <m:sty m:val="p"/>
                </m:rPr>
                <w:rPr>
                  <w:rFonts w:ascii="Cambria Math" w:hAnsi="Cambria Math"/>
                  <w:color w:val="auto"/>
                </w:rPr>
                <m:t>+</m:t>
              </m:r>
              <m:r>
                <m:rPr/>
                <w:rPr>
                  <w:rFonts w:ascii="Cambria Math" w:hAnsi="Cambria Math"/>
                  <w:color w:val="auto"/>
                </w:rPr>
                <m:t>TN</m:t>
              </m:r>
              <m:r>
                <m:rPr>
                  <m:sty m:val="p"/>
                </m:rPr>
                <w:rPr>
                  <w:rFonts w:ascii="Cambria Math" w:hAnsi="Cambria Math"/>
                  <w:color w:val="auto"/>
                </w:rPr>
                <m:t>+</m:t>
              </m:r>
              <m:r>
                <m:rPr/>
                <w:rPr>
                  <w:rFonts w:ascii="Cambria Math" w:hAnsi="Cambria Math"/>
                  <w:color w:val="auto"/>
                </w:rPr>
                <m:t>FP</m:t>
              </m:r>
              <m:r>
                <m:rPr>
                  <m:sty m:val="p"/>
                </m:rPr>
                <w:rPr>
                  <w:rFonts w:ascii="Cambria Math" w:hAnsi="Cambria Math"/>
                  <w:color w:val="auto"/>
                </w:rPr>
                <m:t>+</m:t>
              </m:r>
              <m:r>
                <m:rPr/>
                <w:rPr>
                  <w:rFonts w:ascii="Cambria Math" w:hAnsi="Cambria Math"/>
                  <w:color w:val="auto"/>
                </w:rPr>
                <m:t>FN</m:t>
              </m:r>
              <m:ctrlPr>
                <w:rPr>
                  <w:rFonts w:ascii="Cambria Math" w:hAnsi="Cambria Math"/>
                  <w:color w:val="auto"/>
                </w:rPr>
              </m:ctrlPr>
            </m:den>
          </m:f>
        </m:oMath>
      </m:oMathPara>
    </w:p>
    <w:p w14:paraId="030396AE">
      <w:pPr>
        <w:rPr>
          <w:color w:val="auto"/>
        </w:rPr>
      </w:pPr>
      <w:r>
        <w:rPr>
          <w:color w:val="auto"/>
        </w:rPr>
        <w:t>在多分类场景中，上式可理解为正确预测样本数占测试样本总数的比例。尽管准确率直观，但在长尾类别环境下并不能充分反映小样本类别的识别能力。</w:t>
      </w:r>
    </w:p>
    <w:bookmarkEnd w:id="71"/>
    <w:p w14:paraId="3BB84F8D">
      <w:pPr>
        <w:pStyle w:val="5"/>
        <w:rPr>
          <w:color w:val="auto"/>
        </w:rPr>
      </w:pPr>
      <w:bookmarkStart w:id="72" w:name="_Toc227613162"/>
      <w:bookmarkStart w:id="73" w:name="平衡准确率"/>
      <w:r>
        <w:rPr>
          <w:color w:val="auto"/>
        </w:rPr>
        <w:t>2.5.2 平衡准确率</w:t>
      </w:r>
      <w:bookmarkEnd w:id="72"/>
    </w:p>
    <w:p w14:paraId="28D0B2DC">
      <w:pPr>
        <w:rPr>
          <w:color w:val="auto"/>
        </w:rPr>
      </w:pPr>
      <w:r>
        <w:rPr>
          <w:color w:val="auto"/>
        </w:rPr>
        <w:t>平衡准确率对每一类别的召回率取平均，可写为</w:t>
      </w:r>
    </w:p>
    <w:p w14:paraId="696A7C35">
      <w:pPr>
        <w:pStyle w:val="20"/>
        <w:rPr>
          <w:color w:val="auto"/>
        </w:rPr>
      </w:pPr>
      <m:oMathPara>
        <m:oMathParaPr>
          <m:jc m:val="center"/>
        </m:oMathParaPr>
        <m:oMath>
          <m:r>
            <m:rPr/>
            <w:rPr>
              <w:rFonts w:ascii="Cambria Math" w:hAnsi="Cambria Math"/>
              <w:color w:val="auto"/>
            </w:rPr>
            <m:t>BA</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1</m:t>
              </m:r>
              <m:ctrlPr>
                <w:rPr>
                  <w:rFonts w:ascii="Cambria Math" w:hAnsi="Cambria Math"/>
                  <w:color w:val="auto"/>
                </w:rPr>
              </m:ctrlPr>
            </m:num>
            <m:den>
              <m:r>
                <m:rPr/>
                <w:rPr>
                  <w:rFonts w:ascii="Cambria Math" w:hAnsi="Cambria Math"/>
                  <w:color w:val="auto"/>
                </w:rPr>
                <m:t>C</m:t>
              </m:r>
              <m:ctrlPr>
                <w:rPr>
                  <w:rFonts w:ascii="Cambria Math" w:hAnsi="Cambria Math"/>
                  <w:color w:val="auto"/>
                </w:rPr>
              </m:ctrlPr>
            </m:den>
          </m:f>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C</m:t>
              </m:r>
              <m:ctrlPr>
                <w:rPr>
                  <w:rFonts w:ascii="Cambria Math" w:hAnsi="Cambria Math"/>
                  <w:color w:val="auto"/>
                </w:rPr>
              </m:ctrlPr>
            </m:sup>
            <m:e>
              <m:r>
                <m:rPr/>
                <w:rPr>
                  <w:rFonts w:ascii="Cambria Math" w:hAnsi="Cambria Math"/>
                  <w:color w:val="auto"/>
                </w:rPr>
                <m:t>R</m:t>
              </m:r>
              <m:ctrlPr>
                <w:rPr>
                  <w:rFonts w:ascii="Cambria Math" w:hAnsi="Cambria Math"/>
                  <w:color w:val="auto"/>
                </w:rPr>
              </m:ctrlPr>
            </m:e>
          </m:nary>
          <m:r>
            <m:rPr/>
            <w:rPr>
              <w:rFonts w:ascii="Cambria Math" w:hAnsi="Cambria Math"/>
              <w:color w:val="auto"/>
            </w:rPr>
            <m:t>ecal</m:t>
          </m:r>
          <m:sSub>
            <m:sSubPr>
              <m:ctrlPr>
                <w:rPr>
                  <w:rFonts w:ascii="Cambria Math" w:hAnsi="Cambria Math"/>
                  <w:color w:val="auto"/>
                </w:rPr>
              </m:ctrlPr>
            </m:sSubPr>
            <m:e>
              <m:r>
                <m:rPr/>
                <w:rPr>
                  <w:rFonts w:ascii="Cambria Math" w:hAnsi="Cambria Math"/>
                  <w:color w:val="auto"/>
                </w:rPr>
                <m:t>l</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oMath>
      </m:oMathPara>
    </w:p>
    <w:p w14:paraId="352BF8BD">
      <w:pPr>
        <w:rPr>
          <w:color w:val="auto"/>
        </w:rPr>
      </w:pPr>
      <w:r>
        <w:rPr>
          <w:color w:val="auto"/>
        </w:rPr>
        <w:t>其中，</w:t>
      </w:r>
      <m:oMath>
        <m:r>
          <m:rPr/>
          <w:rPr>
            <w:rFonts w:ascii="Cambria Math" w:hAnsi="Cambria Math"/>
            <w:color w:val="auto"/>
          </w:rPr>
          <m:t>C</m:t>
        </m:r>
      </m:oMath>
      <w:r>
        <w:rPr>
          <w:color w:val="auto"/>
        </w:rPr>
        <w:t xml:space="preserve"> 为类别数量。该指标能够削弱头部类别数量优势对评价结果的影响，更适合类别不均衡任务。</w:t>
      </w:r>
    </w:p>
    <w:bookmarkEnd w:id="73"/>
    <w:p w14:paraId="72F22B52">
      <w:pPr>
        <w:pStyle w:val="5"/>
        <w:rPr>
          <w:color w:val="auto"/>
        </w:rPr>
      </w:pPr>
      <w:bookmarkStart w:id="74" w:name="_Toc227613163"/>
      <w:bookmarkStart w:id="75" w:name="精确率召回率与-f1-值"/>
      <w:r>
        <w:rPr>
          <w:color w:val="auto"/>
        </w:rPr>
        <w:t>2.5.3 精确率、召回率与 F1 值</w:t>
      </w:r>
      <w:bookmarkEnd w:id="74"/>
    </w:p>
    <w:p w14:paraId="4F74DFA0">
      <w:pPr>
        <w:rPr>
          <w:color w:val="auto"/>
        </w:rPr>
      </w:pPr>
      <w:r>
        <w:rPr>
          <w:color w:val="auto"/>
        </w:rPr>
        <w:t>精确率与召回率分别定义为</w:t>
      </w:r>
    </w:p>
    <w:p w14:paraId="51B3DA43">
      <w:pPr>
        <w:pStyle w:val="20"/>
        <w:rPr>
          <w:color w:val="auto"/>
        </w:rPr>
      </w:pPr>
      <m:oMathPara>
        <m:oMathParaPr>
          <m:jc m:val="center"/>
        </m:oMathParaPr>
        <m:oMath>
          <m:r>
            <m:rPr/>
            <w:rPr>
              <w:rFonts w:ascii="Cambria Math" w:hAnsi="Cambria Math"/>
              <w:color w:val="auto"/>
            </w:rPr>
            <m:t>Precision</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TP</m:t>
              </m:r>
              <m:ctrlPr>
                <w:rPr>
                  <w:rFonts w:ascii="Cambria Math" w:hAnsi="Cambria Math"/>
                  <w:color w:val="auto"/>
                </w:rPr>
              </m:ctrlPr>
            </m:num>
            <m:den>
              <m:r>
                <m:rPr/>
                <w:rPr>
                  <w:rFonts w:ascii="Cambria Math" w:hAnsi="Cambria Math"/>
                  <w:color w:val="auto"/>
                </w:rPr>
                <m:t>TP</m:t>
              </m:r>
              <m:r>
                <m:rPr>
                  <m:sty m:val="p"/>
                </m:rPr>
                <w:rPr>
                  <w:rFonts w:ascii="Cambria Math" w:hAnsi="Cambria Math"/>
                  <w:color w:val="auto"/>
                </w:rPr>
                <m:t>+</m:t>
              </m:r>
              <m:r>
                <m:rPr/>
                <w:rPr>
                  <w:rFonts w:ascii="Cambria Math" w:hAnsi="Cambria Math"/>
                  <w:color w:val="auto"/>
                </w:rPr>
                <m:t>FP</m:t>
              </m:r>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 Recall</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TP</m:t>
              </m:r>
              <m:ctrlPr>
                <w:rPr>
                  <w:rFonts w:ascii="Cambria Math" w:hAnsi="Cambria Math"/>
                  <w:color w:val="auto"/>
                </w:rPr>
              </m:ctrlPr>
            </m:num>
            <m:den>
              <m:r>
                <m:rPr/>
                <w:rPr>
                  <w:rFonts w:ascii="Cambria Math" w:hAnsi="Cambria Math"/>
                  <w:color w:val="auto"/>
                </w:rPr>
                <m:t>TP</m:t>
              </m:r>
              <m:r>
                <m:rPr>
                  <m:sty m:val="p"/>
                </m:rPr>
                <w:rPr>
                  <w:rFonts w:ascii="Cambria Math" w:hAnsi="Cambria Math"/>
                  <w:color w:val="auto"/>
                </w:rPr>
                <m:t>+</m:t>
              </m:r>
              <m:r>
                <m:rPr/>
                <w:rPr>
                  <w:rFonts w:ascii="Cambria Math" w:hAnsi="Cambria Math"/>
                  <w:color w:val="auto"/>
                </w:rPr>
                <m:t>FN</m:t>
              </m:r>
              <m:ctrlPr>
                <w:rPr>
                  <w:rFonts w:ascii="Cambria Math" w:hAnsi="Cambria Math"/>
                  <w:color w:val="auto"/>
                </w:rPr>
              </m:ctrlPr>
            </m:den>
          </m:f>
        </m:oMath>
      </m:oMathPara>
    </w:p>
    <w:p w14:paraId="7BC90DB5">
      <w:pPr>
        <w:rPr>
          <w:color w:val="auto"/>
        </w:rPr>
      </w:pPr>
      <w:r>
        <w:rPr>
          <w:color w:val="auto"/>
        </w:rPr>
        <w:t>F1 值为两者的调和平均：</w:t>
      </w:r>
    </w:p>
    <w:p w14:paraId="6B1FE2FF">
      <w:pPr>
        <w:pStyle w:val="2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F</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2</m:t>
              </m:r>
              <m:r>
                <m:rPr>
                  <m:sty m:val="p"/>
                </m:rPr>
                <w:rPr>
                  <w:rFonts w:ascii="Cambria Math" w:hAnsi="Cambria Math"/>
                  <w:color w:val="auto"/>
                </w:rPr>
                <m:t>×</m:t>
              </m:r>
              <m:r>
                <m:rPr/>
                <w:rPr>
                  <w:rFonts w:ascii="Cambria Math" w:hAnsi="Cambria Math"/>
                  <w:color w:val="auto"/>
                </w:rPr>
                <m:t>Precision</m:t>
              </m:r>
              <m:r>
                <m:rPr>
                  <m:sty m:val="p"/>
                </m:rPr>
                <w:rPr>
                  <w:rFonts w:ascii="Cambria Math" w:hAnsi="Cambria Math"/>
                  <w:color w:val="auto"/>
                </w:rPr>
                <m:t>×</m:t>
              </m:r>
              <m:r>
                <m:rPr/>
                <w:rPr>
                  <w:rFonts w:ascii="Cambria Math" w:hAnsi="Cambria Math"/>
                  <w:color w:val="auto"/>
                </w:rPr>
                <m:t>Recall</m:t>
              </m:r>
              <m:ctrlPr>
                <w:rPr>
                  <w:rFonts w:ascii="Cambria Math" w:hAnsi="Cambria Math"/>
                  <w:color w:val="auto"/>
                </w:rPr>
              </m:ctrlPr>
            </m:num>
            <m:den>
              <m:r>
                <m:rPr/>
                <w:rPr>
                  <w:rFonts w:ascii="Cambria Math" w:hAnsi="Cambria Math"/>
                  <w:color w:val="auto"/>
                </w:rPr>
                <m:t>Precision</m:t>
              </m:r>
              <m:r>
                <m:rPr>
                  <m:sty m:val="p"/>
                </m:rPr>
                <w:rPr>
                  <w:rFonts w:ascii="Cambria Math" w:hAnsi="Cambria Math"/>
                  <w:color w:val="auto"/>
                </w:rPr>
                <m:t>+</m:t>
              </m:r>
              <m:r>
                <m:rPr/>
                <w:rPr>
                  <w:rFonts w:ascii="Cambria Math" w:hAnsi="Cambria Math"/>
                  <w:color w:val="auto"/>
                </w:rPr>
                <m:t>Recall</m:t>
              </m:r>
              <m:ctrlPr>
                <w:rPr>
                  <w:rFonts w:ascii="Cambria Math" w:hAnsi="Cambria Math"/>
                  <w:color w:val="auto"/>
                </w:rPr>
              </m:ctrlPr>
            </m:den>
          </m:f>
        </m:oMath>
      </m:oMathPara>
    </w:p>
    <w:p w14:paraId="41542F6C">
      <w:pPr>
        <w:rPr>
          <w:color w:val="auto"/>
        </w:rPr>
      </w:pPr>
      <w:r>
        <w:rPr>
          <w:color w:val="auto"/>
        </w:rPr>
        <w:t>系统在加权平均 F1 与宏平均 F1 两个层面考察模型质量，以兼顾总体性能和类别均衡表现。</w:t>
      </w:r>
    </w:p>
    <w:bookmarkEnd w:id="75"/>
    <w:p w14:paraId="55AC1388">
      <w:pPr>
        <w:pStyle w:val="5"/>
        <w:rPr>
          <w:color w:val="auto"/>
        </w:rPr>
      </w:pPr>
      <w:bookmarkStart w:id="76" w:name="_Toc227613164"/>
      <w:bookmarkStart w:id="77" w:name="宏平均-f1-值"/>
      <w:r>
        <w:rPr>
          <w:color w:val="auto"/>
        </w:rPr>
        <w:t>2.5.4 宏平均 F1 值</w:t>
      </w:r>
      <w:bookmarkEnd w:id="76"/>
    </w:p>
    <w:p w14:paraId="45762551">
      <w:pPr>
        <w:rPr>
          <w:color w:val="auto"/>
        </w:rPr>
      </w:pPr>
      <w:r>
        <w:rPr>
          <w:color w:val="auto"/>
        </w:rPr>
        <w:t>宏平均 F1 对所有类别的 F1 进行等权平均：</w:t>
      </w:r>
    </w:p>
    <w:p w14:paraId="60827741">
      <w:pPr>
        <w:pStyle w:val="20"/>
        <w:rPr>
          <w:color w:val="auto"/>
        </w:rPr>
      </w:pPr>
      <m:oMathPara>
        <m:oMathParaPr>
          <m:jc m:val="center"/>
        </m:oMathParaPr>
        <m:oMath>
          <m:r>
            <m:rPr/>
            <w:rPr>
              <w:rFonts w:ascii="Cambria Math" w:hAnsi="Cambria Math"/>
              <w:color w:val="auto"/>
            </w:rPr>
            <m:t>Macro</m:t>
          </m:r>
          <m:r>
            <m:rPr>
              <m:nor/>
              <m:sty m:val="p"/>
            </m:rPr>
            <w:rPr>
              <w:b w:val="0"/>
              <w:i w:val="0"/>
              <w:color w:val="auto"/>
            </w:rPr>
            <m:t>-</m:t>
          </m:r>
          <m:sSub>
            <m:sSubPr>
              <m:ctrlPr>
                <w:rPr>
                  <w:rFonts w:ascii="Cambria Math" w:hAnsi="Cambria Math"/>
                  <w:color w:val="auto"/>
                </w:rPr>
              </m:ctrlPr>
            </m:sSubPr>
            <m:e>
              <m:r>
                <m:rPr/>
                <w:rPr>
                  <w:rFonts w:ascii="Cambria Math" w:hAnsi="Cambria Math"/>
                  <w:color w:val="auto"/>
                </w:rPr>
                <m:t>F</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1</m:t>
              </m:r>
              <m:ctrlPr>
                <w:rPr>
                  <w:rFonts w:ascii="Cambria Math" w:hAnsi="Cambria Math"/>
                  <w:color w:val="auto"/>
                </w:rPr>
              </m:ctrlPr>
            </m:num>
            <m:den>
              <m:r>
                <m:rPr/>
                <w:rPr>
                  <w:rFonts w:ascii="Cambria Math" w:hAnsi="Cambria Math"/>
                  <w:color w:val="auto"/>
                </w:rPr>
                <m:t>C</m:t>
              </m:r>
              <m:ctrlPr>
                <w:rPr>
                  <w:rFonts w:ascii="Cambria Math" w:hAnsi="Cambria Math"/>
                  <w:color w:val="auto"/>
                </w:rPr>
              </m:ctrlPr>
            </m:den>
          </m:f>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C</m:t>
              </m:r>
              <m:ctrlPr>
                <w:rPr>
                  <w:rFonts w:ascii="Cambria Math" w:hAnsi="Cambria Math"/>
                  <w:color w:val="auto"/>
                </w:rPr>
              </m:ctrlPr>
            </m:sup>
            <m:e>
              <m:sSub>
                <m:sSubPr>
                  <m:ctrlPr>
                    <w:rPr>
                      <w:rFonts w:ascii="Cambria Math" w:hAnsi="Cambria Math"/>
                      <w:color w:val="auto"/>
                    </w:rPr>
                  </m:ctrlPr>
                </m:sSubPr>
                <m:e>
                  <m:r>
                    <m:rPr/>
                    <w:rPr>
                      <w:rFonts w:ascii="Cambria Math" w:hAnsi="Cambria Math"/>
                      <w:color w:val="auto"/>
                    </w:rPr>
                    <m:t>F</m:t>
                  </m:r>
                  <m:ctrlPr>
                    <w:rPr>
                      <w:rFonts w:ascii="Cambria Math" w:hAnsi="Cambria Math"/>
                      <w:color w:val="auto"/>
                    </w:rPr>
                  </m:ctrlPr>
                </m:e>
                <m:sub>
                  <m:r>
                    <m:rPr/>
                    <w:rPr>
                      <w:rFonts w:ascii="Cambria Math" w:hAnsi="Cambria Math"/>
                      <w:color w:val="auto"/>
                    </w:rPr>
                    <m:t>1</m:t>
                  </m:r>
                  <m:r>
                    <m:rPr>
                      <m:sty m:val="p"/>
                    </m:rPr>
                    <w:rPr>
                      <w:rFonts w:ascii="Cambria Math" w:hAnsi="Cambria Math"/>
                      <w:color w:val="auto"/>
                    </w:rPr>
                    <m:t>,</m:t>
                  </m:r>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nary>
        </m:oMath>
      </m:oMathPara>
    </w:p>
    <w:p w14:paraId="0825E8DC">
      <w:pPr>
        <w:rPr>
          <w:color w:val="auto"/>
        </w:rPr>
      </w:pPr>
      <w:r>
        <w:rPr>
          <w:color w:val="auto"/>
        </w:rPr>
        <w:t>由于每一类被赋予相同权重，该指标特别适合评价长尾物种分类任务，因此系统将其作为最优模型选择的核心指标。</w:t>
      </w:r>
    </w:p>
    <w:bookmarkEnd w:id="77"/>
    <w:p w14:paraId="3162F725">
      <w:pPr>
        <w:pStyle w:val="5"/>
        <w:rPr>
          <w:color w:val="auto"/>
        </w:rPr>
      </w:pPr>
      <w:bookmarkStart w:id="78" w:name="_Toc227613165"/>
      <w:bookmarkStart w:id="79" w:name="top-3-准确率"/>
      <w:r>
        <w:rPr>
          <w:color w:val="auto"/>
        </w:rPr>
        <w:t>2.5.5 Top-3 准确率</w:t>
      </w:r>
      <w:bookmarkEnd w:id="78"/>
    </w:p>
    <w:p w14:paraId="3CB01B43">
      <w:pPr>
        <w:rPr>
          <w:color w:val="auto"/>
        </w:rPr>
      </w:pPr>
      <w:r>
        <w:rPr>
          <w:color w:val="auto"/>
        </w:rPr>
        <w:t>在类别数量较多且类别边界存在不确定性的条件下，候选集评价具有较高价值。系统采用 Top-3 准确率衡量真实类别是否位于预测概率前三位：</w:t>
      </w:r>
    </w:p>
    <w:p w14:paraId="4B12A47E">
      <w:pPr>
        <w:pStyle w:val="20"/>
        <w:rPr>
          <w:color w:val="auto"/>
        </w:rPr>
      </w:pPr>
      <m:oMathPara>
        <m:oMathParaPr>
          <m:jc m:val="center"/>
        </m:oMathParaPr>
        <m:oMath>
          <m:r>
            <m:rPr/>
            <w:rPr>
              <w:rFonts w:ascii="Cambria Math" w:hAnsi="Cambria Math"/>
              <w:color w:val="auto"/>
            </w:rPr>
            <m:t>Top</m:t>
          </m:r>
          <m:r>
            <m:rPr>
              <m:nor/>
              <m:sty m:val="p"/>
            </m:rPr>
            <w:rPr>
              <w:b w:val="0"/>
              <w:i w:val="0"/>
              <w:color w:val="auto"/>
            </w:rPr>
            <m:t>-</m:t>
          </m:r>
          <m:r>
            <m:rPr/>
            <w:rPr>
              <w:rFonts w:ascii="Cambria Math" w:hAnsi="Cambria Math"/>
              <w:color w:val="auto"/>
            </w:rPr>
            <m:t>3</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1</m:t>
              </m:r>
              <m:ctrlPr>
                <w:rPr>
                  <w:rFonts w:ascii="Cambria Math" w:hAnsi="Cambria Math"/>
                  <w:color w:val="auto"/>
                </w:rPr>
              </m:ctrlPr>
            </m:num>
            <m:den>
              <m:r>
                <m:rPr/>
                <w:rPr>
                  <w:rFonts w:ascii="Cambria Math" w:hAnsi="Cambria Math"/>
                  <w:color w:val="auto"/>
                </w:rPr>
                <m:t>N</m:t>
              </m:r>
              <m:ctrlPr>
                <w:rPr>
                  <w:rFonts w:ascii="Cambria Math" w:hAnsi="Cambria Math"/>
                  <w:color w:val="auto"/>
                </w:rPr>
              </m:ctrlPr>
            </m:den>
          </m:f>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r>
                <m:rPr/>
                <w:rPr>
                  <w:rFonts w:ascii="Cambria Math" w:hAnsi="Cambria Math"/>
                  <w:color w:val="auto"/>
                </w:rPr>
                <m:t>I</m:t>
              </m:r>
              <m:ctrlPr>
                <w:rPr>
                  <w:rFonts w:ascii="Cambria Math" w:hAnsi="Cambria Math"/>
                  <w:color w:val="auto"/>
                </w:rPr>
              </m:ctrlPr>
            </m:e>
          </m:nary>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Sup>
                <m:sSubSupPr>
                  <m:ctrlPr>
                    <w:rPr>
                      <w:rFonts w:ascii="Cambria Math" w:hAnsi="Cambria Math"/>
                      <w:color w:val="auto"/>
                    </w:rPr>
                  </m:ctrlPr>
                </m:sSubSupPr>
                <m:e>
                  <m:r>
                    <m:rPr/>
                    <w:rPr>
                      <w:rFonts w:ascii="Cambria Math" w:hAnsi="Cambria Math"/>
                      <w:color w:val="auto"/>
                    </w:rPr>
                    <m:t>T</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up>
                  <m:d>
                    <m:dPr>
                      <m:ctrlPr>
                        <w:rPr>
                          <w:rFonts w:ascii="Cambria Math" w:hAnsi="Cambria Math"/>
                          <w:color w:val="auto"/>
                        </w:rPr>
                      </m:ctrlPr>
                    </m:dPr>
                    <m:e>
                      <m:r>
                        <m:rPr/>
                        <w:rPr>
                          <w:rFonts w:ascii="Cambria Math" w:hAnsi="Cambria Math"/>
                          <w:color w:val="auto"/>
                        </w:rPr>
                        <m:t>3</m:t>
                      </m:r>
                      <m:ctrlPr>
                        <w:rPr>
                          <w:rFonts w:ascii="Cambria Math" w:hAnsi="Cambria Math"/>
                          <w:color w:val="auto"/>
                        </w:rPr>
                      </m:ctrlPr>
                    </m:e>
                  </m:d>
                  <m:ctrlPr>
                    <w:rPr>
                      <w:rFonts w:ascii="Cambria Math" w:hAnsi="Cambria Math"/>
                      <w:color w:val="auto"/>
                    </w:rPr>
                  </m:ctrlPr>
                </m:sup>
              </m:sSubSup>
              <m:ctrlPr>
                <w:rPr>
                  <w:rFonts w:ascii="Cambria Math" w:hAnsi="Cambria Math"/>
                  <w:color w:val="auto"/>
                </w:rPr>
              </m:ctrlPr>
            </m:e>
          </m:d>
        </m:oMath>
      </m:oMathPara>
    </w:p>
    <w:p w14:paraId="253D56BC">
      <w:pPr>
        <w:rPr>
          <w:color w:val="auto"/>
        </w:rPr>
      </w:pPr>
      <w:r>
        <w:rPr>
          <w:color w:val="auto"/>
        </w:rPr>
        <w:t>其中，</w:t>
      </w:r>
      <m:oMath>
        <m:sSubSup>
          <m:sSubSupPr>
            <m:ctrlPr>
              <w:rPr>
                <w:rFonts w:ascii="Cambria Math" w:hAnsi="Cambria Math"/>
                <w:color w:val="auto"/>
              </w:rPr>
            </m:ctrlPr>
          </m:sSubSupPr>
          <m:e>
            <m:r>
              <m:rPr/>
              <w:rPr>
                <w:rFonts w:ascii="Cambria Math" w:hAnsi="Cambria Math"/>
                <w:color w:val="auto"/>
              </w:rPr>
              <m:t>T</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up>
            <m:d>
              <m:dPr>
                <m:ctrlPr>
                  <w:rPr>
                    <w:rFonts w:ascii="Cambria Math" w:hAnsi="Cambria Math"/>
                    <w:color w:val="auto"/>
                  </w:rPr>
                </m:ctrlPr>
              </m:dPr>
              <m:e>
                <m:r>
                  <m:rPr/>
                  <w:rPr>
                    <w:rFonts w:ascii="Cambria Math" w:hAnsi="Cambria Math"/>
                    <w:color w:val="auto"/>
                  </w:rPr>
                  <m:t>3</m:t>
                </m:r>
                <m:ctrlPr>
                  <w:rPr>
                    <w:rFonts w:ascii="Cambria Math" w:hAnsi="Cambria Math"/>
                    <w:color w:val="auto"/>
                  </w:rPr>
                </m:ctrlPr>
              </m:e>
            </m:d>
            <m:ctrlPr>
              <w:rPr>
                <w:rFonts w:ascii="Cambria Math" w:hAnsi="Cambria Math"/>
                <w:color w:val="auto"/>
              </w:rPr>
            </m:ctrlPr>
          </m:sup>
        </m:sSubSup>
      </m:oMath>
      <w:r>
        <w:rPr>
          <w:color w:val="auto"/>
        </w:rPr>
        <w:t xml:space="preserve"> 表示第 </w:t>
      </w:r>
      <m:oMath>
        <m:r>
          <m:rPr/>
          <w:rPr>
            <w:rFonts w:ascii="Cambria Math" w:hAnsi="Cambria Math"/>
            <w:color w:val="auto"/>
          </w:rPr>
          <m:t>i</m:t>
        </m:r>
      </m:oMath>
      <w:r>
        <w:rPr>
          <w:color w:val="auto"/>
        </w:rPr>
        <w:t xml:space="preserve"> 个样本的前三候选类别集合。该指标能够反映模型作为辅助判别工具时的参考价值。</w:t>
      </w:r>
    </w:p>
    <w:bookmarkEnd w:id="79"/>
    <w:p w14:paraId="3D351F6C">
      <w:pPr>
        <w:pStyle w:val="5"/>
        <w:rPr>
          <w:color w:val="auto"/>
        </w:rPr>
      </w:pPr>
      <w:bookmarkStart w:id="80" w:name="_Toc227613166"/>
      <w:bookmarkStart w:id="81" w:name="未知占比与已知类准确率"/>
      <w:r>
        <w:rPr>
          <w:color w:val="auto"/>
        </w:rPr>
        <w:t>2.5.6 未知占比与已知类准确率</w:t>
      </w:r>
      <w:bookmarkEnd w:id="80"/>
    </w:p>
    <w:p w14:paraId="3A0343C2">
      <w:pPr>
        <w:rPr>
          <w:color w:val="auto"/>
        </w:rPr>
      </w:pPr>
      <w:r>
        <w:rPr>
          <w:color w:val="auto"/>
        </w:rPr>
        <w:t>针对 Unknown Stonefly 类可能过度吸收样本的问题，系统引入未知预测占比与已知类准确率两个指标。未知预测占比定义为</w:t>
      </w:r>
    </w:p>
    <w:p w14:paraId="2A4B34EE">
      <w:pPr>
        <w:pStyle w:val="20"/>
        <w:rPr>
          <w:color w:val="auto"/>
        </w:rPr>
      </w:pPr>
      <m:oMathPara>
        <m:oMathParaPr>
          <m:jc m:val="center"/>
        </m:oMathParaPr>
        <m:oMath>
          <m:r>
            <m:rPr/>
            <w:rPr>
              <w:rFonts w:ascii="Cambria Math" w:hAnsi="Cambria Math"/>
              <w:color w:val="auto"/>
            </w:rPr>
            <m:t>UPR</m:t>
          </m:r>
          <m:r>
            <m:rPr>
              <m:sty m:val="p"/>
            </m:rPr>
            <w:rPr>
              <w:rFonts w:ascii="Cambria Math" w:hAnsi="Cambria Math"/>
              <w:color w:val="auto"/>
            </w:rPr>
            <m:t>=</m:t>
          </m:r>
          <m:f>
            <m:fPr>
              <m:ctrlPr>
                <w:rPr>
                  <w:rFonts w:ascii="Cambria Math" w:hAnsi="Cambria Math"/>
                  <w:color w:val="auto"/>
                </w:rPr>
              </m:ctrlPr>
            </m:fPr>
            <m:num>
              <m:r>
                <m:rPr/>
                <w:rPr>
                  <w:rFonts w:ascii="Cambria Math" w:hAnsi="Cambria Math"/>
                  <w:color w:val="auto"/>
                </w:rPr>
                <m:t>1</m:t>
              </m:r>
              <m:ctrlPr>
                <w:rPr>
                  <w:rFonts w:ascii="Cambria Math" w:hAnsi="Cambria Math"/>
                  <w:color w:val="auto"/>
                </w:rPr>
              </m:ctrlPr>
            </m:num>
            <m:den>
              <m:r>
                <m:rPr/>
                <w:rPr>
                  <w:rFonts w:ascii="Cambria Math" w:hAnsi="Cambria Math"/>
                  <w:color w:val="auto"/>
                </w:rPr>
                <m:t>N</m:t>
              </m:r>
              <m:ctrlPr>
                <w:rPr>
                  <w:rFonts w:ascii="Cambria Math" w:hAnsi="Cambria Math"/>
                  <w:color w:val="auto"/>
                </w:rPr>
              </m:ctrlPr>
            </m:den>
          </m:f>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r>
                <m:rPr/>
                <w:rPr>
                  <w:rFonts w:ascii="Cambria Math" w:hAnsi="Cambria Math"/>
                  <w:color w:val="auto"/>
                </w:rPr>
                <m:t>I</m:t>
              </m:r>
              <m:ctrlPr>
                <w:rPr>
                  <w:rFonts w:ascii="Cambria Math" w:hAnsi="Cambria Math"/>
                  <w:color w:val="auto"/>
                </w:rPr>
              </m:ctrlPr>
            </m:e>
          </m:nary>
          <m:d>
            <m:dPr>
              <m:ctrlPr>
                <w:rPr>
                  <w:rFonts w:ascii="Cambria Math" w:hAnsi="Cambria Math"/>
                  <w:color w:val="auto"/>
                </w:rPr>
              </m:ctrlPr>
            </m:dPr>
            <m:e>
              <m:sSub>
                <m:sSubPr>
                  <m:ctrlPr>
                    <w:rPr>
                      <w:rFonts w:ascii="Cambria Math" w:hAnsi="Cambria Math"/>
                      <w:color w:val="auto"/>
                    </w:rPr>
                  </m:ctrlPr>
                </m:sSubPr>
                <m:e>
                  <m:acc>
                    <m:accPr>
                      <m:ctrlPr>
                        <w:rPr>
                          <w:rFonts w:ascii="Cambria Math" w:hAnsi="Cambria Math"/>
                          <w:color w:val="auto"/>
                        </w:rPr>
                      </m:ctrlPr>
                    </m:accPr>
                    <m:e>
                      <m:r>
                        <m:rPr/>
                        <w:rPr>
                          <w:rFonts w:ascii="Cambria Math" w:hAnsi="Cambria Math"/>
                          <w:color w:val="auto"/>
                        </w:rPr>
                        <m:t>y</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u</m:t>
              </m:r>
              <m:ctrlPr>
                <w:rPr>
                  <w:rFonts w:ascii="Cambria Math" w:hAnsi="Cambria Math"/>
                  <w:color w:val="auto"/>
                </w:rPr>
              </m:ctrlPr>
            </m:e>
          </m:d>
        </m:oMath>
      </m:oMathPara>
    </w:p>
    <w:p w14:paraId="223A64EE">
      <w:pPr>
        <w:rPr>
          <w:color w:val="auto"/>
        </w:rPr>
      </w:pPr>
      <w:r>
        <w:rPr>
          <w:color w:val="auto"/>
        </w:rPr>
        <w:t>其中，</w:t>
      </w:r>
      <m:oMath>
        <m:r>
          <m:rPr/>
          <w:rPr>
            <w:rFonts w:ascii="Cambria Math" w:hAnsi="Cambria Math"/>
            <w:color w:val="auto"/>
          </w:rPr>
          <m:t>u</m:t>
        </m:r>
      </m:oMath>
      <w:r>
        <w:rPr>
          <w:color w:val="auto"/>
        </w:rPr>
        <w:t xml:space="preserve"> 表示 Unknown 类别。已知类准确率定义为</w:t>
      </w:r>
    </w:p>
    <w:p w14:paraId="353EC977">
      <w:pPr>
        <w:pStyle w:val="20"/>
        <w:rPr>
          <w:color w:val="auto"/>
        </w:rPr>
      </w:pPr>
      <m:oMathPara>
        <m:oMathParaPr>
          <m:jc m:val="center"/>
        </m:oMathParaPr>
        <m:oMath>
          <m:r>
            <m:rPr/>
            <w:rPr>
              <w:rFonts w:ascii="Cambria Math" w:hAnsi="Cambria Math"/>
              <w:color w:val="auto"/>
            </w:rPr>
            <m:t>KOA</m:t>
          </m:r>
          <m:r>
            <m:rPr>
              <m:sty m:val="p"/>
            </m:rPr>
            <w:rPr>
              <w:rFonts w:ascii="Cambria Math" w:hAnsi="Cambria Math"/>
              <w:color w:val="auto"/>
            </w:rPr>
            <m:t>=</m:t>
          </m:r>
          <m:f>
            <m:fPr>
              <m:ctrlPr>
                <w:rPr>
                  <w:rFonts w:ascii="Cambria Math" w:hAnsi="Cambria Math"/>
                  <w:color w:val="auto"/>
                </w:rPr>
              </m:ctrlPr>
            </m:fPr>
            <m:num>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r>
                    <m:rPr/>
                    <w:rPr>
                      <w:rFonts w:ascii="Cambria Math" w:hAnsi="Cambria Math"/>
                      <w:color w:val="auto"/>
                    </w:rPr>
                    <m:t>I</m:t>
                  </m:r>
                  <m:ctrlPr>
                    <w:rPr>
                      <w:rFonts w:ascii="Cambria Math" w:hAnsi="Cambria Math"/>
                      <w:color w:val="auto"/>
                    </w:rPr>
                  </m:ctrlPr>
                </m:e>
              </m:nary>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u</m:t>
                  </m:r>
                  <m:r>
                    <m:rPr>
                      <m:sty m:val="p"/>
                    </m:rPr>
                    <w:rPr>
                      <w:rFonts w:ascii="Cambria Math" w:hAnsi="Cambria Math"/>
                      <w:color w:val="auto"/>
                    </w:rPr>
                    <m:t>∧</m:t>
                  </m:r>
                  <m:sSub>
                    <m:sSubPr>
                      <m:ctrlPr>
                        <w:rPr>
                          <w:rFonts w:ascii="Cambria Math" w:hAnsi="Cambria Math"/>
                          <w:color w:val="auto"/>
                        </w:rPr>
                      </m:ctrlPr>
                    </m:sSubPr>
                    <m:e>
                      <m:acc>
                        <m:accPr>
                          <m:ctrlPr>
                            <w:rPr>
                              <w:rFonts w:ascii="Cambria Math" w:hAnsi="Cambria Math"/>
                              <w:color w:val="auto"/>
                            </w:rPr>
                          </m:ctrlPr>
                        </m:accPr>
                        <m:e>
                          <m:r>
                            <m:rPr/>
                            <w:rPr>
                              <w:rFonts w:ascii="Cambria Math" w:hAnsi="Cambria Math"/>
                              <w:color w:val="auto"/>
                            </w:rPr>
                            <m:t>y</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num>
            <m:den>
              <m:nary>
                <m:naryPr>
                  <m:chr m:val="∑"/>
                  <m:limLoc m:val="undOvr"/>
                  <m:ctrlPr>
                    <w:rPr>
                      <w:rFonts w:ascii="Cambria Math" w:hAnsi="Cambria Math"/>
                      <w:color w:val="auto"/>
                    </w:rPr>
                  </m:ctrlPr>
                </m:naryPr>
                <m:sub>
                  <m:r>
                    <m:rPr/>
                    <w:rPr>
                      <w:rFonts w:ascii="Cambria Math" w:hAnsi="Cambria Math"/>
                      <w:color w:val="auto"/>
                    </w:rPr>
                    <m:t>i</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r>
                    <m:rPr/>
                    <w:rPr>
                      <w:rFonts w:ascii="Cambria Math" w:hAnsi="Cambria Math"/>
                      <w:color w:val="auto"/>
                    </w:rPr>
                    <m:t>I</m:t>
                  </m:r>
                  <m:ctrlPr>
                    <w:rPr>
                      <w:rFonts w:ascii="Cambria Math" w:hAnsi="Cambria Math"/>
                      <w:color w:val="auto"/>
                    </w:rPr>
                  </m:ctrlPr>
                </m:e>
              </m:nary>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u</m:t>
                  </m:r>
                  <m:ctrlPr>
                    <w:rPr>
                      <w:rFonts w:ascii="Cambria Math" w:hAnsi="Cambria Math"/>
                      <w:color w:val="auto"/>
                    </w:rPr>
                  </m:ctrlPr>
                </m:e>
              </m:d>
              <m:ctrlPr>
                <w:rPr>
                  <w:rFonts w:ascii="Cambria Math" w:hAnsi="Cambria Math"/>
                  <w:color w:val="auto"/>
                </w:rPr>
              </m:ctrlPr>
            </m:den>
          </m:f>
        </m:oMath>
      </m:oMathPara>
    </w:p>
    <w:p w14:paraId="44C3AD40">
      <w:pPr>
        <w:rPr>
          <w:color w:val="auto"/>
        </w:rPr>
      </w:pPr>
      <w:r>
        <w:rPr>
          <w:color w:val="auto"/>
        </w:rPr>
        <w:t>该指标体系有助于判断模型是否因 Unknown 类占比过大而牺牲具体物种识别能力。</w:t>
      </w:r>
    </w:p>
    <w:bookmarkEnd w:id="69"/>
    <w:bookmarkEnd w:id="81"/>
    <w:p w14:paraId="21DA53FB">
      <w:pPr>
        <w:pStyle w:val="4"/>
        <w:rPr>
          <w:color w:val="auto"/>
        </w:rPr>
      </w:pPr>
      <w:bookmarkStart w:id="82" w:name="_Toc227613167"/>
      <w:bookmarkStart w:id="83" w:name="本章小结"/>
      <w:r>
        <w:rPr>
          <w:color w:val="auto"/>
        </w:rPr>
        <w:t>2.6 本章小结</w:t>
      </w:r>
      <w:bookmarkEnd w:id="82"/>
    </w:p>
    <w:p w14:paraId="4FD494F5">
      <w:pPr>
        <w:rPr>
          <w:color w:val="auto"/>
        </w:rPr>
      </w:pPr>
      <w:r>
        <w:rPr>
          <w:color w:val="auto"/>
        </w:rPr>
        <w:t>本章围绕系统所依赖的关键技术与理论基础展开分析，说明了前端框架、后端接口、特征工程方法、多模型训练方法以及评价指标体系的理论依据。由此可见，系统并非简单的页面封装，而是建立在完整的数据治理与模型评估体系之上的软件实现。</w:t>
      </w:r>
    </w:p>
    <w:bookmarkEnd w:id="31"/>
    <w:bookmarkEnd w:id="83"/>
    <w:p w14:paraId="29634D80">
      <w:pPr>
        <w:pStyle w:val="3"/>
        <w:rPr>
          <w:color w:val="auto"/>
        </w:rPr>
      </w:pPr>
      <w:bookmarkStart w:id="84" w:name="_Toc227613168"/>
      <w:bookmarkStart w:id="85" w:name="第3章-系统需求分析"/>
      <w:r>
        <w:rPr>
          <w:color w:val="auto"/>
        </w:rPr>
        <w:t>第3章 系统需求分析</w:t>
      </w:r>
      <w:bookmarkEnd w:id="84"/>
    </w:p>
    <w:p w14:paraId="61A100D0">
      <w:pPr>
        <w:pStyle w:val="4"/>
        <w:rPr>
          <w:color w:val="auto"/>
        </w:rPr>
      </w:pPr>
      <w:bookmarkStart w:id="86" w:name="_Toc227613169"/>
      <w:bookmarkStart w:id="87" w:name="系统建设目标"/>
      <w:r>
        <w:rPr>
          <w:color w:val="auto"/>
        </w:rPr>
        <w:t>3.1 系统建设目标</w:t>
      </w:r>
      <w:bookmarkEnd w:id="86"/>
    </w:p>
    <w:p w14:paraId="78A9192E">
      <w:pPr>
        <w:rPr>
          <w:color w:val="auto"/>
        </w:rPr>
      </w:pPr>
      <w:r>
        <w:rPr>
          <w:color w:val="auto"/>
        </w:rPr>
        <w:t>系统建设目标可概括为三个方面。其一，建立可复现的石蝇分类训练流程，使结构化样本数据能够完成从探索、预处理、特征工程到模型评估的完整计算过程。其二，建立可交互的分类服务界面，使用户无需理解训练细节即可完成特征录入与分类预测。其三，建立可解释的性能展示与实验对比界面，使模型效果、类别分布和参数扫描结果能够以图表和统计指标方式呈现。</w:t>
      </w:r>
    </w:p>
    <w:p w14:paraId="0A37EFF4">
      <w:pPr>
        <w:pStyle w:val="20"/>
        <w:rPr>
          <w:color w:val="auto"/>
        </w:rPr>
      </w:pPr>
      <w:r>
        <w:rPr>
          <w:color w:val="auto"/>
        </w:rPr>
        <w:t>从实现边界看，系统不涉及用户注册、权限控制、关系数据库事务以及在线增量学习，而是聚焦于单用户访问场景下的分类服务、可视化展示与实验复现。这一定位与源码中实际实现的模块边界保持一致，也更契合毕业设计阶段的工程范围控制。</w:t>
      </w:r>
    </w:p>
    <w:bookmarkEnd w:id="87"/>
    <w:p w14:paraId="1EFD0908">
      <w:pPr>
        <w:pStyle w:val="4"/>
        <w:rPr>
          <w:color w:val="auto"/>
        </w:rPr>
      </w:pPr>
      <w:bookmarkStart w:id="88" w:name="_Toc227613170"/>
      <w:bookmarkStart w:id="89" w:name="业务流程分析"/>
      <w:r>
        <w:rPr>
          <w:color w:val="auto"/>
        </w:rPr>
        <w:t>3.2 业务流程分析</w:t>
      </w:r>
      <w:bookmarkEnd w:id="88"/>
    </w:p>
    <w:p w14:paraId="6C5043E2">
      <w:pPr>
        <w:rPr>
          <w:color w:val="auto"/>
        </w:rPr>
      </w:pPr>
      <w:r>
        <w:rPr>
          <w:color w:val="auto"/>
        </w:rPr>
        <w:t>系统业务流程由离线训练流程与在线预测流程共同构成。离线流程由训练脚本驱动：首先读取 CSV 数据并生成探索报告，随后执行类别过滤与 Unknown 类比例控制，再对数据进行编码与标准化，在此基础上完成 PCA 分析和 LASSO 特征选择，最后训练四类候选模型并输出评估结果。在线流程由前端页面驱动：用户提交七个特征字段后，后端读取预处理器和最优模型，完成特征变换、分类推断与候选结果排序，最终将结构化结果返回前端页面展示。</w:t>
      </w:r>
    </w:p>
    <w:p w14:paraId="5E4915FB">
      <w:pPr>
        <w:pStyle w:val="20"/>
        <w:rPr>
          <w:color w:val="auto"/>
        </w:rPr>
      </w:pPr>
      <w:r>
        <w:rPr>
          <w:color w:val="auto"/>
        </w:rPr>
        <w:t>这种“离线训练—在线服务”的分离方式能够降低部署时的计算压力。模型训练是耗时环节，不适合在页面请求过程中实时执行；而在线接口只需加载持久化对象并完成矩阵变换和预测操作，从而满足页面级交互响应需求。</w:t>
      </w:r>
    </w:p>
    <w:bookmarkEnd w:id="89"/>
    <w:p w14:paraId="34DD3924">
      <w:pPr>
        <w:pStyle w:val="4"/>
        <w:rPr>
          <w:color w:val="auto"/>
        </w:rPr>
      </w:pPr>
      <w:bookmarkStart w:id="90" w:name="_Toc227613171"/>
      <w:bookmarkStart w:id="91" w:name="功能需求分析"/>
      <w:r>
        <w:rPr>
          <w:color w:val="auto"/>
        </w:rPr>
        <w:t>3.3 功能需求分析</w:t>
      </w:r>
      <w:bookmarkEnd w:id="90"/>
    </w:p>
    <w:p w14:paraId="5FF7DD57">
      <w:pPr>
        <w:pStyle w:val="5"/>
        <w:rPr>
          <w:color w:val="auto"/>
        </w:rPr>
      </w:pPr>
      <w:bookmarkStart w:id="92" w:name="_Toc227613173"/>
      <w:bookmarkStart w:id="93" w:name="石蝇特征输入需求"/>
      <w:r>
        <w:rPr>
          <w:color w:val="auto"/>
        </w:rPr>
        <w:t>3.3.</w:t>
      </w:r>
      <w:r>
        <w:rPr>
          <w:rFonts w:hint="eastAsia" w:eastAsia="宋体"/>
          <w:color w:val="auto"/>
          <w:lang w:val="en-US" w:eastAsia="zh-CN"/>
        </w:rPr>
        <w:t>1</w:t>
      </w:r>
      <w:r>
        <w:rPr>
          <w:color w:val="auto"/>
        </w:rPr>
        <w:t xml:space="preserve"> 石蝇特征输入需求</w:t>
      </w:r>
      <w:bookmarkEnd w:id="92"/>
    </w:p>
    <w:p w14:paraId="42F32EB2">
      <w:pPr>
        <w:rPr>
          <w:color w:val="auto"/>
        </w:rPr>
      </w:pPr>
      <w:r>
        <w:rPr>
          <w:color w:val="auto"/>
        </w:rPr>
        <w:t>预测页面需要支持纬度、经度、国家、科、体长、颜色和头部特征七项字段输入。其中，经纬度为数值型输入，国家、科、颜色和头部特征为限定选项，体长采用滑块与输入框联动。页面应具备字段校验功能，确保每项输入在提交前完整且位于合理范围之内。</w:t>
      </w:r>
    </w:p>
    <w:bookmarkEnd w:id="93"/>
    <w:p w14:paraId="06533637">
      <w:pPr>
        <w:pStyle w:val="5"/>
        <w:rPr>
          <w:color w:val="auto"/>
        </w:rPr>
      </w:pPr>
      <w:bookmarkStart w:id="94" w:name="_Toc227613174"/>
      <w:bookmarkStart w:id="95" w:name="分类预测结果展示需求"/>
      <w:r>
        <w:rPr>
          <w:color w:val="auto"/>
        </w:rPr>
        <w:t>3.3.</w:t>
      </w:r>
      <w:r>
        <w:rPr>
          <w:rFonts w:hint="eastAsia" w:eastAsia="宋体"/>
          <w:color w:val="auto"/>
          <w:lang w:val="en-US" w:eastAsia="zh-CN"/>
        </w:rPr>
        <w:t>2</w:t>
      </w:r>
      <w:r>
        <w:rPr>
          <w:color w:val="auto"/>
        </w:rPr>
        <w:t xml:space="preserve"> 分类预测结果展示需求</w:t>
      </w:r>
      <w:bookmarkEnd w:id="94"/>
    </w:p>
    <w:p w14:paraId="41537D66">
      <w:pPr>
        <w:rPr>
          <w:color w:val="auto"/>
        </w:rPr>
      </w:pPr>
      <w:r>
        <w:rPr>
          <w:color w:val="auto"/>
        </w:rPr>
        <w:t>系统需要在预测完成后输出预测类别、置信度和 Top-3 候选结果，并通过进度条和表格方式增强可读性。后端进一步返回 confidence_level、should_review 和 fallback_prediction 等辅助字段，为后续完善人工复核机制预留空间。因此，结果展示需求不仅包括单一类别输出，还包括候选集和置信度相关信息的组织。</w:t>
      </w:r>
    </w:p>
    <w:bookmarkEnd w:id="95"/>
    <w:p w14:paraId="3AFE8C58">
      <w:pPr>
        <w:pStyle w:val="5"/>
        <w:rPr>
          <w:color w:val="auto"/>
        </w:rPr>
      </w:pPr>
      <w:bookmarkStart w:id="96" w:name="_Toc227613175"/>
      <w:bookmarkStart w:id="97" w:name="模型性能展示需求"/>
      <w:r>
        <w:rPr>
          <w:color w:val="auto"/>
        </w:rPr>
        <w:t>3.3.</w:t>
      </w:r>
      <w:r>
        <w:rPr>
          <w:rFonts w:hint="eastAsia" w:eastAsia="宋体"/>
          <w:color w:val="auto"/>
          <w:lang w:val="en-US" w:eastAsia="zh-CN"/>
        </w:rPr>
        <w:t>3</w:t>
      </w:r>
      <w:r>
        <w:rPr>
          <w:color w:val="auto"/>
        </w:rPr>
        <w:t xml:space="preserve"> 模型性能展示需求</w:t>
      </w:r>
      <w:bookmarkEnd w:id="96"/>
    </w:p>
    <w:p w14:paraId="525AE116">
      <w:pPr>
        <w:rPr>
          <w:color w:val="auto"/>
        </w:rPr>
      </w:pPr>
      <w:r>
        <w:rPr>
          <w:color w:val="auto"/>
        </w:rPr>
        <w:t>系统应向用户展示最优模型名称、主要评价指标及不同模型之间的横向比较结果。源码中数据大屏页面通过统计卡片、表格和图片卡片共同完成这一任务，因此性能展示需求包含数值汇总、模型对比和图表呈现三个层次。</w:t>
      </w:r>
    </w:p>
    <w:bookmarkEnd w:id="97"/>
    <w:p w14:paraId="0379F006">
      <w:pPr>
        <w:pStyle w:val="5"/>
        <w:rPr>
          <w:color w:val="auto"/>
        </w:rPr>
      </w:pPr>
      <w:bookmarkStart w:id="98" w:name="_Toc227613176"/>
      <w:bookmarkStart w:id="99" w:name="数据统计分析展示需求"/>
      <w:r>
        <w:rPr>
          <w:color w:val="auto"/>
        </w:rPr>
        <w:t>3.3.</w:t>
      </w:r>
      <w:r>
        <w:rPr>
          <w:rFonts w:hint="eastAsia" w:eastAsia="宋体"/>
          <w:color w:val="auto"/>
          <w:lang w:val="en-US" w:eastAsia="zh-CN"/>
        </w:rPr>
        <w:t>4</w:t>
      </w:r>
      <w:r>
        <w:rPr>
          <w:color w:val="auto"/>
        </w:rPr>
        <w:t xml:space="preserve"> 数据统计分析展示需求</w:t>
      </w:r>
      <w:bookmarkEnd w:id="98"/>
    </w:p>
    <w:p w14:paraId="77F9C049">
      <w:pPr>
        <w:rPr>
          <w:color w:val="auto"/>
        </w:rPr>
      </w:pPr>
      <w:r>
        <w:rPr>
          <w:color w:val="auto"/>
        </w:rPr>
        <w:t>为增强系统可解释性，需要向用户展示样本规模、类别分布、特征分布和相关性分析结果。由于这些内容在训练阶段已由 JSON 报告与 PNG 图表形式持久化，前端页面只需按需读取并展示即可。该需求体现了算法系统不仅要给出结果，还要具备分析过程可视化能力。</w:t>
      </w:r>
    </w:p>
    <w:bookmarkEnd w:id="99"/>
    <w:p w14:paraId="56CB3585">
      <w:pPr>
        <w:rPr>
          <w:color w:val="auto"/>
        </w:rPr>
      </w:pPr>
      <w:bookmarkStart w:id="100" w:name="可视化图表访问需求"/>
      <w:r>
        <w:rPr>
          <w:color w:val="auto"/>
        </w:rPr>
        <w:t>数据大屏页需要能够直接访问模型对比图、类别分布图、特征分布图和相关矩阵图等资源。后端因此需提供图像文件访问接口，并在图像不存在时返回错误信息。前端则需要通过 fetch 或 img 标签探测文件可用性，保证页面在资源缺失时不会出现崩溃。</w:t>
      </w:r>
    </w:p>
    <w:bookmarkEnd w:id="91"/>
    <w:bookmarkEnd w:id="100"/>
    <w:p w14:paraId="4CD12268">
      <w:pPr>
        <w:pStyle w:val="4"/>
        <w:rPr>
          <w:color w:val="auto"/>
        </w:rPr>
      </w:pPr>
      <w:bookmarkStart w:id="101" w:name="_Toc227613178"/>
      <w:bookmarkStart w:id="102" w:name="非功能需求分析"/>
      <w:r>
        <w:rPr>
          <w:color w:val="auto"/>
        </w:rPr>
        <w:t>3.4 非功能需求分析</w:t>
      </w:r>
      <w:bookmarkEnd w:id="101"/>
    </w:p>
    <w:p w14:paraId="0E21C9A0">
      <w:pPr>
        <w:pStyle w:val="5"/>
        <w:rPr>
          <w:color w:val="auto"/>
        </w:rPr>
      </w:pPr>
      <w:bookmarkStart w:id="103" w:name="_Toc227613179"/>
      <w:bookmarkStart w:id="104" w:name="准确性需求"/>
      <w:r>
        <w:rPr>
          <w:color w:val="auto"/>
        </w:rPr>
        <w:t>3.4.1 准确性需求</w:t>
      </w:r>
      <w:bookmarkEnd w:id="103"/>
    </w:p>
    <w:p w14:paraId="4140AA6F">
      <w:pPr>
        <w:rPr>
          <w:color w:val="auto"/>
        </w:rPr>
      </w:pPr>
      <w:r>
        <w:rPr>
          <w:color w:val="auto"/>
        </w:rPr>
        <w:t>作为分类系统，预测正确性与类别均衡表现是核心要求。系统不仅需要提升总体准确率，还需要避免模型将过多样本吸附到 Unknown 类，故必须从指标设计和数据平衡策略两方面满足准确性需求。</w:t>
      </w:r>
    </w:p>
    <w:bookmarkEnd w:id="104"/>
    <w:p w14:paraId="68D73DB6">
      <w:pPr>
        <w:pStyle w:val="5"/>
        <w:rPr>
          <w:color w:val="auto"/>
        </w:rPr>
      </w:pPr>
      <w:bookmarkStart w:id="105" w:name="_Toc227613180"/>
      <w:bookmarkStart w:id="106" w:name="响应性能需求"/>
      <w:r>
        <w:rPr>
          <w:color w:val="auto"/>
        </w:rPr>
        <w:t>3.4.2 响应性能需求</w:t>
      </w:r>
      <w:bookmarkEnd w:id="105"/>
    </w:p>
    <w:p w14:paraId="246763B5">
      <w:pPr>
        <w:rPr>
          <w:color w:val="auto"/>
        </w:rPr>
      </w:pPr>
      <w:r>
        <w:rPr>
          <w:color w:val="auto"/>
        </w:rPr>
        <w:t>在线预测接口的运行流程以对象加载、特征变换和模型推断为主，不应包含耗时的训练过程。系统需要在页面交互层面提供较快响应，确保用户提交特征后能够在短时间内看到预测结果。对于数据大屏图表加载，也需要依赖静态 PNG 资源而非实时绘图，以减少浏览器端压力。</w:t>
      </w:r>
    </w:p>
    <w:bookmarkEnd w:id="106"/>
    <w:p w14:paraId="2D68E282">
      <w:pPr>
        <w:pStyle w:val="5"/>
        <w:rPr>
          <w:color w:val="auto"/>
        </w:rPr>
      </w:pPr>
      <w:bookmarkStart w:id="107" w:name="_Toc227613181"/>
      <w:bookmarkStart w:id="108" w:name="可维护性需求"/>
      <w:r>
        <w:rPr>
          <w:color w:val="auto"/>
        </w:rPr>
        <w:t>3.4.3 可维护性需求</w:t>
      </w:r>
      <w:bookmarkEnd w:id="107"/>
    </w:p>
    <w:p w14:paraId="2BC66135">
      <w:pPr>
        <w:rPr>
          <w:color w:val="auto"/>
        </w:rPr>
      </w:pPr>
      <w:r>
        <w:rPr>
          <w:color w:val="auto"/>
        </w:rPr>
        <w:t>系统源码需要具备较清晰的目录划分。当前工程中，前端、后端、机器学习模块、实验脚本和可视化资源均采用独立目录管理，预处理器、评估报告与图像资源也使用明确文件名存储，有利于维护者定位模块并复现实验。</w:t>
      </w:r>
    </w:p>
    <w:bookmarkEnd w:id="108"/>
    <w:p w14:paraId="748BE8C5">
      <w:pPr>
        <w:pStyle w:val="5"/>
        <w:rPr>
          <w:color w:val="auto"/>
        </w:rPr>
      </w:pPr>
      <w:bookmarkStart w:id="109" w:name="_Toc227613182"/>
      <w:bookmarkStart w:id="110" w:name="可扩展性需求"/>
      <w:r>
        <w:rPr>
          <w:color w:val="auto"/>
        </w:rPr>
        <w:t>3.4.4 可扩展性需求</w:t>
      </w:r>
      <w:bookmarkEnd w:id="109"/>
    </w:p>
    <w:p w14:paraId="366DC873">
      <w:pPr>
        <w:rPr>
          <w:color w:val="auto"/>
        </w:rPr>
      </w:pPr>
      <w:r>
        <w:rPr>
          <w:color w:val="auto"/>
        </w:rPr>
        <w:t>分类系统后续可能扩展到更多类别、更复杂特征字段或其他生物分类任务。因此，接口设计应避免与单一页面强耦合，数据存储应采用可替换的文件对象组织方式，训练脚本应支持参数化输入。当前系统通过train.py参数和 experiments/unknown_cap_sweep.py 脚本体现了一定扩展能力。</w:t>
      </w:r>
    </w:p>
    <w:bookmarkEnd w:id="110"/>
    <w:p w14:paraId="2CAFB96C">
      <w:pPr>
        <w:pStyle w:val="5"/>
        <w:rPr>
          <w:color w:val="auto"/>
        </w:rPr>
      </w:pPr>
      <w:bookmarkStart w:id="111" w:name="_Toc227613183"/>
      <w:bookmarkStart w:id="112" w:name="可用性需求"/>
      <w:r>
        <w:rPr>
          <w:color w:val="auto"/>
        </w:rPr>
        <w:t>3.4.5 可用性需求</w:t>
      </w:r>
      <w:bookmarkEnd w:id="111"/>
    </w:p>
    <w:p w14:paraId="6C692F4F">
      <w:pPr>
        <w:rPr>
          <w:color w:val="auto"/>
        </w:rPr>
      </w:pPr>
      <w:r>
        <w:rPr>
          <w:color w:val="auto"/>
        </w:rPr>
        <w:t>可用性要求主要体现在输入便捷、界面直观、错误提示明确。预测页面通过下拉选项、数字输入框和滑块减少错误输入概率；后端在缺少字段、类别值未见或模型文件缺失时返回清晰的错误消息；前端则使用消息提示和空状态组件向用户反馈处理结果。</w:t>
      </w:r>
    </w:p>
    <w:bookmarkEnd w:id="102"/>
    <w:bookmarkEnd w:id="112"/>
    <w:p w14:paraId="1A48EA0E">
      <w:pPr>
        <w:pStyle w:val="4"/>
        <w:rPr>
          <w:color w:val="auto"/>
        </w:rPr>
      </w:pPr>
      <w:bookmarkStart w:id="113" w:name="_Toc227613184"/>
      <w:bookmarkStart w:id="114" w:name="数据需求分析"/>
      <w:r>
        <w:rPr>
          <w:color w:val="auto"/>
        </w:rPr>
        <w:t>3.5 数据需求分析</w:t>
      </w:r>
      <w:bookmarkEnd w:id="113"/>
    </w:p>
    <w:p w14:paraId="7A47D467">
      <w:pPr>
        <w:pStyle w:val="5"/>
        <w:rPr>
          <w:color w:val="auto"/>
        </w:rPr>
      </w:pPr>
      <w:bookmarkStart w:id="115" w:name="_Toc227613185"/>
      <w:bookmarkStart w:id="116" w:name="样本字段组成分析"/>
      <w:r>
        <w:rPr>
          <w:color w:val="auto"/>
        </w:rPr>
        <w:t>3.5.1 样本字段组成分析</w:t>
      </w:r>
      <w:bookmarkEnd w:id="115"/>
    </w:p>
    <w:p w14:paraId="30AC71E6">
      <w:pPr>
        <w:rPr>
          <w:color w:val="auto"/>
        </w:rPr>
      </w:pPr>
      <w:r>
        <w:rPr>
          <w:color w:val="auto"/>
        </w:rPr>
        <w:t>数据探索报告显示，原始样本共包含 8 个字段，其中 species 为目标字段，lat、lon 和 body_length_mm 为数值特征，country、family、color 和 head_feature 为分类型特征。字段设计如表3-1所示。</w:t>
      </w:r>
    </w:p>
    <w:p w14:paraId="4E57A69E">
      <w:pPr>
        <w:pStyle w:val="20"/>
        <w:rPr>
          <w:color w:val="auto"/>
        </w:rPr>
      </w:pPr>
      <w:r>
        <w:rPr>
          <w:color w:val="auto"/>
        </w:rPr>
        <w:t>表3-1 样本字段设计</w:t>
      </w:r>
      <w:r>
        <w:rPr>
          <w:color w:val="auto"/>
        </w:rPr>
        <w:br w:type="textWrapping"/>
      </w:r>
    </w:p>
    <w:tbl>
      <w:tblPr>
        <w:tblStyle w:val="41"/>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4"/>
        <w:gridCol w:w="1281"/>
        <w:gridCol w:w="1446"/>
        <w:gridCol w:w="2359"/>
      </w:tblGrid>
      <w:tr w14:paraId="43EA0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972A626">
            <w:pPr>
              <w:pStyle w:val="20"/>
              <w:bidi w:val="0"/>
            </w:pPr>
            <w:r>
              <w:rPr>
                <w:lang w:val="en-US" w:eastAsia="zh-CN"/>
              </w:rPr>
              <w:t>字段名</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A9953B7">
            <w:pPr>
              <w:pStyle w:val="20"/>
              <w:bidi w:val="0"/>
              <w:ind w:left="0" w:leftChars="0" w:firstLine="0" w:firstLineChars="0"/>
            </w:pPr>
            <w:r>
              <w:rPr>
                <w:lang w:val="en-US" w:eastAsia="zh-CN"/>
              </w:rPr>
              <w:t>字段类</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C5FF6E3">
            <w:pPr>
              <w:pStyle w:val="20"/>
              <w:bidi w:val="0"/>
              <w:ind w:left="0" w:leftChars="0" w:firstLine="0" w:firstLineChars="0"/>
            </w:pPr>
            <w:r>
              <w:rPr>
                <w:lang w:val="en-US" w:eastAsia="zh-CN"/>
              </w:rPr>
              <w:t>取值形式</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7238CDF">
            <w:pPr>
              <w:pStyle w:val="20"/>
              <w:bidi w:val="0"/>
            </w:pPr>
            <w:r>
              <w:rPr>
                <w:lang w:val="en-US" w:eastAsia="zh-CN"/>
              </w:rPr>
              <w:t>说明</w:t>
            </w:r>
          </w:p>
        </w:tc>
      </w:tr>
      <w:tr w14:paraId="28CA2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C308DCA">
            <w:pPr>
              <w:pStyle w:val="20"/>
              <w:bidi w:val="0"/>
            </w:pPr>
            <w:r>
              <w:rPr>
                <w:lang w:val="en-US" w:eastAsia="zh-CN"/>
              </w:rPr>
              <w:t>species</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37C965F">
            <w:pPr>
              <w:pStyle w:val="20"/>
              <w:bidi w:val="0"/>
              <w:ind w:left="0" w:leftChars="0" w:firstLine="0" w:firstLineChars="0"/>
            </w:pPr>
            <w:r>
              <w:rPr>
                <w:lang w:val="en-US" w:eastAsia="zh-CN"/>
              </w:rPr>
              <w:t>目标字段</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A1B073D">
            <w:pPr>
              <w:pStyle w:val="20"/>
              <w:bidi w:val="0"/>
              <w:ind w:left="0" w:leftChars="0" w:firstLine="0" w:firstLineChars="0"/>
            </w:pPr>
            <w:r>
              <w:rPr>
                <w:lang w:val="en-US" w:eastAsia="zh-CN"/>
              </w:rPr>
              <w:t>类别标签</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591617A">
            <w:pPr>
              <w:pStyle w:val="20"/>
              <w:bidi w:val="0"/>
              <w:ind w:left="0" w:leftChars="0" w:firstLine="0" w:firstLineChars="0"/>
            </w:pPr>
            <w:r>
              <w:rPr>
                <w:lang w:val="en-US" w:eastAsia="zh-CN"/>
              </w:rPr>
              <w:t>石蝇物种名称，用于监督学习目标输出</w:t>
            </w:r>
          </w:p>
        </w:tc>
      </w:tr>
      <w:tr w14:paraId="59E42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AAF3390">
            <w:pPr>
              <w:pStyle w:val="20"/>
              <w:bidi w:val="0"/>
            </w:pPr>
            <w:r>
              <w:rPr>
                <w:lang w:val="en-US" w:eastAsia="zh-CN"/>
              </w:rPr>
              <w:t>lat</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6E883F7">
            <w:pPr>
              <w:pStyle w:val="20"/>
              <w:bidi w:val="0"/>
              <w:ind w:left="0" w:leftChars="0" w:firstLine="0" w:firstLineChars="0"/>
            </w:pPr>
            <w:r>
              <w:rPr>
                <w:lang w:val="en-US" w:eastAsia="zh-CN"/>
              </w:rPr>
              <w:t>数值型</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894A2CF">
            <w:pPr>
              <w:pStyle w:val="20"/>
              <w:bidi w:val="0"/>
              <w:ind w:left="0" w:leftChars="0" w:firstLine="0" w:firstLineChars="0"/>
            </w:pPr>
            <w:r>
              <w:rPr>
                <w:lang w:val="en-US" w:eastAsia="zh-CN"/>
              </w:rPr>
              <w:t>地理纬度</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320B20E">
            <w:pPr>
              <w:pStyle w:val="20"/>
              <w:bidi w:val="0"/>
            </w:pPr>
            <w:r>
              <w:rPr>
                <w:lang w:val="en-US" w:eastAsia="zh-CN"/>
              </w:rPr>
              <w:t>样本采集点纬度坐标</w:t>
            </w:r>
          </w:p>
        </w:tc>
      </w:tr>
      <w:tr w14:paraId="4E812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4627D44">
            <w:pPr>
              <w:pStyle w:val="20"/>
              <w:bidi w:val="0"/>
            </w:pPr>
            <w:r>
              <w:rPr>
                <w:lang w:val="en-US" w:eastAsia="zh-CN"/>
              </w:rPr>
              <w:t>lon</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9E07FA2">
            <w:pPr>
              <w:pStyle w:val="20"/>
              <w:bidi w:val="0"/>
              <w:ind w:left="0" w:leftChars="0" w:firstLine="0" w:firstLineChars="0"/>
            </w:pPr>
            <w:r>
              <w:rPr>
                <w:lang w:val="en-US" w:eastAsia="zh-CN"/>
              </w:rPr>
              <w:t>数值型</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2700F3F">
            <w:pPr>
              <w:pStyle w:val="20"/>
              <w:bidi w:val="0"/>
              <w:ind w:left="0" w:leftChars="0" w:firstLine="0" w:firstLineChars="0"/>
            </w:pPr>
            <w:r>
              <w:rPr>
                <w:lang w:val="en-US" w:eastAsia="zh-CN"/>
              </w:rPr>
              <w:t>地理经度</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E68E271">
            <w:pPr>
              <w:pStyle w:val="20"/>
              <w:bidi w:val="0"/>
            </w:pPr>
            <w:r>
              <w:rPr>
                <w:lang w:val="en-US" w:eastAsia="zh-CN"/>
              </w:rPr>
              <w:t>样本采集点经度坐标</w:t>
            </w:r>
          </w:p>
        </w:tc>
      </w:tr>
      <w:tr w14:paraId="78449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B01B8C8">
            <w:pPr>
              <w:pStyle w:val="20"/>
              <w:bidi w:val="0"/>
            </w:pPr>
            <w:r>
              <w:rPr>
                <w:lang w:val="en-US" w:eastAsia="zh-CN"/>
              </w:rPr>
              <w:t>country</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C3D7842">
            <w:pPr>
              <w:pStyle w:val="20"/>
              <w:bidi w:val="0"/>
              <w:ind w:left="0" w:leftChars="0" w:firstLine="0" w:firstLineChars="0"/>
            </w:pPr>
            <w:r>
              <w:rPr>
                <w:lang w:val="en-US" w:eastAsia="zh-CN"/>
              </w:rPr>
              <w:t>分类型</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52B79D6">
            <w:pPr>
              <w:pStyle w:val="20"/>
              <w:bidi w:val="0"/>
              <w:ind w:left="0" w:leftChars="0" w:firstLine="0" w:firstLineChars="0"/>
            </w:pPr>
            <w:r>
              <w:rPr>
                <w:lang w:val="en-US" w:eastAsia="zh-CN"/>
              </w:rPr>
              <w:t>国家</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63AB3B5">
            <w:pPr>
              <w:pStyle w:val="20"/>
              <w:bidi w:val="0"/>
              <w:ind w:left="0" w:leftChars="0" w:firstLine="0" w:firstLineChars="0"/>
            </w:pPr>
            <w:r>
              <w:rPr>
                <w:lang w:val="en-US" w:eastAsia="zh-CN"/>
              </w:rPr>
              <w:t>样本所属国家或地区</w:t>
            </w:r>
          </w:p>
        </w:tc>
      </w:tr>
      <w:tr w14:paraId="5E9A4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7FDE6D9">
            <w:pPr>
              <w:pStyle w:val="20"/>
              <w:bidi w:val="0"/>
            </w:pPr>
            <w:r>
              <w:rPr>
                <w:lang w:val="en-US" w:eastAsia="zh-CN"/>
              </w:rPr>
              <w:t>family</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1EE6358">
            <w:pPr>
              <w:pStyle w:val="20"/>
              <w:bidi w:val="0"/>
              <w:ind w:left="0" w:leftChars="0" w:firstLine="0" w:firstLineChars="0"/>
            </w:pPr>
            <w:r>
              <w:rPr>
                <w:lang w:val="en-US" w:eastAsia="zh-CN"/>
              </w:rPr>
              <w:t>分类型</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6F81F43">
            <w:pPr>
              <w:pStyle w:val="20"/>
              <w:bidi w:val="0"/>
              <w:ind w:left="0" w:leftChars="0" w:firstLine="0" w:firstLineChars="0"/>
            </w:pPr>
            <w:r>
              <w:rPr>
                <w:lang w:val="en-US" w:eastAsia="zh-CN"/>
              </w:rPr>
              <w:t>科</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A355280">
            <w:pPr>
              <w:pStyle w:val="20"/>
              <w:bidi w:val="0"/>
              <w:ind w:left="0" w:leftChars="0" w:firstLine="0" w:firstLineChars="0"/>
            </w:pPr>
            <w:r>
              <w:rPr>
                <w:lang w:val="en-US" w:eastAsia="zh-CN"/>
              </w:rPr>
              <w:t>石蝇科级分类信息</w:t>
            </w:r>
          </w:p>
        </w:tc>
      </w:tr>
      <w:tr w14:paraId="6AF5D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57FDDF1">
            <w:pPr>
              <w:pStyle w:val="20"/>
              <w:bidi w:val="0"/>
            </w:pPr>
            <w:r>
              <w:rPr>
                <w:lang w:val="en-US" w:eastAsia="zh-CN"/>
              </w:rPr>
              <w:t>body_length_mm</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9AFE4D0">
            <w:pPr>
              <w:pStyle w:val="20"/>
              <w:bidi w:val="0"/>
              <w:ind w:left="0" w:leftChars="0" w:firstLine="0" w:firstLineChars="0"/>
            </w:pPr>
            <w:r>
              <w:rPr>
                <w:lang w:val="en-US" w:eastAsia="zh-CN"/>
              </w:rPr>
              <w:t>数值型</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E4099A0">
            <w:pPr>
              <w:pStyle w:val="20"/>
              <w:bidi w:val="0"/>
              <w:ind w:left="0" w:leftChars="0" w:firstLine="0" w:firstLineChars="0"/>
            </w:pPr>
            <w:r>
              <w:rPr>
                <w:lang w:val="en-US" w:eastAsia="zh-CN"/>
              </w:rPr>
              <w:t>毫米</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6D5A4AD">
            <w:pPr>
              <w:pStyle w:val="20"/>
              <w:bidi w:val="0"/>
              <w:ind w:left="0" w:leftChars="0" w:firstLine="0" w:firstLineChars="0"/>
            </w:pPr>
            <w:r>
              <w:rPr>
                <w:lang w:val="en-US" w:eastAsia="zh-CN"/>
              </w:rPr>
              <w:t>个体体长数值</w:t>
            </w:r>
          </w:p>
        </w:tc>
      </w:tr>
      <w:tr w14:paraId="78A15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FF04475">
            <w:pPr>
              <w:pStyle w:val="20"/>
              <w:bidi w:val="0"/>
            </w:pPr>
            <w:r>
              <w:rPr>
                <w:lang w:val="en-US" w:eastAsia="zh-CN"/>
              </w:rPr>
              <w:t>color</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29DD8BF">
            <w:pPr>
              <w:pStyle w:val="20"/>
              <w:bidi w:val="0"/>
              <w:ind w:left="0" w:leftChars="0" w:firstLine="0" w:firstLineChars="0"/>
            </w:pPr>
            <w:r>
              <w:rPr>
                <w:lang w:val="en-US" w:eastAsia="zh-CN"/>
              </w:rPr>
              <w:t>分类型</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F007D71">
            <w:pPr>
              <w:pStyle w:val="20"/>
              <w:bidi w:val="0"/>
              <w:ind w:left="0" w:leftChars="0" w:firstLine="0" w:firstLineChars="0"/>
            </w:pPr>
            <w:r>
              <w:rPr>
                <w:lang w:val="en-US" w:eastAsia="zh-CN"/>
              </w:rPr>
              <w:t>颜色类别</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E9D0706">
            <w:pPr>
              <w:pStyle w:val="20"/>
              <w:bidi w:val="0"/>
              <w:ind w:left="0" w:leftChars="0" w:firstLine="0" w:firstLineChars="0"/>
            </w:pPr>
            <w:r>
              <w:rPr>
                <w:lang w:val="en-US" w:eastAsia="zh-CN"/>
              </w:rPr>
              <w:t>样本体色描述</w:t>
            </w:r>
          </w:p>
        </w:tc>
      </w:tr>
      <w:tr w14:paraId="4806F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00244F7">
            <w:pPr>
              <w:pStyle w:val="20"/>
              <w:bidi w:val="0"/>
            </w:pPr>
            <w:r>
              <w:rPr>
                <w:lang w:val="en-US" w:eastAsia="zh-CN"/>
              </w:rPr>
              <w:t>head_feature</w:t>
            </w:r>
          </w:p>
        </w:tc>
        <w:tc>
          <w:tcPr>
            <w:tcW w:w="128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7E9FB66">
            <w:pPr>
              <w:pStyle w:val="20"/>
              <w:bidi w:val="0"/>
              <w:ind w:left="0" w:leftChars="0" w:firstLine="0" w:firstLineChars="0"/>
            </w:pPr>
            <w:r>
              <w:rPr>
                <w:lang w:val="en-US" w:eastAsia="zh-CN"/>
              </w:rPr>
              <w:t>分类型</w:t>
            </w:r>
          </w:p>
        </w:tc>
        <w:tc>
          <w:tcPr>
            <w:tcW w:w="14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F142B3C">
            <w:pPr>
              <w:pStyle w:val="20"/>
              <w:bidi w:val="0"/>
              <w:ind w:left="0" w:leftChars="0" w:firstLine="0" w:firstLineChars="0"/>
            </w:pPr>
            <w:r>
              <w:rPr>
                <w:lang w:val="en-US" w:eastAsia="zh-CN"/>
              </w:rPr>
              <w:t>形态描述</w:t>
            </w:r>
          </w:p>
        </w:tc>
        <w:tc>
          <w:tcPr>
            <w:tcW w:w="235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3DD746E">
            <w:pPr>
              <w:pStyle w:val="20"/>
              <w:bidi w:val="0"/>
              <w:ind w:left="0" w:leftChars="0" w:firstLine="0" w:firstLineChars="0"/>
            </w:pPr>
            <w:r>
              <w:rPr>
                <w:lang w:val="en-US" w:eastAsia="zh-CN"/>
              </w:rPr>
              <w:t>头部结构特征描述</w:t>
            </w:r>
          </w:p>
        </w:tc>
      </w:tr>
    </w:tbl>
    <w:p w14:paraId="629A4F68">
      <w:pPr>
        <w:pStyle w:val="20"/>
        <w:rPr>
          <w:color w:val="auto"/>
        </w:rPr>
      </w:pPr>
    </w:p>
    <w:bookmarkEnd w:id="116"/>
    <w:p w14:paraId="54E5343A">
      <w:pPr>
        <w:pStyle w:val="5"/>
        <w:rPr>
          <w:color w:val="auto"/>
        </w:rPr>
      </w:pPr>
      <w:bookmarkStart w:id="117" w:name="_Toc227613186"/>
      <w:bookmarkStart w:id="118" w:name="类别分布与不平衡问题分析"/>
      <w:r>
        <w:rPr>
          <w:color w:val="auto"/>
        </w:rPr>
        <w:t>3.5.2 类别分布与不平衡问题分析</w:t>
      </w:r>
      <w:bookmarkEnd w:id="117"/>
    </w:p>
    <w:p w14:paraId="7811810A">
      <w:pPr>
        <w:rPr>
          <w:color w:val="auto"/>
        </w:rPr>
      </w:pPr>
      <w:r>
        <w:rPr>
          <w:color w:val="auto"/>
        </w:rPr>
        <w:t>数据探索结果表明，原始数据共包含 662 个类别，Unknown Stonefly样本数达到35903，占总样本的35.94%。头部类别包括Nemoura cinerea、Brachyptera risi、Amphinemura borealis等，而大量尾部类别仅有极少数样本。类别样本前十名统计如表3-2所示。</w:t>
      </w:r>
    </w:p>
    <w:p w14:paraId="36C1577A">
      <w:pPr>
        <w:pStyle w:val="20"/>
        <w:rPr>
          <w:color w:val="auto"/>
        </w:rPr>
      </w:pPr>
      <w:r>
        <w:rPr>
          <w:color w:val="auto"/>
        </w:rPr>
        <w:t>表3-2样本量最高的前10个类别</w:t>
      </w:r>
      <w:r>
        <w:rPr>
          <w:color w:val="auto"/>
        </w:rPr>
        <w:br w:type="textWrapping"/>
      </w:r>
    </w:p>
    <w:tbl>
      <w:tblPr>
        <w:tblStyle w:val="41"/>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1"/>
        <w:gridCol w:w="3260"/>
        <w:gridCol w:w="1489"/>
        <w:gridCol w:w="1510"/>
      </w:tblGrid>
      <w:tr w14:paraId="67CBA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DC59D81">
            <w:pPr>
              <w:pStyle w:val="20"/>
              <w:rPr>
                <w:color w:val="auto"/>
              </w:rPr>
            </w:pPr>
            <w:r>
              <w:rPr>
                <w:color w:val="auto"/>
                <w:lang w:val="en-US" w:eastAsia="zh-CN"/>
              </w:rPr>
              <w:t>排名</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8E1E06E">
            <w:pPr>
              <w:pStyle w:val="20"/>
              <w:rPr>
                <w:color w:val="auto"/>
              </w:rPr>
            </w:pPr>
            <w:r>
              <w:rPr>
                <w:color w:val="auto"/>
                <w:lang w:val="en-US" w:eastAsia="zh-CN"/>
              </w:rPr>
              <w:t>类别名称</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18417F4">
            <w:pPr>
              <w:pStyle w:val="20"/>
              <w:rPr>
                <w:color w:val="auto"/>
              </w:rPr>
            </w:pPr>
            <w:r>
              <w:rPr>
                <w:color w:val="auto"/>
                <w:lang w:val="en-US" w:eastAsia="zh-CN"/>
              </w:rPr>
              <w:t>样本数</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6BABDED">
            <w:pPr>
              <w:pStyle w:val="20"/>
              <w:rPr>
                <w:color w:val="auto"/>
              </w:rPr>
            </w:pPr>
            <w:r>
              <w:rPr>
                <w:color w:val="auto"/>
                <w:lang w:val="en-US" w:eastAsia="zh-CN"/>
              </w:rPr>
              <w:t>占比</w:t>
            </w:r>
          </w:p>
        </w:tc>
      </w:tr>
      <w:tr w14:paraId="2AB71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8231FDE">
            <w:pPr>
              <w:pStyle w:val="20"/>
              <w:rPr>
                <w:color w:val="auto"/>
              </w:rPr>
            </w:pPr>
            <w:r>
              <w:rPr>
                <w:color w:val="auto"/>
                <w:lang w:val="en-US" w:eastAsia="zh-CN"/>
              </w:rPr>
              <w:t>1</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2EF4E93">
            <w:pPr>
              <w:pStyle w:val="20"/>
              <w:rPr>
                <w:color w:val="auto"/>
              </w:rPr>
            </w:pPr>
            <w:r>
              <w:rPr>
                <w:color w:val="auto"/>
                <w:lang w:val="en-US" w:eastAsia="zh-CN"/>
              </w:rPr>
              <w:t>Unknown Stonefly</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4BD9BBD">
            <w:pPr>
              <w:pStyle w:val="20"/>
              <w:rPr>
                <w:color w:val="auto"/>
              </w:rPr>
            </w:pPr>
            <w:r>
              <w:rPr>
                <w:color w:val="auto"/>
                <w:lang w:val="en-US" w:eastAsia="zh-CN"/>
              </w:rPr>
              <w:t>35903</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29597EB">
            <w:pPr>
              <w:pStyle w:val="20"/>
              <w:rPr>
                <w:color w:val="auto"/>
              </w:rPr>
            </w:pPr>
            <w:r>
              <w:rPr>
                <w:color w:val="auto"/>
                <w:lang w:val="en-US" w:eastAsia="zh-CN"/>
              </w:rPr>
              <w:t>35.94%</w:t>
            </w:r>
          </w:p>
        </w:tc>
      </w:tr>
      <w:tr w14:paraId="15F44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FB0728D">
            <w:pPr>
              <w:pStyle w:val="20"/>
              <w:rPr>
                <w:color w:val="auto"/>
              </w:rPr>
            </w:pPr>
            <w:r>
              <w:rPr>
                <w:color w:val="auto"/>
                <w:lang w:val="en-US" w:eastAsia="zh-CN"/>
              </w:rPr>
              <w:t>2</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B90D74E">
            <w:pPr>
              <w:pStyle w:val="20"/>
              <w:rPr>
                <w:color w:val="auto"/>
              </w:rPr>
            </w:pPr>
            <w:r>
              <w:rPr>
                <w:color w:val="auto"/>
                <w:lang w:val="en-US" w:eastAsia="zh-CN"/>
              </w:rPr>
              <w:t>Nemoura cinerea</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4F9BC3E">
            <w:pPr>
              <w:pStyle w:val="20"/>
              <w:rPr>
                <w:color w:val="auto"/>
              </w:rPr>
            </w:pPr>
            <w:r>
              <w:rPr>
                <w:color w:val="auto"/>
                <w:lang w:val="en-US" w:eastAsia="zh-CN"/>
              </w:rPr>
              <w:t>4853</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A06F662">
            <w:pPr>
              <w:pStyle w:val="20"/>
              <w:rPr>
                <w:color w:val="auto"/>
              </w:rPr>
            </w:pPr>
            <w:r>
              <w:rPr>
                <w:color w:val="auto"/>
                <w:lang w:val="en-US" w:eastAsia="zh-CN"/>
              </w:rPr>
              <w:t>4.86%</w:t>
            </w:r>
          </w:p>
        </w:tc>
      </w:tr>
      <w:tr w14:paraId="5E252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311D455">
            <w:pPr>
              <w:pStyle w:val="20"/>
              <w:rPr>
                <w:color w:val="auto"/>
              </w:rPr>
            </w:pPr>
            <w:r>
              <w:rPr>
                <w:color w:val="auto"/>
                <w:lang w:val="en-US" w:eastAsia="zh-CN"/>
              </w:rPr>
              <w:t>3</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0AD1B52">
            <w:pPr>
              <w:pStyle w:val="20"/>
              <w:rPr>
                <w:color w:val="auto"/>
              </w:rPr>
            </w:pPr>
            <w:r>
              <w:rPr>
                <w:color w:val="auto"/>
                <w:lang w:val="en-US" w:eastAsia="zh-CN"/>
              </w:rPr>
              <w:t>Brachyptera risi</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AEC9385">
            <w:pPr>
              <w:pStyle w:val="20"/>
              <w:rPr>
                <w:color w:val="auto"/>
              </w:rPr>
            </w:pPr>
            <w:r>
              <w:rPr>
                <w:color w:val="auto"/>
                <w:lang w:val="en-US" w:eastAsia="zh-CN"/>
              </w:rPr>
              <w:t>4182</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C0CD11D">
            <w:pPr>
              <w:pStyle w:val="20"/>
              <w:rPr>
                <w:color w:val="auto"/>
              </w:rPr>
            </w:pPr>
            <w:r>
              <w:rPr>
                <w:color w:val="auto"/>
                <w:lang w:val="en-US" w:eastAsia="zh-CN"/>
              </w:rPr>
              <w:t>4.19%</w:t>
            </w:r>
          </w:p>
        </w:tc>
      </w:tr>
      <w:tr w14:paraId="366C7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AB628F7">
            <w:pPr>
              <w:pStyle w:val="20"/>
              <w:rPr>
                <w:color w:val="auto"/>
              </w:rPr>
            </w:pPr>
            <w:r>
              <w:rPr>
                <w:color w:val="auto"/>
                <w:lang w:val="en-US" w:eastAsia="zh-CN"/>
              </w:rPr>
              <w:t>4</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2B365A9">
            <w:pPr>
              <w:pStyle w:val="20"/>
              <w:rPr>
                <w:color w:val="auto"/>
              </w:rPr>
            </w:pPr>
            <w:r>
              <w:rPr>
                <w:color w:val="auto"/>
                <w:lang w:val="en-US" w:eastAsia="zh-CN"/>
              </w:rPr>
              <w:t>Amphinemura borealis</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864E9F1">
            <w:pPr>
              <w:pStyle w:val="20"/>
              <w:rPr>
                <w:color w:val="auto"/>
              </w:rPr>
            </w:pPr>
            <w:r>
              <w:rPr>
                <w:color w:val="auto"/>
                <w:lang w:val="en-US" w:eastAsia="zh-CN"/>
              </w:rPr>
              <w:t>3687</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045B49E">
            <w:pPr>
              <w:pStyle w:val="20"/>
              <w:rPr>
                <w:color w:val="auto"/>
              </w:rPr>
            </w:pPr>
            <w:r>
              <w:rPr>
                <w:color w:val="auto"/>
                <w:lang w:val="en-US" w:eastAsia="zh-CN"/>
              </w:rPr>
              <w:t>3.69%</w:t>
            </w:r>
          </w:p>
        </w:tc>
      </w:tr>
      <w:tr w14:paraId="2958C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9533F8C">
            <w:pPr>
              <w:pStyle w:val="20"/>
              <w:rPr>
                <w:color w:val="auto"/>
              </w:rPr>
            </w:pPr>
            <w:r>
              <w:rPr>
                <w:color w:val="auto"/>
                <w:lang w:val="en-US" w:eastAsia="zh-CN"/>
              </w:rPr>
              <w:t>5</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4D5DCE4">
            <w:pPr>
              <w:pStyle w:val="20"/>
              <w:rPr>
                <w:color w:val="auto"/>
              </w:rPr>
            </w:pPr>
            <w:r>
              <w:rPr>
                <w:color w:val="auto"/>
                <w:lang w:val="en-US" w:eastAsia="zh-CN"/>
              </w:rPr>
              <w:t>Leuctra hippopus</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E858A9E">
            <w:pPr>
              <w:pStyle w:val="20"/>
              <w:rPr>
                <w:color w:val="auto"/>
              </w:rPr>
            </w:pPr>
            <w:r>
              <w:rPr>
                <w:color w:val="auto"/>
                <w:lang w:val="en-US" w:eastAsia="zh-CN"/>
              </w:rPr>
              <w:t>3567</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370C40A">
            <w:pPr>
              <w:pStyle w:val="20"/>
              <w:rPr>
                <w:color w:val="auto"/>
              </w:rPr>
            </w:pPr>
            <w:r>
              <w:rPr>
                <w:color w:val="auto"/>
                <w:lang w:val="en-US" w:eastAsia="zh-CN"/>
              </w:rPr>
              <w:t>3.57%</w:t>
            </w:r>
          </w:p>
        </w:tc>
      </w:tr>
      <w:tr w14:paraId="22326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C5A4135">
            <w:pPr>
              <w:pStyle w:val="20"/>
              <w:rPr>
                <w:color w:val="auto"/>
              </w:rPr>
            </w:pPr>
            <w:r>
              <w:rPr>
                <w:color w:val="auto"/>
                <w:lang w:val="en-US" w:eastAsia="zh-CN"/>
              </w:rPr>
              <w:t>6</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CCB20D6">
            <w:pPr>
              <w:pStyle w:val="20"/>
              <w:rPr>
                <w:color w:val="auto"/>
              </w:rPr>
            </w:pPr>
            <w:r>
              <w:rPr>
                <w:color w:val="auto"/>
                <w:lang w:val="en-US" w:eastAsia="zh-CN"/>
              </w:rPr>
              <w:t>Protonemura meyeri</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342F709">
            <w:pPr>
              <w:pStyle w:val="20"/>
              <w:rPr>
                <w:color w:val="auto"/>
              </w:rPr>
            </w:pPr>
            <w:r>
              <w:rPr>
                <w:color w:val="auto"/>
                <w:lang w:val="en-US" w:eastAsia="zh-CN"/>
              </w:rPr>
              <w:t>3552</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106BA5C">
            <w:pPr>
              <w:pStyle w:val="20"/>
              <w:rPr>
                <w:color w:val="auto"/>
              </w:rPr>
            </w:pPr>
            <w:r>
              <w:rPr>
                <w:color w:val="auto"/>
                <w:lang w:val="en-US" w:eastAsia="zh-CN"/>
              </w:rPr>
              <w:t>3.56%</w:t>
            </w:r>
          </w:p>
        </w:tc>
      </w:tr>
      <w:tr w14:paraId="334ED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BA1CA1E">
            <w:pPr>
              <w:pStyle w:val="20"/>
              <w:rPr>
                <w:color w:val="auto"/>
              </w:rPr>
            </w:pPr>
            <w:r>
              <w:rPr>
                <w:color w:val="auto"/>
                <w:lang w:val="en-US" w:eastAsia="zh-CN"/>
              </w:rPr>
              <w:t>7</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582BDB1">
            <w:pPr>
              <w:pStyle w:val="20"/>
              <w:rPr>
                <w:color w:val="auto"/>
              </w:rPr>
            </w:pPr>
            <w:r>
              <w:rPr>
                <w:color w:val="auto"/>
                <w:lang w:val="en-US" w:eastAsia="zh-CN"/>
              </w:rPr>
              <w:t>Amphinemura sulcicollis</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40F1370">
            <w:pPr>
              <w:pStyle w:val="20"/>
              <w:rPr>
                <w:color w:val="auto"/>
              </w:rPr>
            </w:pPr>
            <w:r>
              <w:rPr>
                <w:color w:val="auto"/>
                <w:lang w:val="en-US" w:eastAsia="zh-CN"/>
              </w:rPr>
              <w:t>3328</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01FE308">
            <w:pPr>
              <w:pStyle w:val="20"/>
              <w:rPr>
                <w:color w:val="auto"/>
              </w:rPr>
            </w:pPr>
            <w:r>
              <w:rPr>
                <w:color w:val="auto"/>
                <w:lang w:val="en-US" w:eastAsia="zh-CN"/>
              </w:rPr>
              <w:t>3.33%</w:t>
            </w:r>
          </w:p>
        </w:tc>
      </w:tr>
      <w:tr w14:paraId="43E09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0FB058F">
            <w:pPr>
              <w:pStyle w:val="20"/>
              <w:rPr>
                <w:color w:val="auto"/>
              </w:rPr>
            </w:pPr>
            <w:r>
              <w:rPr>
                <w:color w:val="auto"/>
                <w:lang w:val="en-US" w:eastAsia="zh-CN"/>
              </w:rPr>
              <w:t>8</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40462A2">
            <w:pPr>
              <w:pStyle w:val="20"/>
              <w:rPr>
                <w:color w:val="auto"/>
              </w:rPr>
            </w:pPr>
            <w:r>
              <w:rPr>
                <w:color w:val="auto"/>
                <w:lang w:val="en-US" w:eastAsia="zh-CN"/>
              </w:rPr>
              <w:t>Taeniopteryx nebulosa</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C7B38F3">
            <w:pPr>
              <w:pStyle w:val="20"/>
              <w:rPr>
                <w:color w:val="auto"/>
              </w:rPr>
            </w:pPr>
            <w:r>
              <w:rPr>
                <w:color w:val="auto"/>
                <w:lang w:val="en-US" w:eastAsia="zh-CN"/>
              </w:rPr>
              <w:t>2926</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136A063">
            <w:pPr>
              <w:pStyle w:val="20"/>
              <w:rPr>
                <w:color w:val="auto"/>
              </w:rPr>
            </w:pPr>
            <w:r>
              <w:rPr>
                <w:color w:val="auto"/>
                <w:lang w:val="en-US" w:eastAsia="zh-CN"/>
              </w:rPr>
              <w:t>2.93%</w:t>
            </w:r>
          </w:p>
        </w:tc>
      </w:tr>
      <w:tr w14:paraId="5A1DD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D127CBD">
            <w:pPr>
              <w:pStyle w:val="20"/>
              <w:rPr>
                <w:color w:val="auto"/>
              </w:rPr>
            </w:pPr>
            <w:r>
              <w:rPr>
                <w:color w:val="auto"/>
                <w:lang w:val="en-US" w:eastAsia="zh-CN"/>
              </w:rPr>
              <w:t>9</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F804E5A">
            <w:pPr>
              <w:pStyle w:val="20"/>
              <w:rPr>
                <w:color w:val="auto"/>
              </w:rPr>
            </w:pPr>
            <w:r>
              <w:rPr>
                <w:color w:val="auto"/>
                <w:lang w:val="en-US" w:eastAsia="zh-CN"/>
              </w:rPr>
              <w:t>Siphonoperla burmeisteri</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D52F8F7">
            <w:pPr>
              <w:pStyle w:val="20"/>
              <w:rPr>
                <w:color w:val="auto"/>
              </w:rPr>
            </w:pPr>
            <w:r>
              <w:rPr>
                <w:color w:val="auto"/>
                <w:lang w:val="en-US" w:eastAsia="zh-CN"/>
              </w:rPr>
              <w:t>2333</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85676D9">
            <w:pPr>
              <w:pStyle w:val="20"/>
              <w:rPr>
                <w:color w:val="auto"/>
              </w:rPr>
            </w:pPr>
            <w:r>
              <w:rPr>
                <w:color w:val="auto"/>
                <w:lang w:val="en-US" w:eastAsia="zh-CN"/>
              </w:rPr>
              <w:t>2.34%</w:t>
            </w:r>
          </w:p>
        </w:tc>
      </w:tr>
      <w:tr w14:paraId="53F09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BD13273">
            <w:pPr>
              <w:pStyle w:val="20"/>
              <w:rPr>
                <w:color w:val="auto"/>
              </w:rPr>
            </w:pPr>
            <w:r>
              <w:rPr>
                <w:color w:val="auto"/>
                <w:lang w:val="en-US" w:eastAsia="zh-CN"/>
              </w:rPr>
              <w:t>10</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A2359F9">
            <w:pPr>
              <w:pStyle w:val="20"/>
              <w:rPr>
                <w:color w:val="auto"/>
              </w:rPr>
            </w:pPr>
            <w:r>
              <w:rPr>
                <w:color w:val="auto"/>
                <w:lang w:val="en-US" w:eastAsia="zh-CN"/>
              </w:rPr>
              <w:t>Diura nanseni</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4956559">
            <w:pPr>
              <w:pStyle w:val="20"/>
              <w:rPr>
                <w:color w:val="auto"/>
              </w:rPr>
            </w:pPr>
            <w:r>
              <w:rPr>
                <w:color w:val="auto"/>
                <w:lang w:val="en-US" w:eastAsia="zh-CN"/>
              </w:rPr>
              <w:t>2316</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F5D94AE">
            <w:pPr>
              <w:pStyle w:val="20"/>
              <w:rPr>
                <w:color w:val="auto"/>
              </w:rPr>
            </w:pPr>
            <w:r>
              <w:rPr>
                <w:color w:val="auto"/>
                <w:lang w:val="en-US" w:eastAsia="zh-CN"/>
              </w:rPr>
              <w:t>2.32%</w:t>
            </w:r>
          </w:p>
        </w:tc>
      </w:tr>
    </w:tbl>
    <w:p w14:paraId="52905305">
      <w:pPr>
        <w:pStyle w:val="20"/>
        <w:rPr>
          <w:color w:val="auto"/>
        </w:rPr>
      </w:pPr>
    </w:p>
    <w:p w14:paraId="05CDC05C">
      <w:pPr>
        <w:pStyle w:val="20"/>
        <w:rPr>
          <w:color w:val="auto"/>
        </w:rPr>
      </w:pPr>
      <w:r>
        <w:rPr>
          <w:color w:val="auto"/>
        </w:rPr>
        <w:t>在此条件下，若直接使用全类别训练，将导致模型极易受头部类别和 Unknown 类影响，难以稳定识别尾部物种。因此，系统引入两级平衡策略：一是保留样本数不少于 50 的类别，将训练候选类别控制为 125 个；二是对 Unknown 类实施占比上限约束，使其在训练集中不超过设定比例。</w:t>
      </w:r>
    </w:p>
    <w:p w14:paraId="41593F38">
      <w:pPr>
        <w:pStyle w:val="20"/>
        <w:rPr>
          <w:color w:val="auto"/>
        </w:rPr>
      </w:pPr>
      <w:r>
        <w:rPr>
          <w:color w:val="auto"/>
        </w:rPr>
        <w:t>Unknown 类最大样本数计算式为</w:t>
      </w:r>
    </w:p>
    <w:p w14:paraId="17DB3138">
      <w:pPr>
        <w:pStyle w:val="20"/>
        <w:rPr>
          <w:color w:val="auto"/>
        </w:rPr>
      </w:pPr>
      <m:oMathPara>
        <m:oMathParaPr>
          <m:jc m:val="center"/>
        </m:oMathParaPr>
        <m:oMath>
          <m:sSubSup>
            <m:sSubSupPr>
              <m:ctrlPr>
                <w:rPr>
                  <w:rFonts w:ascii="Cambria Math" w:hAnsi="Cambria Math"/>
                  <w:color w:val="auto"/>
                </w:rPr>
              </m:ctrlPr>
            </m:sSubSupPr>
            <m:e>
              <m:r>
                <m:rPr/>
                <w:rPr>
                  <w:rFonts w:ascii="Cambria Math" w:hAnsi="Cambria Math"/>
                  <w:color w:val="auto"/>
                </w:rPr>
                <m:t>N</m:t>
              </m:r>
              <m:ctrlPr>
                <w:rPr>
                  <w:rFonts w:ascii="Cambria Math" w:hAnsi="Cambria Math"/>
                  <w:color w:val="auto"/>
                </w:rPr>
              </m:ctrlPr>
            </m:e>
            <m:sub>
              <m:r>
                <m:rPr/>
                <w:rPr>
                  <w:rFonts w:ascii="Cambria Math" w:hAnsi="Cambria Math"/>
                  <w:color w:val="auto"/>
                </w:rPr>
                <m:t>u</m:t>
              </m:r>
              <m:ctrlPr>
                <w:rPr>
                  <w:rFonts w:ascii="Cambria Math" w:hAnsi="Cambria Math"/>
                  <w:color w:val="auto"/>
                </w:rPr>
              </m:ctrlPr>
            </m:sub>
            <m:sup>
              <m:r>
                <m:rPr/>
                <w:rPr>
                  <w:rFonts w:ascii="Cambria Math" w:hAnsi="Cambria Math"/>
                  <w:color w:val="auto"/>
                </w:rPr>
                <m:t>max</m:t>
              </m:r>
              <m:ctrlPr>
                <w:rPr>
                  <w:rFonts w:ascii="Cambria Math" w:hAnsi="Cambria Math"/>
                  <w:color w:val="auto"/>
                </w:rPr>
              </m:ctrlPr>
            </m:sup>
          </m:sSubSup>
          <m:r>
            <m:rPr>
              <m:sty m:val="p"/>
            </m:rPr>
            <w:rPr>
              <w:rFonts w:ascii="Cambria Math" w:hAnsi="Cambria Math"/>
              <w:color w:val="auto"/>
            </w:rPr>
            <m:t>=</m:t>
          </m:r>
          <m:d>
            <m:dPr>
              <m:begChr m:val="⌊"/>
              <m:endChr m:val="⌋"/>
              <m:ctrlPr>
                <w:rPr>
                  <w:rFonts w:ascii="Cambria Math" w:hAnsi="Cambria Math"/>
                  <w:color w:val="auto"/>
                </w:rPr>
              </m:ctrlPr>
            </m:dPr>
            <m:e>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u</m:t>
                      </m:r>
                      <m:ctrlPr>
                        <w:rPr>
                          <w:rFonts w:ascii="Cambria Math" w:hAnsi="Cambria Math"/>
                          <w:color w:val="auto"/>
                        </w:rPr>
                      </m:ctrlPr>
                    </m:sub>
                  </m:sSub>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u</m:t>
                      </m:r>
                      <m:ctrlPr>
                        <w:rPr>
                          <w:rFonts w:ascii="Cambria Math" w:hAnsi="Cambria Math"/>
                          <w:color w:val="auto"/>
                        </w:rPr>
                      </m:ctrlPr>
                    </m:sub>
                  </m:sSub>
                  <m:ctrlPr>
                    <w:rPr>
                      <w:rFonts w:ascii="Cambria Math" w:hAnsi="Cambria Math"/>
                      <w:color w:val="auto"/>
                    </w:rPr>
                  </m:ctrlPr>
                </m:den>
              </m:f>
              <m:sSub>
                <m:sSubPr>
                  <m:ctrlPr>
                    <w:rPr>
                      <w:rFonts w:ascii="Cambria Math" w:hAnsi="Cambria Math"/>
                      <w:color w:val="auto"/>
                    </w:rPr>
                  </m:ctrlPr>
                </m:sSubPr>
                <m:e>
                  <m:r>
                    <m:rPr/>
                    <w:rPr>
                      <w:rFonts w:ascii="Cambria Math" w:hAnsi="Cambria Math"/>
                      <w:color w:val="auto"/>
                    </w:rPr>
                    <m:t>N</m:t>
                  </m:r>
                  <m:ctrlPr>
                    <w:rPr>
                      <w:rFonts w:ascii="Cambria Math" w:hAnsi="Cambria Math"/>
                      <w:color w:val="auto"/>
                    </w:rPr>
                  </m:ctrlPr>
                </m:e>
                <m:sub>
                  <m:r>
                    <m:rPr/>
                    <w:rPr>
                      <w:rFonts w:ascii="Cambria Math" w:hAnsi="Cambria Math"/>
                      <w:color w:val="auto"/>
                    </w:rPr>
                    <m:t>k</m:t>
                  </m:r>
                  <m:ctrlPr>
                    <w:rPr>
                      <w:rFonts w:ascii="Cambria Math" w:hAnsi="Cambria Math"/>
                      <w:color w:val="auto"/>
                    </w:rPr>
                  </m:ctrlPr>
                </m:sub>
              </m:sSub>
              <m:ctrlPr>
                <w:rPr>
                  <w:rFonts w:ascii="Cambria Math" w:hAnsi="Cambria Math"/>
                  <w:color w:val="auto"/>
                </w:rPr>
              </m:ctrlPr>
            </m:e>
          </m:d>
        </m:oMath>
      </m:oMathPara>
    </w:p>
    <w:p w14:paraId="4EFBFE12">
      <w:pPr>
        <w:rPr>
          <w:color w:val="auto"/>
        </w:rPr>
      </w:pPr>
      <w:r>
        <w:rPr>
          <w:color w:val="auto"/>
        </w:rPr>
        <w:t>其中，</w:t>
      </w:r>
      <m:oMath>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u</m:t>
            </m:r>
            <m:ctrlPr>
              <w:rPr>
                <w:rFonts w:ascii="Cambria Math" w:hAnsi="Cambria Math"/>
                <w:color w:val="auto"/>
              </w:rPr>
            </m:ctrlPr>
          </m:sub>
        </m:sSub>
      </m:oMath>
      <w:r>
        <w:rPr>
          <w:color w:val="auto"/>
        </w:rPr>
        <w:t xml:space="preserve"> 表示期望 Unknown 占比上限，</w:t>
      </w:r>
      <m:oMath>
        <m:sSub>
          <m:sSubPr>
            <m:ctrlPr>
              <w:rPr>
                <w:rFonts w:ascii="Cambria Math" w:hAnsi="Cambria Math"/>
                <w:color w:val="auto"/>
              </w:rPr>
            </m:ctrlPr>
          </m:sSubPr>
          <m:e>
            <m:r>
              <m:rPr/>
              <w:rPr>
                <w:rFonts w:ascii="Cambria Math" w:hAnsi="Cambria Math"/>
                <w:color w:val="auto"/>
              </w:rPr>
              <m:t>N</m:t>
            </m:r>
            <m:ctrlPr>
              <w:rPr>
                <w:rFonts w:ascii="Cambria Math" w:hAnsi="Cambria Math"/>
                <w:color w:val="auto"/>
              </w:rPr>
            </m:ctrlPr>
          </m:e>
          <m:sub>
            <m:r>
              <m:rPr/>
              <w:rPr>
                <w:rFonts w:ascii="Cambria Math" w:hAnsi="Cambria Math"/>
                <w:color w:val="auto"/>
              </w:rPr>
              <m:t>k</m:t>
            </m:r>
            <m:ctrlPr>
              <w:rPr>
                <w:rFonts w:ascii="Cambria Math" w:hAnsi="Cambria Math"/>
                <w:color w:val="auto"/>
              </w:rPr>
            </m:ctrlPr>
          </m:sub>
        </m:sSub>
      </m:oMath>
      <w:r>
        <w:rPr>
          <w:color w:val="auto"/>
        </w:rPr>
        <w:t xml:space="preserve"> 表示已知类样本数。当前配置中 </w:t>
      </w:r>
      <m:oMath>
        <m:sSub>
          <m:sSubPr>
            <m:ctrlPr>
              <w:rPr>
                <w:rFonts w:ascii="Cambria Math" w:hAnsi="Cambria Math"/>
                <w:color w:val="auto"/>
              </w:rPr>
            </m:ctrlPr>
          </m:sSubPr>
          <m:e>
            <m:r>
              <m:rPr/>
              <w:rPr>
                <w:rFonts w:ascii="Cambria Math" w:hAnsi="Cambria Math"/>
                <w:color w:val="auto"/>
              </w:rPr>
              <m:t>r</m:t>
            </m:r>
            <m:ctrlPr>
              <w:rPr>
                <w:rFonts w:ascii="Cambria Math" w:hAnsi="Cambria Math"/>
                <w:color w:val="auto"/>
              </w:rPr>
            </m:ctrlPr>
          </m:e>
          <m:sub>
            <m:r>
              <m:rPr/>
              <w:rPr>
                <w:rFonts w:ascii="Cambria Math" w:hAnsi="Cambria Math"/>
                <w:color w:val="auto"/>
              </w:rPr>
              <m:t>u</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0.20</m:t>
        </m:r>
      </m:oMath>
      <w:r>
        <w:rPr>
          <w:color w:val="auto"/>
        </w:rPr>
        <w:t>，则在有效类别集合下 Unknown 最大样本数约为 14754 条，过滤后总样本数约为 73773 条。</w:t>
      </w:r>
    </w:p>
    <w:bookmarkEnd w:id="118"/>
    <w:p w14:paraId="344ED261">
      <w:pPr>
        <w:pStyle w:val="5"/>
        <w:rPr>
          <w:color w:val="auto"/>
        </w:rPr>
      </w:pPr>
      <w:bookmarkStart w:id="119" w:name="_Toc227613187"/>
      <w:bookmarkStart w:id="120" w:name="数据存储与文件组织需求"/>
      <w:r>
        <w:rPr>
          <w:color w:val="auto"/>
        </w:rPr>
        <w:t>3.5.3 数据存储与文件组织需求</w:t>
      </w:r>
      <w:bookmarkEnd w:id="119"/>
    </w:p>
    <w:p w14:paraId="4EE9A4E9">
      <w:pPr>
        <w:rPr>
          <w:color w:val="auto"/>
        </w:rPr>
      </w:pPr>
      <w:r>
        <w:rPr>
          <w:color w:val="auto"/>
        </w:rPr>
        <w:t>由于系统当前不依赖关系数据库，所有训练与服务对象均采用文件化存储。此类组织方式满足单机原型系统的简洁性要求，亦便于实验过程归档与复制。主要存储对象如表3-3所示。</w:t>
      </w:r>
    </w:p>
    <w:p w14:paraId="23355CCA">
      <w:pPr>
        <w:pStyle w:val="20"/>
        <w:rPr>
          <w:color w:val="auto"/>
        </w:rPr>
      </w:pPr>
      <w:r>
        <w:rPr>
          <w:color w:val="auto"/>
        </w:rPr>
        <w:t>表3-3 样本与模型文件对象</w:t>
      </w:r>
      <w:r>
        <w:rPr>
          <w:color w:val="auto"/>
        </w:rPr>
        <w:br w:type="textWrapping"/>
      </w:r>
    </w:p>
    <w:tbl>
      <w:tblPr>
        <w:tblStyle w:val="41"/>
        <w:tblW w:w="90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95"/>
        <w:gridCol w:w="3602"/>
        <w:gridCol w:w="1113"/>
        <w:gridCol w:w="2818"/>
      </w:tblGrid>
      <w:tr w14:paraId="3075E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C009A54">
            <w:pPr>
              <w:pStyle w:val="20"/>
              <w:ind w:left="0" w:leftChars="0" w:firstLine="0" w:firstLineChars="0"/>
              <w:rPr>
                <w:color w:val="auto"/>
              </w:rPr>
            </w:pPr>
            <w:r>
              <w:rPr>
                <w:color w:val="auto"/>
                <w:lang w:val="en-US" w:eastAsia="zh-CN"/>
              </w:rPr>
              <w:t>对象类别</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7482D85">
            <w:pPr>
              <w:pStyle w:val="20"/>
              <w:rPr>
                <w:color w:val="auto"/>
              </w:rPr>
            </w:pPr>
            <w:r>
              <w:rPr>
                <w:color w:val="auto"/>
                <w:lang w:val="en-US" w:eastAsia="zh-CN"/>
              </w:rPr>
              <w:t>存储位置</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24B8289">
            <w:pPr>
              <w:pStyle w:val="20"/>
              <w:ind w:left="0" w:leftChars="0" w:firstLine="0" w:firstLineChars="0"/>
              <w:rPr>
                <w:color w:val="auto"/>
              </w:rPr>
            </w:pPr>
            <w:r>
              <w:rPr>
                <w:color w:val="auto"/>
                <w:lang w:val="en-US" w:eastAsia="zh-CN"/>
              </w:rPr>
              <w:t>格式</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69BF4AD">
            <w:pPr>
              <w:pStyle w:val="20"/>
              <w:rPr>
                <w:color w:val="auto"/>
              </w:rPr>
            </w:pPr>
            <w:r>
              <w:rPr>
                <w:color w:val="auto"/>
                <w:lang w:val="en-US" w:eastAsia="zh-CN"/>
              </w:rPr>
              <w:t>说明</w:t>
            </w:r>
          </w:p>
        </w:tc>
      </w:tr>
      <w:tr w14:paraId="3326D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F574940">
            <w:pPr>
              <w:pStyle w:val="20"/>
              <w:ind w:left="0" w:leftChars="0" w:firstLine="0" w:firstLineChars="0"/>
              <w:rPr>
                <w:color w:val="auto"/>
              </w:rPr>
            </w:pPr>
            <w:r>
              <w:rPr>
                <w:color w:val="auto"/>
                <w:lang w:val="en-US" w:eastAsia="zh-CN"/>
              </w:rPr>
              <w:t>数据集文件</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8DC7B2D">
            <w:pPr>
              <w:pStyle w:val="20"/>
              <w:ind w:left="0" w:leftChars="0" w:firstLine="0" w:firstLineChars="0"/>
              <w:rPr>
                <w:color w:val="auto"/>
              </w:rPr>
            </w:pPr>
            <w:r>
              <w:rPr>
                <w:color w:val="auto"/>
                <w:lang w:val="en-US" w:eastAsia="zh-CN"/>
              </w:rPr>
              <w:t>data/stoneflies.csv（训练时读取）</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8CBDCB5">
            <w:pPr>
              <w:pStyle w:val="20"/>
              <w:ind w:left="0" w:leftChars="0" w:firstLine="0" w:firstLineChars="0"/>
              <w:rPr>
                <w:color w:val="auto"/>
              </w:rPr>
            </w:pPr>
            <w:r>
              <w:rPr>
                <w:color w:val="auto"/>
                <w:lang w:val="en-US" w:eastAsia="zh-CN"/>
              </w:rPr>
              <w:t>CSV</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4CF6E44">
            <w:pPr>
              <w:pStyle w:val="20"/>
              <w:rPr>
                <w:color w:val="auto"/>
              </w:rPr>
            </w:pPr>
            <w:r>
              <w:rPr>
                <w:color w:val="auto"/>
                <w:lang w:val="en-US" w:eastAsia="zh-CN"/>
              </w:rPr>
              <w:t>原始样本记录与目标字段</w:t>
            </w:r>
          </w:p>
        </w:tc>
      </w:tr>
      <w:tr w14:paraId="52FED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DD5FED7">
            <w:pPr>
              <w:pStyle w:val="20"/>
              <w:ind w:left="0" w:leftChars="0" w:firstLine="0" w:firstLineChars="0"/>
              <w:rPr>
                <w:color w:val="auto"/>
              </w:rPr>
            </w:pPr>
            <w:r>
              <w:rPr>
                <w:color w:val="auto"/>
                <w:lang w:val="en-US" w:eastAsia="zh-CN"/>
              </w:rPr>
              <w:t>预处理器</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87943F4">
            <w:pPr>
              <w:pStyle w:val="20"/>
              <w:ind w:left="0" w:leftChars="0" w:firstLine="0" w:firstLineChars="0"/>
              <w:rPr>
                <w:color w:val="auto"/>
              </w:rPr>
            </w:pPr>
            <w:r>
              <w:rPr>
                <w:color w:val="auto"/>
                <w:lang w:val="en-US" w:eastAsia="zh-CN"/>
              </w:rPr>
              <w:t>backend/saved_models/preprocessor.pkl</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DA434E1">
            <w:pPr>
              <w:pStyle w:val="20"/>
              <w:ind w:left="0" w:leftChars="0" w:firstLine="0" w:firstLineChars="0"/>
              <w:rPr>
                <w:color w:val="auto"/>
              </w:rPr>
            </w:pPr>
            <w:r>
              <w:rPr>
                <w:color w:val="auto"/>
                <w:lang w:val="en-US" w:eastAsia="zh-CN"/>
              </w:rPr>
              <w:t>PKL</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6CEFA03">
            <w:pPr>
              <w:pStyle w:val="20"/>
              <w:rPr>
                <w:color w:val="auto"/>
              </w:rPr>
            </w:pPr>
            <w:r>
              <w:rPr>
                <w:color w:val="auto"/>
                <w:lang w:val="en-US" w:eastAsia="zh-CN"/>
              </w:rPr>
              <w:t>标签编码、标准化与裁剪规则</w:t>
            </w:r>
          </w:p>
        </w:tc>
      </w:tr>
      <w:tr w14:paraId="617FA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76933C5">
            <w:pPr>
              <w:pStyle w:val="20"/>
              <w:ind w:left="0" w:leftChars="0" w:firstLine="0" w:firstLineChars="0"/>
              <w:rPr>
                <w:color w:val="auto"/>
              </w:rPr>
            </w:pPr>
            <w:r>
              <w:rPr>
                <w:color w:val="auto"/>
                <w:lang w:val="en-US" w:eastAsia="zh-CN"/>
              </w:rPr>
              <w:t>特征选择器</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F1AE612">
            <w:pPr>
              <w:pStyle w:val="20"/>
              <w:ind w:left="0" w:leftChars="0" w:firstLine="0" w:firstLineChars="0"/>
              <w:rPr>
                <w:color w:val="auto"/>
              </w:rPr>
            </w:pPr>
            <w:r>
              <w:rPr>
                <w:color w:val="auto"/>
                <w:lang w:val="en-US" w:eastAsia="zh-CN"/>
              </w:rPr>
              <w:t>backend/saved_models/lasso_selector.pkl</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8747A2D">
            <w:pPr>
              <w:pStyle w:val="20"/>
              <w:ind w:left="0" w:leftChars="0" w:firstLine="0" w:firstLineChars="0"/>
              <w:rPr>
                <w:color w:val="auto"/>
              </w:rPr>
            </w:pPr>
            <w:r>
              <w:rPr>
                <w:color w:val="auto"/>
                <w:lang w:val="en-US" w:eastAsia="zh-CN"/>
              </w:rPr>
              <w:t>PKL</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F39D8AA">
            <w:pPr>
              <w:pStyle w:val="20"/>
              <w:rPr>
                <w:color w:val="auto"/>
              </w:rPr>
            </w:pPr>
            <w:r>
              <w:rPr>
                <w:color w:val="auto"/>
                <w:lang w:val="en-US" w:eastAsia="zh-CN"/>
              </w:rPr>
              <w:t>LASSO 选中特征映射</w:t>
            </w:r>
          </w:p>
        </w:tc>
      </w:tr>
      <w:tr w14:paraId="2C746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56322E4">
            <w:pPr>
              <w:pStyle w:val="20"/>
              <w:ind w:left="0" w:leftChars="0" w:firstLine="0" w:firstLineChars="0"/>
              <w:rPr>
                <w:color w:val="auto"/>
              </w:rPr>
            </w:pPr>
            <w:r>
              <w:rPr>
                <w:color w:val="auto"/>
                <w:lang w:val="en-US" w:eastAsia="zh-CN"/>
              </w:rPr>
              <w:t>PCA 模型</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D567F3A">
            <w:pPr>
              <w:pStyle w:val="20"/>
              <w:ind w:left="0" w:leftChars="0" w:firstLine="0" w:firstLineChars="0"/>
              <w:rPr>
                <w:color w:val="auto"/>
              </w:rPr>
            </w:pPr>
            <w:r>
              <w:rPr>
                <w:color w:val="auto"/>
                <w:lang w:val="en-US" w:eastAsia="zh-CN"/>
              </w:rPr>
              <w:t>backend/saved_models/pca_model.pkl</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6E5EAEF">
            <w:pPr>
              <w:pStyle w:val="20"/>
              <w:ind w:left="0" w:leftChars="0" w:firstLine="0" w:firstLineChars="0"/>
              <w:rPr>
                <w:color w:val="auto"/>
              </w:rPr>
            </w:pPr>
            <w:r>
              <w:rPr>
                <w:color w:val="auto"/>
                <w:lang w:val="en-US" w:eastAsia="zh-CN"/>
              </w:rPr>
              <w:t>PKL</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4EE1ECA">
            <w:pPr>
              <w:pStyle w:val="20"/>
              <w:ind w:left="0" w:leftChars="0" w:firstLine="0" w:firstLineChars="0"/>
              <w:rPr>
                <w:color w:val="auto"/>
              </w:rPr>
            </w:pPr>
            <w:r>
              <w:rPr>
                <w:color w:val="auto"/>
                <w:lang w:val="en-US" w:eastAsia="zh-CN"/>
              </w:rPr>
              <w:t>主成分分析器对象</w:t>
            </w:r>
          </w:p>
        </w:tc>
      </w:tr>
      <w:tr w14:paraId="7BB4C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C2EECDE">
            <w:pPr>
              <w:pStyle w:val="20"/>
              <w:ind w:left="0" w:leftChars="0" w:firstLine="0" w:firstLineChars="0"/>
              <w:rPr>
                <w:color w:val="auto"/>
              </w:rPr>
            </w:pPr>
            <w:r>
              <w:rPr>
                <w:color w:val="auto"/>
                <w:lang w:val="en-US" w:eastAsia="zh-CN"/>
              </w:rPr>
              <w:t>候选模型</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FAA59AE">
            <w:pPr>
              <w:pStyle w:val="20"/>
              <w:ind w:left="0" w:leftChars="0" w:firstLine="0" w:firstLineChars="0"/>
              <w:rPr>
                <w:color w:val="auto"/>
              </w:rPr>
            </w:pPr>
            <w:r>
              <w:rPr>
                <w:color w:val="auto"/>
                <w:lang w:val="en-US" w:eastAsia="zh-CN"/>
              </w:rPr>
              <w:t>backend/saved_models/*_model.pkl</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B00D939">
            <w:pPr>
              <w:pStyle w:val="20"/>
              <w:ind w:left="0" w:leftChars="0" w:firstLine="0" w:firstLineChars="0"/>
              <w:rPr>
                <w:color w:val="auto"/>
              </w:rPr>
            </w:pPr>
            <w:r>
              <w:rPr>
                <w:color w:val="auto"/>
                <w:lang w:val="en-US" w:eastAsia="zh-CN"/>
              </w:rPr>
              <w:t>PKL</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57F3E76">
            <w:pPr>
              <w:pStyle w:val="20"/>
              <w:ind w:left="0" w:leftChars="0" w:firstLine="0" w:firstLineChars="0"/>
              <w:rPr>
                <w:color w:val="auto"/>
              </w:rPr>
            </w:pPr>
            <w:r>
              <w:rPr>
                <w:color w:val="auto"/>
                <w:lang w:val="en-US" w:eastAsia="zh-CN"/>
              </w:rPr>
              <w:t>随机森林、SVM、XGBoost、KNN 模型</w:t>
            </w:r>
          </w:p>
        </w:tc>
      </w:tr>
      <w:tr w14:paraId="5E04A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FE525F0">
            <w:pPr>
              <w:pStyle w:val="20"/>
              <w:ind w:left="0" w:leftChars="0" w:firstLine="0" w:firstLineChars="0"/>
              <w:rPr>
                <w:color w:val="auto"/>
              </w:rPr>
            </w:pPr>
            <w:r>
              <w:rPr>
                <w:color w:val="auto"/>
                <w:lang w:val="en-US" w:eastAsia="zh-CN"/>
              </w:rPr>
              <w:t>最佳模型</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A785244">
            <w:pPr>
              <w:pStyle w:val="20"/>
              <w:ind w:left="0" w:leftChars="0" w:firstLine="0" w:firstLineChars="0"/>
              <w:rPr>
                <w:color w:val="auto"/>
              </w:rPr>
            </w:pPr>
            <w:r>
              <w:rPr>
                <w:color w:val="auto"/>
                <w:lang w:val="en-US" w:eastAsia="zh-CN"/>
              </w:rPr>
              <w:t>backend/saved_models/best_stonefly_model.pkl</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930D884">
            <w:pPr>
              <w:pStyle w:val="20"/>
              <w:ind w:left="0" w:leftChars="0" w:firstLine="0" w:firstLineChars="0"/>
              <w:rPr>
                <w:color w:val="auto"/>
              </w:rPr>
            </w:pPr>
            <w:r>
              <w:rPr>
                <w:color w:val="auto"/>
                <w:lang w:val="en-US" w:eastAsia="zh-CN"/>
              </w:rPr>
              <w:t>PKL</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E31080B">
            <w:pPr>
              <w:pStyle w:val="20"/>
              <w:ind w:left="0" w:leftChars="0" w:firstLine="0" w:firstLineChars="0"/>
              <w:rPr>
                <w:color w:val="auto"/>
              </w:rPr>
            </w:pPr>
            <w:r>
              <w:rPr>
                <w:color w:val="auto"/>
                <w:lang w:val="en-US" w:eastAsia="zh-CN"/>
              </w:rPr>
              <w:t>在线预测默认加载模型</w:t>
            </w:r>
          </w:p>
        </w:tc>
      </w:tr>
      <w:tr w14:paraId="21180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04FC764">
            <w:pPr>
              <w:pStyle w:val="20"/>
              <w:ind w:left="0" w:leftChars="0" w:firstLine="0" w:firstLineChars="0"/>
              <w:rPr>
                <w:color w:val="auto"/>
              </w:rPr>
            </w:pPr>
            <w:r>
              <w:rPr>
                <w:color w:val="auto"/>
                <w:lang w:val="en-US" w:eastAsia="zh-CN"/>
              </w:rPr>
              <w:t>测试集</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11ED522">
            <w:pPr>
              <w:pStyle w:val="20"/>
              <w:ind w:left="0" w:leftChars="0" w:firstLine="0" w:firstLineChars="0"/>
              <w:rPr>
                <w:color w:val="auto"/>
              </w:rPr>
            </w:pPr>
            <w:r>
              <w:rPr>
                <w:color w:val="auto"/>
                <w:lang w:val="en-US" w:eastAsia="zh-CN"/>
              </w:rPr>
              <w:t>backend/saved_models/test_data.npz</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28A2E68">
            <w:pPr>
              <w:pStyle w:val="20"/>
              <w:ind w:left="0" w:leftChars="0" w:firstLine="0" w:firstLineChars="0"/>
              <w:rPr>
                <w:color w:val="auto"/>
              </w:rPr>
            </w:pPr>
            <w:r>
              <w:rPr>
                <w:color w:val="auto"/>
                <w:lang w:val="en-US" w:eastAsia="zh-CN"/>
              </w:rPr>
              <w:t>NPZ</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4FC223C">
            <w:pPr>
              <w:pStyle w:val="20"/>
              <w:ind w:left="0" w:leftChars="0" w:firstLine="0" w:firstLineChars="0"/>
              <w:rPr>
                <w:color w:val="auto"/>
              </w:rPr>
            </w:pPr>
            <w:r>
              <w:rPr>
                <w:color w:val="auto"/>
                <w:lang w:val="en-US" w:eastAsia="zh-CN"/>
              </w:rPr>
              <w:t>保存测试特征与标签</w:t>
            </w:r>
          </w:p>
        </w:tc>
      </w:tr>
      <w:tr w14:paraId="6FA5D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E9C5E56">
            <w:pPr>
              <w:pStyle w:val="20"/>
              <w:ind w:left="0" w:leftChars="0" w:firstLine="0" w:firstLineChars="0"/>
              <w:rPr>
                <w:color w:val="auto"/>
              </w:rPr>
            </w:pPr>
            <w:r>
              <w:rPr>
                <w:color w:val="auto"/>
                <w:lang w:val="en-US" w:eastAsia="zh-CN"/>
              </w:rPr>
              <w:t>训练结果</w:t>
            </w:r>
          </w:p>
          <w:p w14:paraId="03C4A8D7">
            <w:pPr>
              <w:pStyle w:val="20"/>
              <w:rPr>
                <w:color w:val="auto"/>
              </w:rPr>
            </w:pP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23BCDEE">
            <w:pPr>
              <w:pStyle w:val="20"/>
              <w:ind w:left="0" w:leftChars="0" w:firstLine="0" w:firstLineChars="0"/>
              <w:rPr>
                <w:color w:val="auto"/>
              </w:rPr>
            </w:pPr>
            <w:r>
              <w:rPr>
                <w:color w:val="auto"/>
                <w:lang w:val="en-US" w:eastAsia="zh-CN"/>
              </w:rPr>
              <w:t>backend/saved_models/training_results.json</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B3D67B0">
            <w:pPr>
              <w:pStyle w:val="20"/>
              <w:ind w:left="0" w:leftChars="0" w:firstLine="0" w:firstLineChars="0"/>
              <w:rPr>
                <w:color w:val="auto"/>
              </w:rPr>
            </w:pPr>
            <w:r>
              <w:rPr>
                <w:color w:val="auto"/>
                <w:lang w:val="en-US" w:eastAsia="zh-CN"/>
              </w:rPr>
              <w:t>JSON</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990286F">
            <w:pPr>
              <w:pStyle w:val="20"/>
              <w:ind w:left="0" w:leftChars="0" w:firstLine="0" w:firstLineChars="0"/>
              <w:rPr>
                <w:color w:val="auto"/>
              </w:rPr>
            </w:pPr>
            <w:r>
              <w:rPr>
                <w:color w:val="auto"/>
                <w:lang w:val="en-US" w:eastAsia="zh-CN"/>
              </w:rPr>
              <w:t>最优参数、交叉验证分数与耗时</w:t>
            </w:r>
          </w:p>
        </w:tc>
      </w:tr>
      <w:tr w14:paraId="6A589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51E0D81">
            <w:pPr>
              <w:pStyle w:val="20"/>
              <w:ind w:left="0" w:leftChars="0" w:firstLine="0" w:firstLineChars="0"/>
              <w:rPr>
                <w:color w:val="auto"/>
              </w:rPr>
            </w:pPr>
            <w:r>
              <w:rPr>
                <w:color w:val="auto"/>
                <w:lang w:val="en-US" w:eastAsia="zh-CN"/>
              </w:rPr>
              <w:t>评估报告</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AA2B197">
            <w:pPr>
              <w:pStyle w:val="20"/>
              <w:ind w:left="0" w:leftChars="0" w:firstLine="0" w:firstLineChars="0"/>
              <w:rPr>
                <w:color w:val="auto"/>
              </w:rPr>
            </w:pPr>
            <w:r>
              <w:rPr>
                <w:color w:val="auto"/>
                <w:lang w:val="en-US" w:eastAsia="zh-CN"/>
              </w:rPr>
              <w:t>backend/saved_models/model_evaluation_report.json</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6ABF09D">
            <w:pPr>
              <w:pStyle w:val="20"/>
              <w:ind w:left="0" w:leftChars="0" w:firstLine="0" w:firstLineChars="0"/>
              <w:rPr>
                <w:color w:val="auto"/>
              </w:rPr>
            </w:pPr>
            <w:r>
              <w:rPr>
                <w:color w:val="auto"/>
                <w:lang w:val="en-US" w:eastAsia="zh-CN"/>
              </w:rPr>
              <w:t>JSON</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77E04D0">
            <w:pPr>
              <w:pStyle w:val="20"/>
              <w:ind w:left="0" w:leftChars="0" w:firstLine="0" w:firstLineChars="0"/>
              <w:rPr>
                <w:color w:val="auto"/>
              </w:rPr>
            </w:pPr>
            <w:r>
              <w:rPr>
                <w:color w:val="auto"/>
                <w:lang w:val="en-US" w:eastAsia="zh-CN"/>
              </w:rPr>
              <w:t>模型指标与最佳模型名称</w:t>
            </w:r>
          </w:p>
        </w:tc>
      </w:tr>
      <w:tr w14:paraId="718A9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F27AD17">
            <w:pPr>
              <w:pStyle w:val="20"/>
              <w:ind w:left="0" w:leftChars="0" w:firstLine="0" w:firstLineChars="0"/>
              <w:rPr>
                <w:color w:val="auto"/>
              </w:rPr>
            </w:pPr>
            <w:r>
              <w:rPr>
                <w:color w:val="auto"/>
                <w:lang w:val="en-US" w:eastAsia="zh-CN"/>
              </w:rPr>
              <w:t>数据探索结果</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E3DE0C3">
            <w:pPr>
              <w:pStyle w:val="20"/>
              <w:ind w:left="0" w:leftChars="0" w:firstLine="0" w:firstLineChars="0"/>
              <w:rPr>
                <w:color w:val="auto"/>
              </w:rPr>
            </w:pPr>
            <w:r>
              <w:rPr>
                <w:color w:val="auto"/>
                <w:lang w:val="en-US" w:eastAsia="zh-CN"/>
              </w:rPr>
              <w:t>backend/visualizations/data_exploration_report.json</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065685A">
            <w:pPr>
              <w:pStyle w:val="20"/>
              <w:ind w:left="0" w:leftChars="0" w:firstLine="0" w:firstLineChars="0"/>
              <w:rPr>
                <w:color w:val="auto"/>
              </w:rPr>
            </w:pPr>
            <w:r>
              <w:rPr>
                <w:color w:val="auto"/>
                <w:lang w:val="en-US" w:eastAsia="zh-CN"/>
              </w:rPr>
              <w:t>JSON</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B4F9304">
            <w:pPr>
              <w:pStyle w:val="20"/>
              <w:ind w:left="0" w:leftChars="0" w:firstLine="0" w:firstLineChars="0"/>
              <w:rPr>
                <w:color w:val="auto"/>
              </w:rPr>
            </w:pPr>
            <w:r>
              <w:rPr>
                <w:color w:val="auto"/>
                <w:lang w:val="en-US" w:eastAsia="zh-CN"/>
              </w:rPr>
              <w:t>样本统计、缺失值和类别分布</w:t>
            </w:r>
          </w:p>
        </w:tc>
      </w:tr>
      <w:tr w14:paraId="536A9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F09871E">
            <w:pPr>
              <w:pStyle w:val="20"/>
              <w:ind w:left="0" w:leftChars="0" w:firstLine="0" w:firstLineChars="0"/>
              <w:rPr>
                <w:color w:val="auto"/>
              </w:rPr>
            </w:pPr>
            <w:r>
              <w:rPr>
                <w:color w:val="auto"/>
                <w:lang w:val="en-US" w:eastAsia="zh-CN"/>
              </w:rPr>
              <w:t>特征工程结果</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7B7ACBA">
            <w:pPr>
              <w:pStyle w:val="20"/>
              <w:rPr>
                <w:color w:val="auto"/>
              </w:rPr>
            </w:pPr>
            <w:r>
              <w:rPr>
                <w:color w:val="auto"/>
                <w:lang w:val="en-US" w:eastAsia="zh-CN"/>
              </w:rPr>
              <w:t>backend/visualizations/feature_engineering_results.json</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E11FC48">
            <w:pPr>
              <w:pStyle w:val="20"/>
              <w:ind w:left="0" w:leftChars="0" w:firstLine="0" w:firstLineChars="0"/>
              <w:rPr>
                <w:color w:val="auto"/>
              </w:rPr>
            </w:pPr>
            <w:r>
              <w:rPr>
                <w:color w:val="auto"/>
                <w:lang w:val="en-US" w:eastAsia="zh-CN"/>
              </w:rPr>
              <w:t>JSON</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2BBC3AD">
            <w:pPr>
              <w:pStyle w:val="20"/>
              <w:ind w:left="0" w:leftChars="0" w:firstLine="0" w:firstLineChars="0"/>
              <w:rPr>
                <w:color w:val="auto"/>
              </w:rPr>
            </w:pPr>
            <w:r>
              <w:rPr>
                <w:color w:val="auto"/>
                <w:lang w:val="en-US" w:eastAsia="zh-CN"/>
              </w:rPr>
              <w:t>PCA 与 LASSO 结果</w:t>
            </w:r>
          </w:p>
        </w:tc>
      </w:tr>
      <w:tr w14:paraId="5EC83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1495"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649698B">
            <w:pPr>
              <w:pStyle w:val="20"/>
              <w:ind w:left="0" w:leftChars="0" w:firstLine="0" w:firstLineChars="0"/>
              <w:rPr>
                <w:color w:val="auto"/>
              </w:rPr>
            </w:pPr>
            <w:r>
              <w:rPr>
                <w:color w:val="auto"/>
                <w:lang w:val="en-US" w:eastAsia="zh-CN"/>
              </w:rPr>
              <w:t>图像资源</w:t>
            </w:r>
          </w:p>
        </w:tc>
        <w:tc>
          <w:tcPr>
            <w:tcW w:w="3602"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BD58406">
            <w:pPr>
              <w:pStyle w:val="20"/>
              <w:rPr>
                <w:color w:val="auto"/>
              </w:rPr>
            </w:pPr>
            <w:r>
              <w:rPr>
                <w:color w:val="auto"/>
                <w:lang w:val="en-US" w:eastAsia="zh-CN"/>
              </w:rPr>
              <w:t>backend/visualizations/*.png</w:t>
            </w:r>
          </w:p>
        </w:tc>
        <w:tc>
          <w:tcPr>
            <w:tcW w:w="111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B3431F0">
            <w:pPr>
              <w:pStyle w:val="20"/>
              <w:ind w:left="0" w:leftChars="0" w:firstLine="0" w:firstLineChars="0"/>
              <w:rPr>
                <w:color w:val="auto"/>
              </w:rPr>
            </w:pPr>
            <w:r>
              <w:rPr>
                <w:color w:val="auto"/>
                <w:lang w:val="en-US" w:eastAsia="zh-CN"/>
              </w:rPr>
              <w:t>PNG</w:t>
            </w:r>
          </w:p>
        </w:tc>
        <w:tc>
          <w:tcPr>
            <w:tcW w:w="28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E5A7CBB">
            <w:pPr>
              <w:pStyle w:val="20"/>
              <w:ind w:left="0" w:leftChars="0" w:firstLine="0" w:firstLineChars="0"/>
              <w:rPr>
                <w:color w:val="auto"/>
              </w:rPr>
            </w:pPr>
            <w:r>
              <w:rPr>
                <w:color w:val="auto"/>
                <w:lang w:val="en-US" w:eastAsia="zh-CN"/>
              </w:rPr>
              <w:t>类别分布、相关矩阵、混淆矩阵等可视化结果</w:t>
            </w:r>
          </w:p>
        </w:tc>
      </w:tr>
    </w:tbl>
    <w:p w14:paraId="74685808">
      <w:pPr>
        <w:pStyle w:val="20"/>
        <w:rPr>
          <w:color w:val="auto"/>
        </w:rPr>
      </w:pPr>
    </w:p>
    <w:bookmarkEnd w:id="114"/>
    <w:bookmarkEnd w:id="120"/>
    <w:p w14:paraId="62061F7E">
      <w:pPr>
        <w:pStyle w:val="4"/>
        <w:rPr>
          <w:color w:val="auto"/>
        </w:rPr>
      </w:pPr>
      <w:bookmarkStart w:id="121" w:name="_Toc227613188"/>
      <w:bookmarkStart w:id="122" w:name="本章小结-1"/>
      <w:r>
        <w:rPr>
          <w:color w:val="auto"/>
        </w:rPr>
        <w:t>3.6 本章小结</w:t>
      </w:r>
      <w:bookmarkEnd w:id="121"/>
    </w:p>
    <w:p w14:paraId="1FF316E4">
      <w:pPr>
        <w:rPr>
          <w:color w:val="auto"/>
        </w:rPr>
      </w:pPr>
      <w:r>
        <w:rPr>
          <w:color w:val="auto"/>
        </w:rPr>
        <w:t>本章从目标、业务流程、功能需求、非功能需求和数据需求五个层面分析了系统建设边界。需求分析表明，石蝇分类系统的核心问题不在于数据库事务处理，而在于结构化数据治理、长尾类别约束、模型服务化和图表化展示的协同实现。</w:t>
      </w:r>
    </w:p>
    <w:bookmarkEnd w:id="85"/>
    <w:bookmarkEnd w:id="122"/>
    <w:p w14:paraId="4BC1F4CE">
      <w:pPr>
        <w:pStyle w:val="3"/>
        <w:rPr>
          <w:color w:val="auto"/>
        </w:rPr>
      </w:pPr>
      <w:bookmarkStart w:id="123" w:name="_Toc227613189"/>
      <w:bookmarkStart w:id="124" w:name="第4章-系统总体设计"/>
      <w:r>
        <w:rPr>
          <w:color w:val="auto"/>
        </w:rPr>
        <w:t>第4章 系统总体设计</w:t>
      </w:r>
      <w:bookmarkEnd w:id="123"/>
    </w:p>
    <w:p w14:paraId="6AD963B7">
      <w:pPr>
        <w:pStyle w:val="4"/>
        <w:rPr>
          <w:color w:val="auto"/>
        </w:rPr>
      </w:pPr>
      <w:bookmarkStart w:id="125" w:name="_Toc227613190"/>
      <w:bookmarkStart w:id="126" w:name="系统设计原则"/>
      <w:r>
        <w:rPr>
          <w:color w:val="auto"/>
        </w:rPr>
        <w:t>4.1 系统设计原则</w:t>
      </w:r>
      <w:bookmarkEnd w:id="125"/>
    </w:p>
    <w:p w14:paraId="30D35E5D">
      <w:pPr>
        <w:rPr>
          <w:color w:val="auto"/>
        </w:rPr>
      </w:pPr>
      <w:r>
        <w:rPr>
          <w:color w:val="auto"/>
        </w:rPr>
        <w:t>系统总体设计遵循真实性、模块化、轻量化和可复现四项原则。真实性要求论文描述与源码实现严格一致，不引入不存在的用户体系、数据库表或图像识别模块；模块化要求前端界面、后端接口、机器学习流程与结果存储之间具有清晰边界；轻量化要求系统能够在普通实验环境下完成训练与部署，不追求与任务规模不匹配的复杂框架；可复现要求训练脚本、结果文件和实验参数都能够被保留并再次运行。</w:t>
      </w:r>
    </w:p>
    <w:bookmarkEnd w:id="126"/>
    <w:p w14:paraId="37D7EB6E">
      <w:pPr>
        <w:pStyle w:val="4"/>
        <w:rPr>
          <w:color w:val="auto"/>
        </w:rPr>
      </w:pPr>
      <w:bookmarkStart w:id="127" w:name="_Toc227613191"/>
      <w:bookmarkStart w:id="128" w:name="系统总体架构设计"/>
      <w:r>
        <w:rPr>
          <w:color w:val="auto"/>
        </w:rPr>
        <w:t>4.2 系统总体架构设计</w:t>
      </w:r>
      <w:bookmarkEnd w:id="127"/>
    </w:p>
    <w:p w14:paraId="716FA609">
      <w:pPr>
        <w:pStyle w:val="5"/>
        <w:rPr>
          <w:color w:val="auto"/>
        </w:rPr>
      </w:pPr>
      <w:bookmarkStart w:id="129" w:name="_Toc227613192"/>
      <w:bookmarkStart w:id="130" w:name="前后端分离架构设计"/>
      <w:r>
        <w:rPr>
          <w:color w:val="auto"/>
        </w:rPr>
        <w:t>4.2.1 前后端分离架构设计</w:t>
      </w:r>
      <w:bookmarkEnd w:id="129"/>
    </w:p>
    <w:p w14:paraId="6341A79F">
      <w:pPr>
        <w:rPr>
          <w:color w:val="auto"/>
        </w:rPr>
      </w:pPr>
      <w:r>
        <w:rPr>
          <w:color w:val="auto"/>
        </w:rPr>
        <w:t>系统采用典型的前后端分离结构。前端负责路由组织、表单交互、结果展示与图表加载，后端负责读取模型对象与静态资源，并以 JSON 或图像流形式返回数据。该架构便于界面与算法各自独立迭代，降低了页面逻辑与机器学习代码之间的耦合程度。</w:t>
      </w:r>
    </w:p>
    <w:p w14:paraId="68C85E71">
      <w:pPr>
        <w:rPr>
          <w:color w:val="auto"/>
        </w:rPr>
      </w:pPr>
      <w:r>
        <w:rPr>
          <w:color w:val="auto"/>
        </w:rPr>
        <w:drawing>
          <wp:inline distT="0" distB="0" distL="114300" distR="114300">
            <wp:extent cx="5575935" cy="2981325"/>
            <wp:effectExtent l="0" t="0" r="571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575935" cy="2981325"/>
                    </a:xfrm>
                    <a:prstGeom prst="rect">
                      <a:avLst/>
                    </a:prstGeom>
                    <a:noFill/>
                    <a:ln>
                      <a:noFill/>
                    </a:ln>
                  </pic:spPr>
                </pic:pic>
              </a:graphicData>
            </a:graphic>
          </wp:inline>
        </w:drawing>
      </w:r>
    </w:p>
    <w:p w14:paraId="69DC1387">
      <w:pPr>
        <w:rPr>
          <w:color w:val="auto"/>
        </w:rPr>
      </w:pPr>
      <w:r>
        <w:rPr>
          <w:color w:val="auto"/>
        </w:rPr>
        <w:t>图4-1 系统总体架构图</w:t>
      </w:r>
    </w:p>
    <w:p w14:paraId="3AE61343">
      <w:pPr>
        <w:pStyle w:val="20"/>
        <w:rPr>
          <w:color w:val="auto"/>
        </w:rPr>
      </w:pPr>
      <w:r>
        <w:rPr>
          <w:color w:val="auto"/>
        </w:rPr>
        <w:t>如图4-1所示，前端展示层、接口服务层、机器学习模块层与文件存储层构成了系统主体。接口层位于系统中枢位置，既承接前端请求，也负责读取训练阶段生成的各类对象，从而将离线训练结果转化为在线服务能力。</w:t>
      </w:r>
    </w:p>
    <w:bookmarkEnd w:id="130"/>
    <w:p w14:paraId="277DB66D">
      <w:pPr>
        <w:pStyle w:val="5"/>
        <w:rPr>
          <w:color w:val="auto"/>
        </w:rPr>
      </w:pPr>
      <w:bookmarkStart w:id="131" w:name="_Toc227613193"/>
      <w:bookmarkStart w:id="132" w:name="机器学习流水线架构设计"/>
      <w:r>
        <w:rPr>
          <w:color w:val="auto"/>
        </w:rPr>
        <w:t>4.2.2 机器学习流水线架构设计</w:t>
      </w:r>
      <w:bookmarkEnd w:id="131"/>
    </w:p>
    <w:p w14:paraId="1CCC3935">
      <w:pPr>
        <w:rPr>
          <w:color w:val="auto"/>
        </w:rPr>
      </w:pPr>
      <w:r>
        <w:rPr>
          <w:color w:val="auto"/>
        </w:rPr>
        <w:t>机器学习流水线围绕离线训练过程展开。该过程包括数据探索、类别过滤、Unknown 下采样、缺失值与异常值处理、标签编码、标准化、特征工程、多模型训练与模型评估等步骤。由于训练任务可能涉及大量样本，系统在 prepare_data 中进一步加入最多 10000 条样本的分层抽样机制，以平衡计算成本与结果稳定性。</w:t>
      </w:r>
    </w:p>
    <w:p w14:paraId="61BB7647">
      <w:pPr>
        <w:jc w:val="center"/>
        <w:rPr>
          <w:color w:val="auto"/>
        </w:rPr>
      </w:pPr>
      <w:r>
        <w:rPr>
          <w:color w:val="auto"/>
        </w:rPr>
        <w:drawing>
          <wp:inline distT="0" distB="0" distL="114300" distR="114300">
            <wp:extent cx="1249045" cy="5942965"/>
            <wp:effectExtent l="0" t="0" r="825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l="5366" t="-169" r="1707" b="23421"/>
                    <a:stretch>
                      <a:fillRect/>
                    </a:stretch>
                  </pic:blipFill>
                  <pic:spPr>
                    <a:xfrm>
                      <a:off x="0" y="0"/>
                      <a:ext cx="1249045" cy="5942965"/>
                    </a:xfrm>
                    <a:prstGeom prst="rect">
                      <a:avLst/>
                    </a:prstGeom>
                    <a:noFill/>
                    <a:ln>
                      <a:noFill/>
                    </a:ln>
                  </pic:spPr>
                </pic:pic>
              </a:graphicData>
            </a:graphic>
          </wp:inline>
        </w:drawing>
      </w:r>
    </w:p>
    <w:p w14:paraId="6FB55B54">
      <w:pPr>
        <w:jc w:val="center"/>
        <w:rPr>
          <w:color w:val="auto"/>
        </w:rPr>
      </w:pPr>
      <w:r>
        <w:rPr>
          <w:color w:val="auto"/>
        </w:rPr>
        <w:t>图4-2 训练数据处理流水线</w:t>
      </w:r>
    </w:p>
    <w:p w14:paraId="1B7DA80B">
      <w:pPr>
        <w:pStyle w:val="20"/>
        <w:rPr>
          <w:color w:val="auto"/>
        </w:rPr>
      </w:pPr>
      <w:r>
        <w:rPr>
          <w:color w:val="auto"/>
        </w:rPr>
        <w:t>如图4-2所示，原始 CSV 数据在进入训练之前要先经历探索分析与类别治理，随后进入统一的预处理和特征选择流程，最后由模型训练与评估模块输出持久化文件。该流程将实验数据治理纳入标准训练步骤，是系统能够稳定复现实验结果的重要前提。</w:t>
      </w:r>
    </w:p>
    <w:bookmarkEnd w:id="132"/>
    <w:p w14:paraId="3EA471A8">
      <w:pPr>
        <w:pStyle w:val="5"/>
        <w:rPr>
          <w:color w:val="auto"/>
        </w:rPr>
      </w:pPr>
      <w:bookmarkStart w:id="133" w:name="_Toc227613194"/>
      <w:bookmarkStart w:id="134" w:name="可视化资源组织结构设计"/>
      <w:r>
        <w:rPr>
          <w:color w:val="auto"/>
        </w:rPr>
        <w:t>4.2.3 可视化资源组织结构设计</w:t>
      </w:r>
      <w:bookmarkEnd w:id="133"/>
    </w:p>
    <w:p w14:paraId="45A914B2">
      <w:pPr>
        <w:rPr>
          <w:color w:val="auto"/>
        </w:rPr>
      </w:pPr>
      <w:r>
        <w:rPr>
          <w:color w:val="auto"/>
        </w:rPr>
        <w:t>系统将图表可视化结果与模型对象分离存放。模型对象位于 saved_models 目录中，包括最优模型、候选模型、预处理器与测试集对象；可视化资源位于 visualizations 目录中，包括类别分布图、相关矩阵图、模型对比图及报告 JSON 文件。这样的组织方式使前端只需通过不同接口读取不同资源类型，避免了在单一目录中混杂多种数据对象。</w:t>
      </w:r>
    </w:p>
    <w:bookmarkEnd w:id="128"/>
    <w:bookmarkEnd w:id="134"/>
    <w:p w14:paraId="028BC244">
      <w:pPr>
        <w:pStyle w:val="4"/>
        <w:rPr>
          <w:color w:val="auto"/>
        </w:rPr>
      </w:pPr>
      <w:bookmarkStart w:id="135" w:name="_Toc227613195"/>
      <w:bookmarkStart w:id="136" w:name="系统功能模块划分"/>
      <w:r>
        <w:rPr>
          <w:color w:val="auto"/>
        </w:rPr>
        <w:t>4.3 系统功能模块划分</w:t>
      </w:r>
      <w:bookmarkEnd w:id="135"/>
    </w:p>
    <w:p w14:paraId="46A856C3">
      <w:pPr>
        <w:rPr>
          <w:color w:val="auto"/>
        </w:rPr>
      </w:pPr>
      <w:r>
        <w:rPr>
          <w:color w:val="auto"/>
        </w:rPr>
        <w:t>系统依据职责可划分为九个功能模块，其关系如图4-3所示。</w:t>
      </w:r>
    </w:p>
    <w:p w14:paraId="43154930">
      <w:pPr>
        <w:rPr>
          <w:color w:val="auto"/>
        </w:rPr>
      </w:pPr>
      <w:r>
        <w:rPr>
          <w:color w:val="auto"/>
        </w:rPr>
        <w:drawing>
          <wp:inline distT="0" distB="0" distL="0" distR="0">
            <wp:extent cx="5296535" cy="3278505"/>
            <wp:effectExtent l="0" t="0" r="0" b="0"/>
            <wp:docPr id="96" name="Picture" descr="图4-3 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图4-3 系统功能模块图"/>
                    <pic:cNvPicPr>
                      <a:picLocks noChangeAspect="1" noChangeArrowheads="1"/>
                    </pic:cNvPicPr>
                  </pic:nvPicPr>
                  <pic:blipFill>
                    <a:blip r:embed="rId8"/>
                    <a:stretch>
                      <a:fillRect/>
                    </a:stretch>
                  </pic:blipFill>
                  <pic:spPr>
                    <a:xfrm>
                      <a:off x="0" y="0"/>
                      <a:ext cx="5296535" cy="3278695"/>
                    </a:xfrm>
                    <a:prstGeom prst="rect">
                      <a:avLst/>
                    </a:prstGeom>
                    <a:noFill/>
                    <a:ln w="9525">
                      <a:noFill/>
                    </a:ln>
                  </pic:spPr>
                </pic:pic>
              </a:graphicData>
            </a:graphic>
          </wp:inline>
        </w:drawing>
      </w:r>
    </w:p>
    <w:p w14:paraId="22A598D2">
      <w:pPr>
        <w:rPr>
          <w:color w:val="auto"/>
        </w:rPr>
      </w:pPr>
      <w:r>
        <w:rPr>
          <w:color w:val="auto"/>
        </w:rPr>
        <w:t>图4-3 系统功能模块图</w:t>
      </w:r>
    </w:p>
    <w:p w14:paraId="45E476B9">
      <w:pPr>
        <w:pStyle w:val="5"/>
        <w:rPr>
          <w:color w:val="auto"/>
        </w:rPr>
      </w:pPr>
      <w:bookmarkStart w:id="137" w:name="_Toc227613196"/>
      <w:bookmarkStart w:id="138" w:name="数据探索模块"/>
      <w:r>
        <w:rPr>
          <w:color w:val="auto"/>
        </w:rPr>
        <w:t>4.3.1 数据探索模块</w:t>
      </w:r>
      <w:bookmarkEnd w:id="137"/>
    </w:p>
    <w:p w14:paraId="68AB6727">
      <w:pPr>
        <w:rPr>
          <w:color w:val="auto"/>
        </w:rPr>
      </w:pPr>
      <w:r>
        <w:rPr>
          <w:color w:val="auto"/>
        </w:rPr>
        <w:t>数据探索模块负责读取原始数据、统计样本规模、分析特征类型、计算缺失值比例与类别分布，并采用 IQR 方法检测数值特征异常值。该模块输出 data_exploration_report.json，为后续预处理和实验说明提供依据。</w:t>
      </w:r>
    </w:p>
    <w:bookmarkEnd w:id="138"/>
    <w:p w14:paraId="12A13C1B">
      <w:pPr>
        <w:pStyle w:val="5"/>
        <w:rPr>
          <w:color w:val="auto"/>
        </w:rPr>
      </w:pPr>
      <w:bookmarkStart w:id="139" w:name="_Toc227613197"/>
      <w:bookmarkStart w:id="140" w:name="数据预处理模块"/>
      <w:r>
        <w:rPr>
          <w:color w:val="auto"/>
        </w:rPr>
        <w:t>4.3.2 数据预处理模块</w:t>
      </w:r>
      <w:bookmarkEnd w:id="139"/>
    </w:p>
    <w:p w14:paraId="4E8B91BA">
      <w:pPr>
        <w:rPr>
          <w:color w:val="auto"/>
        </w:rPr>
      </w:pPr>
      <w:r>
        <w:rPr>
          <w:color w:val="auto"/>
        </w:rPr>
        <w:t>预处理模块负责完成缺失值填补、异常值截断、标签编码和标准化。该模块输出 preprocessor.pkl 和 processed_data.npz 等对象，为训练和在线推理提供统一的数据变换规则。</w:t>
      </w:r>
    </w:p>
    <w:bookmarkEnd w:id="140"/>
    <w:p w14:paraId="5B627611">
      <w:pPr>
        <w:pStyle w:val="5"/>
        <w:rPr>
          <w:color w:val="auto"/>
        </w:rPr>
      </w:pPr>
      <w:bookmarkStart w:id="141" w:name="_Toc227613198"/>
      <w:bookmarkStart w:id="142" w:name="特征工程模块"/>
      <w:r>
        <w:rPr>
          <w:color w:val="auto"/>
        </w:rPr>
        <w:t>4.3.3 特征工程模块</w:t>
      </w:r>
      <w:bookmarkEnd w:id="141"/>
    </w:p>
    <w:p w14:paraId="6B5860C9">
      <w:pPr>
        <w:rPr>
          <w:color w:val="auto"/>
        </w:rPr>
      </w:pPr>
      <w:r>
        <w:rPr>
          <w:color w:val="auto"/>
        </w:rPr>
        <w:t>特征工程模块包括 PCA 分析、LASSO 特征选择以及多个可视化图表生成过程。它既承担降维与特征筛选任务，也承担分析结果输出任务，最终形成 pca_model.pkl、lasso_selector.pkl 与 feature_engineering_results.json 等对象。</w:t>
      </w:r>
    </w:p>
    <w:bookmarkEnd w:id="142"/>
    <w:p w14:paraId="3885ED77">
      <w:pPr>
        <w:pStyle w:val="5"/>
        <w:rPr>
          <w:color w:val="auto"/>
        </w:rPr>
      </w:pPr>
      <w:bookmarkStart w:id="143" w:name="_Toc227613199"/>
      <w:bookmarkStart w:id="144" w:name="模型训练模块"/>
      <w:r>
        <w:rPr>
          <w:color w:val="auto"/>
        </w:rPr>
        <w:t>4.3.4 模型训练模块</w:t>
      </w:r>
      <w:bookmarkEnd w:id="143"/>
    </w:p>
    <w:p w14:paraId="04F3BE2F">
      <w:pPr>
        <w:rPr>
          <w:color w:val="auto"/>
        </w:rPr>
      </w:pPr>
      <w:r>
        <w:rPr>
          <w:color w:val="auto"/>
        </w:rPr>
        <w:t>模型训练模块负责划分训练集与测试集，执行随机森林、支持向量机、XGBoost 和 K 近邻模型的超参数搜索与拟合，并记录最优参数与训练耗时。该模块还包含面向开放集近似场景的双阶段模型训练逻辑。</w:t>
      </w:r>
    </w:p>
    <w:bookmarkEnd w:id="144"/>
    <w:p w14:paraId="15D3BD49">
      <w:pPr>
        <w:pStyle w:val="5"/>
        <w:rPr>
          <w:color w:val="auto"/>
        </w:rPr>
      </w:pPr>
      <w:bookmarkStart w:id="145" w:name="_Toc227613200"/>
      <w:bookmarkStart w:id="146" w:name="双阶段识别模块"/>
      <w:r>
        <w:rPr>
          <w:color w:val="auto"/>
        </w:rPr>
        <w:t>4.3.5 双阶段识别模块</w:t>
      </w:r>
      <w:bookmarkEnd w:id="145"/>
    </w:p>
    <w:p w14:paraId="77115370">
      <w:pPr>
        <w:rPr>
          <w:color w:val="auto"/>
        </w:rPr>
      </w:pPr>
      <w:r>
        <w:rPr>
          <w:color w:val="auto"/>
        </w:rPr>
        <w:t>双阶段识别模块先以二分类方式判断样本更可能属于已知类还是 Unknown 类，再对已知样本进行细分类。该模块在训练流程中已经实现模型构建与元数据保存，在预测接口中也预留了基于 known_threshold 的路由逻辑。</w:t>
      </w:r>
    </w:p>
    <w:bookmarkEnd w:id="146"/>
    <w:p w14:paraId="6EBAD92F">
      <w:pPr>
        <w:pStyle w:val="5"/>
        <w:rPr>
          <w:color w:val="auto"/>
        </w:rPr>
      </w:pPr>
      <w:bookmarkStart w:id="147" w:name="_Toc227613201"/>
      <w:bookmarkStart w:id="148" w:name="模型评估模块"/>
      <w:r>
        <w:rPr>
          <w:color w:val="auto"/>
        </w:rPr>
        <w:t>4.3.6 模型评估模块</w:t>
      </w:r>
      <w:bookmarkEnd w:id="147"/>
    </w:p>
    <w:p w14:paraId="112AD6B0">
      <w:pPr>
        <w:rPr>
          <w:color w:val="auto"/>
        </w:rPr>
      </w:pPr>
      <w:r>
        <w:rPr>
          <w:color w:val="auto"/>
        </w:rPr>
        <w:t>模型评估模块负责计算多种评价指标、生成混淆矩阵图和模型对比图，并依据宏平均 F1 选取最优模型。其输出的 model_evaluation_report.json 直接被前端数据大屏页面调用。</w:t>
      </w:r>
    </w:p>
    <w:bookmarkEnd w:id="148"/>
    <w:p w14:paraId="337AE618">
      <w:pPr>
        <w:pStyle w:val="5"/>
        <w:rPr>
          <w:color w:val="auto"/>
        </w:rPr>
      </w:pPr>
      <w:bookmarkStart w:id="149" w:name="_Toc227613202"/>
      <w:bookmarkStart w:id="150" w:name="预测服务模块"/>
      <w:r>
        <w:rPr>
          <w:color w:val="auto"/>
        </w:rPr>
        <w:t>4.3.7 预测服务模块</w:t>
      </w:r>
      <w:bookmarkEnd w:id="149"/>
    </w:p>
    <w:p w14:paraId="0CD9FD7D">
      <w:pPr>
        <w:rPr>
          <w:color w:val="auto"/>
        </w:rPr>
      </w:pPr>
      <w:r>
        <w:rPr>
          <w:color w:val="auto"/>
        </w:rPr>
        <w:t>预测服务模块负责完成输入校验、对象加载、特征变换、候选类别排序、置信度分级和异常错误处理。该模块是训练阶段成果转化为在线分类功能的关键环节。</w:t>
      </w:r>
    </w:p>
    <w:bookmarkEnd w:id="150"/>
    <w:p w14:paraId="21DE64ED">
      <w:pPr>
        <w:pStyle w:val="5"/>
        <w:rPr>
          <w:color w:val="auto"/>
        </w:rPr>
      </w:pPr>
      <w:bookmarkStart w:id="151" w:name="_Toc227613203"/>
      <w:bookmarkStart w:id="152" w:name="前端交互模块"/>
      <w:r>
        <w:rPr>
          <w:color w:val="auto"/>
        </w:rPr>
        <w:t>4.3.8 前端交互模块</w:t>
      </w:r>
      <w:bookmarkEnd w:id="151"/>
    </w:p>
    <w:p w14:paraId="6BD29AA2">
      <w:pPr>
        <w:rPr>
          <w:color w:val="auto"/>
        </w:rPr>
      </w:pPr>
      <w:r>
        <w:rPr>
          <w:color w:val="auto"/>
        </w:rPr>
        <w:t>前端交互模块由根布局、路由管理、API 服务封装和三个页面视图共同构成。其主要任务是组织页面跳转、接收用户输入并将后端结果友好呈现。</w:t>
      </w:r>
    </w:p>
    <w:bookmarkEnd w:id="152"/>
    <w:p w14:paraId="09831E15">
      <w:pPr>
        <w:pStyle w:val="5"/>
        <w:rPr>
          <w:color w:val="auto"/>
        </w:rPr>
      </w:pPr>
      <w:bookmarkStart w:id="153" w:name="_Toc227613204"/>
      <w:bookmarkStart w:id="154" w:name="数据可视化展示模块"/>
      <w:r>
        <w:rPr>
          <w:color w:val="auto"/>
        </w:rPr>
        <w:t>4.3.9 数据可视化展示模块</w:t>
      </w:r>
      <w:bookmarkEnd w:id="153"/>
    </w:p>
    <w:p w14:paraId="0625CE65">
      <w:pPr>
        <w:rPr>
          <w:color w:val="auto"/>
        </w:rPr>
      </w:pPr>
      <w:r>
        <w:rPr>
          <w:color w:val="auto"/>
        </w:rPr>
        <w:t>数据可视化展示模块负责展示模型关键指标、模型性能对比表及静态图表资源。与传统实时图表渲染相比，当前实现采用训练阶段预生成图像的方式，能够简化前端逻辑并降低浏览器端渲染压力。</w:t>
      </w:r>
    </w:p>
    <w:bookmarkEnd w:id="136"/>
    <w:bookmarkEnd w:id="154"/>
    <w:p w14:paraId="736BA618">
      <w:pPr>
        <w:pStyle w:val="4"/>
        <w:rPr>
          <w:color w:val="auto"/>
        </w:rPr>
      </w:pPr>
      <w:bookmarkStart w:id="155" w:name="_Toc227613205"/>
      <w:bookmarkStart w:id="156" w:name="数据结构与存储设计"/>
      <w:r>
        <w:rPr>
          <w:color w:val="auto"/>
        </w:rPr>
        <w:t>4.4 数据结构与存储设计</w:t>
      </w:r>
      <w:bookmarkEnd w:id="155"/>
    </w:p>
    <w:p w14:paraId="03CFE9C6">
      <w:pPr>
        <w:pStyle w:val="5"/>
        <w:rPr>
          <w:color w:val="auto"/>
        </w:rPr>
      </w:pPr>
      <w:bookmarkStart w:id="157" w:name="_Toc227613206"/>
      <w:bookmarkStart w:id="158" w:name="样本数据字段设计"/>
      <w:r>
        <w:rPr>
          <w:color w:val="auto"/>
        </w:rPr>
        <w:t>4.4.1 样本数据字段设计</w:t>
      </w:r>
      <w:bookmarkEnd w:id="157"/>
    </w:p>
    <w:p w14:paraId="5A47F891">
      <w:pPr>
        <w:rPr>
          <w:color w:val="auto"/>
        </w:rPr>
      </w:pPr>
      <w:r>
        <w:rPr>
          <w:color w:val="auto"/>
        </w:rPr>
        <w:t>样本数据结构已经在表3-1中给出。需要强调的是，系统当前并未构建数据库表，而是围绕 CSV 文件中的八个字段开展训练与服务。字段设计兼顾地理分布特征与形态学特征，适合石蝇分类任务的表格建模。</w:t>
      </w:r>
    </w:p>
    <w:bookmarkEnd w:id="158"/>
    <w:p w14:paraId="1617AFE4">
      <w:pPr>
        <w:pStyle w:val="5"/>
        <w:rPr>
          <w:color w:val="auto"/>
        </w:rPr>
      </w:pPr>
      <w:bookmarkStart w:id="159" w:name="_Toc227613207"/>
      <w:bookmarkStart w:id="160" w:name="预处理结果存储设计"/>
      <w:r>
        <w:rPr>
          <w:color w:val="auto"/>
        </w:rPr>
        <w:t>4.4.2 预处理结果存储设计</w:t>
      </w:r>
      <w:bookmarkEnd w:id="159"/>
    </w:p>
    <w:p w14:paraId="25C36FCF">
      <w:pPr>
        <w:rPr>
          <w:color w:val="auto"/>
        </w:rPr>
      </w:pPr>
      <w:r>
        <w:rPr>
          <w:color w:val="auto"/>
        </w:rPr>
        <w:t>预处理器对象 DataPreprocessor 内部保存标签编码器集合、目标编码器、标准化器及数值型与分类型字段列表。将其整体序列化为 preprocessor.pkl 的优点在于，在线预测时不需要重新学习编码规则，而是能够直接对输入样本调用 transform 方法，保证训练态与推理态的一致性。</w:t>
      </w:r>
    </w:p>
    <w:bookmarkEnd w:id="160"/>
    <w:p w14:paraId="55A51198">
      <w:pPr>
        <w:pStyle w:val="5"/>
        <w:rPr>
          <w:color w:val="auto"/>
        </w:rPr>
      </w:pPr>
      <w:bookmarkStart w:id="161" w:name="_Toc227613208"/>
      <w:bookmarkStart w:id="162" w:name="模型文件存储设计"/>
      <w:r>
        <w:rPr>
          <w:color w:val="auto"/>
        </w:rPr>
        <w:t>4.4.3 模型文件存储设计</w:t>
      </w:r>
      <w:bookmarkEnd w:id="161"/>
    </w:p>
    <w:p w14:paraId="38A0D34E">
      <w:pPr>
        <w:rPr>
          <w:color w:val="auto"/>
        </w:rPr>
      </w:pPr>
      <w:r>
        <w:rPr>
          <w:color w:val="auto"/>
        </w:rPr>
        <w:t>模型文件以 joblib 持久化形式存储。候选模型分别保存为 random_forest_model.pkl、svm_model.pkl、xgboost_model.pkl 和 knn_model.pkl，最优模型保存为 best_stonefly_model.pkl。双阶段模型理论上应对应 stage1_known_unknown_model.pkl 与 stage2_known_species_model.pkl 两个对象。当前归档中已包含阶段一模型和元数据文件，阶段二模型文件未随当前保存目录一起提供，因此预测接口在实际运行时会自动回退为单阶段模式。这一行为与路由代码判断逻辑保持一致，属于设计已预留、部署文件尚未完整集成的状态。</w:t>
      </w:r>
    </w:p>
    <w:bookmarkEnd w:id="162"/>
    <w:p w14:paraId="0CD71E12">
      <w:pPr>
        <w:pStyle w:val="5"/>
        <w:rPr>
          <w:color w:val="auto"/>
        </w:rPr>
      </w:pPr>
      <w:bookmarkStart w:id="163" w:name="_Toc227613209"/>
      <w:bookmarkStart w:id="164" w:name="评估结果文件存储设计"/>
      <w:r>
        <w:rPr>
          <w:color w:val="auto"/>
        </w:rPr>
        <w:t>4.4.4 评估结果文件存储设计</w:t>
      </w:r>
      <w:bookmarkEnd w:id="163"/>
    </w:p>
    <w:p w14:paraId="33A95E00">
      <w:pPr>
        <w:rPr>
          <w:color w:val="auto"/>
        </w:rPr>
      </w:pPr>
      <w:r>
        <w:rPr>
          <w:color w:val="auto"/>
        </w:rPr>
        <w:t>评估结果由 JSON 与 NPZ 两类文件共同构成。test_data.npz 保存用于离线评估的测试样本与标签；training_results.json 保存训练参数和耗时；model_evaluation_report.json 保存四类候选模型的评价指标与最优模型选择结果；two_stage_metadata.json 保存 Unknown 类编码下标、阈值和下采样参数。这种文件组织方式能够实现训练态结果的完整追溯。</w:t>
      </w:r>
    </w:p>
    <w:bookmarkEnd w:id="164"/>
    <w:p w14:paraId="0387E817">
      <w:pPr>
        <w:pStyle w:val="5"/>
        <w:rPr>
          <w:color w:val="auto"/>
        </w:rPr>
      </w:pPr>
      <w:bookmarkStart w:id="165" w:name="_Toc227613210"/>
      <w:bookmarkStart w:id="166" w:name="可视化图像文件存储设计"/>
      <w:r>
        <w:rPr>
          <w:color w:val="auto"/>
        </w:rPr>
        <w:t>4.4.5 可视化图像文件存储设计</w:t>
      </w:r>
      <w:bookmarkEnd w:id="165"/>
    </w:p>
    <w:p w14:paraId="0FDF75C7">
      <w:pPr>
        <w:rPr>
          <w:color w:val="auto"/>
        </w:rPr>
      </w:pPr>
      <w:r>
        <w:rPr>
          <w:color w:val="auto"/>
        </w:rPr>
        <w:t>所有统计图表均保存为 PNG 文件，并通过 /api/visualization/ 接口访问。这些图表包括类别分布、特征分布、相关矩阵、LASSO 重要性、混淆矩阵和模型对比图等。前端页面无需关心绘图细节，只需依据文件名加载图像即可。</w:t>
      </w:r>
    </w:p>
    <w:bookmarkEnd w:id="156"/>
    <w:bookmarkEnd w:id="166"/>
    <w:p w14:paraId="0AB60859">
      <w:pPr>
        <w:pStyle w:val="4"/>
        <w:rPr>
          <w:color w:val="auto"/>
        </w:rPr>
      </w:pPr>
      <w:bookmarkStart w:id="167" w:name="_Toc227613211"/>
      <w:bookmarkStart w:id="168" w:name="接口设计"/>
      <w:r>
        <w:rPr>
          <w:color w:val="auto"/>
        </w:rPr>
        <w:t>4.5 接口设计</w:t>
      </w:r>
      <w:bookmarkEnd w:id="167"/>
    </w:p>
    <w:p w14:paraId="046AE287">
      <w:pPr>
        <w:rPr>
          <w:color w:val="auto"/>
        </w:rPr>
      </w:pPr>
      <w:r>
        <w:rPr>
          <w:color w:val="auto"/>
        </w:rPr>
        <w:t>系统主要接口设计如表4-1所示。</w:t>
      </w:r>
    </w:p>
    <w:p w14:paraId="73FCD8B6">
      <w:pPr>
        <w:pStyle w:val="20"/>
        <w:rPr>
          <w:color w:val="auto"/>
        </w:rPr>
      </w:pPr>
      <w:r>
        <w:rPr>
          <w:color w:val="auto"/>
        </w:rPr>
        <w:t>表4-1 系统接口设计</w:t>
      </w:r>
      <w:r>
        <w:rPr>
          <w:color w:val="auto"/>
        </w:rPr>
        <w:br w:type="textWrapping"/>
      </w:r>
    </w:p>
    <w:tbl>
      <w:tblPr>
        <w:tblStyle w:val="41"/>
        <w:tblW w:w="75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4"/>
        <w:gridCol w:w="2491"/>
        <w:gridCol w:w="3675"/>
      </w:tblGrid>
      <w:tr w14:paraId="2A0C1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91281D9">
            <w:pPr>
              <w:pStyle w:val="20"/>
              <w:rPr>
                <w:color w:val="auto"/>
              </w:rPr>
            </w:pPr>
            <w:r>
              <w:rPr>
                <w:color w:val="auto"/>
                <w:lang w:val="en-US" w:eastAsia="zh-CN"/>
              </w:rPr>
              <w:t>方法</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6061430">
            <w:pPr>
              <w:pStyle w:val="20"/>
              <w:rPr>
                <w:color w:val="auto"/>
              </w:rPr>
            </w:pPr>
            <w:r>
              <w:rPr>
                <w:color w:val="auto"/>
                <w:lang w:val="en-US" w:eastAsia="zh-CN"/>
              </w:rPr>
              <w:t>路径</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BA8F23B">
            <w:pPr>
              <w:pStyle w:val="20"/>
              <w:rPr>
                <w:color w:val="auto"/>
              </w:rPr>
            </w:pPr>
            <w:r>
              <w:rPr>
                <w:color w:val="auto"/>
                <w:lang w:val="en-US" w:eastAsia="zh-CN"/>
              </w:rPr>
              <w:t>功能</w:t>
            </w:r>
          </w:p>
        </w:tc>
      </w:tr>
      <w:tr w14:paraId="61E2E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91CBC6D">
            <w:pPr>
              <w:pStyle w:val="20"/>
              <w:rPr>
                <w:color w:val="auto"/>
              </w:rPr>
            </w:pPr>
            <w:r>
              <w:rPr>
                <w:color w:val="auto"/>
                <w:lang w:val="en-US" w:eastAsia="zh-CN"/>
              </w:rPr>
              <w:t>GET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D2054EA">
            <w:pPr>
              <w:pStyle w:val="20"/>
              <w:rPr>
                <w:color w:val="auto"/>
              </w:rPr>
            </w:pPr>
            <w:r>
              <w:rPr>
                <w:color w:val="auto"/>
                <w:lang w:val="en-US" w:eastAsia="zh-CN"/>
              </w:rPr>
              <w:t>/health</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22353A3">
            <w:pPr>
              <w:pStyle w:val="20"/>
              <w:rPr>
                <w:color w:val="auto"/>
              </w:rPr>
            </w:pPr>
            <w:r>
              <w:rPr>
                <w:color w:val="auto"/>
                <w:lang w:val="en-US" w:eastAsia="zh-CN"/>
              </w:rPr>
              <w:t>健康检查</w:t>
            </w:r>
          </w:p>
        </w:tc>
      </w:tr>
      <w:tr w14:paraId="3DE51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33BF379">
            <w:pPr>
              <w:pStyle w:val="20"/>
              <w:rPr>
                <w:color w:val="auto"/>
              </w:rPr>
            </w:pPr>
            <w:r>
              <w:rPr>
                <w:color w:val="auto"/>
                <w:lang w:val="en-US" w:eastAsia="zh-CN"/>
              </w:rPr>
              <w:t>GET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D99B501">
            <w:pPr>
              <w:pStyle w:val="20"/>
              <w:rPr>
                <w:color w:val="auto"/>
              </w:rPr>
            </w:pPr>
            <w:r>
              <w:rPr>
                <w:color w:val="auto"/>
                <w:lang w:val="en-US" w:eastAsia="zh-CN"/>
              </w:rPr>
              <w:t>/api/features</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61628DC">
            <w:pPr>
              <w:pStyle w:val="20"/>
              <w:rPr>
                <w:color w:val="auto"/>
              </w:rPr>
            </w:pPr>
            <w:r>
              <w:rPr>
                <w:color w:val="auto"/>
                <w:lang w:val="en-US" w:eastAsia="zh-CN"/>
              </w:rPr>
              <w:t>返回预测输入字段定义</w:t>
            </w:r>
          </w:p>
        </w:tc>
      </w:tr>
      <w:tr w14:paraId="1B432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24719B0">
            <w:pPr>
              <w:pStyle w:val="20"/>
              <w:rPr>
                <w:color w:val="auto"/>
              </w:rPr>
            </w:pPr>
            <w:r>
              <w:rPr>
                <w:color w:val="auto"/>
                <w:lang w:val="en-US" w:eastAsia="zh-CN"/>
              </w:rPr>
              <w:t>POST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C22DCF8">
            <w:pPr>
              <w:pStyle w:val="20"/>
              <w:rPr>
                <w:color w:val="auto"/>
              </w:rPr>
            </w:pPr>
            <w:r>
              <w:rPr>
                <w:color w:val="auto"/>
                <w:lang w:val="en-US" w:eastAsia="zh-CN"/>
              </w:rPr>
              <w:t>/api/predict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E505D0E">
            <w:pPr>
              <w:pStyle w:val="20"/>
              <w:rPr>
                <w:color w:val="auto"/>
              </w:rPr>
            </w:pPr>
            <w:r>
              <w:rPr>
                <w:color w:val="auto"/>
                <w:lang w:val="en-US" w:eastAsia="zh-CN"/>
              </w:rPr>
              <w:t>执行分类预测</w:t>
            </w:r>
          </w:p>
        </w:tc>
      </w:tr>
      <w:tr w14:paraId="5D453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4759D66">
            <w:pPr>
              <w:pStyle w:val="20"/>
              <w:rPr>
                <w:color w:val="auto"/>
              </w:rPr>
            </w:pPr>
            <w:r>
              <w:rPr>
                <w:color w:val="auto"/>
                <w:lang w:val="en-US" w:eastAsia="zh-CN"/>
              </w:rPr>
              <w:t>GET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2E9F092">
            <w:pPr>
              <w:pStyle w:val="20"/>
              <w:rPr>
                <w:color w:val="auto"/>
              </w:rPr>
            </w:pPr>
            <w:r>
              <w:rPr>
                <w:color w:val="auto"/>
                <w:lang w:val="en-US" w:eastAsia="zh-CN"/>
              </w:rPr>
              <w:t>/api/model-info</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19DF5D0">
            <w:pPr>
              <w:pStyle w:val="20"/>
              <w:rPr>
                <w:color w:val="auto"/>
              </w:rPr>
            </w:pPr>
            <w:r>
              <w:rPr>
                <w:color w:val="auto"/>
                <w:lang w:val="en-US" w:eastAsia="zh-CN"/>
              </w:rPr>
              <w:t>返回最佳模型与多模型指标</w:t>
            </w:r>
          </w:p>
        </w:tc>
      </w:tr>
      <w:tr w14:paraId="57DEE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69E5A73">
            <w:pPr>
              <w:pStyle w:val="20"/>
              <w:rPr>
                <w:color w:val="auto"/>
              </w:rPr>
            </w:pPr>
            <w:r>
              <w:rPr>
                <w:color w:val="auto"/>
                <w:lang w:val="en-US" w:eastAsia="zh-CN"/>
              </w:rPr>
              <w:t>GET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DCCAF8A">
            <w:pPr>
              <w:pStyle w:val="20"/>
              <w:rPr>
                <w:color w:val="auto"/>
              </w:rPr>
            </w:pPr>
            <w:r>
              <w:rPr>
                <w:color w:val="auto"/>
                <w:lang w:val="en-US" w:eastAsia="zh-CN"/>
              </w:rPr>
              <w:t>/api/stats</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E923D0E">
            <w:pPr>
              <w:pStyle w:val="20"/>
              <w:rPr>
                <w:color w:val="auto"/>
              </w:rPr>
            </w:pPr>
            <w:r>
              <w:rPr>
                <w:color w:val="auto"/>
                <w:lang w:val="en-US" w:eastAsia="zh-CN"/>
              </w:rPr>
              <w:t>返回数据统计摘要</w:t>
            </w:r>
          </w:p>
        </w:tc>
      </w:tr>
      <w:tr w14:paraId="57181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F7E6D40">
            <w:pPr>
              <w:pStyle w:val="20"/>
              <w:rPr>
                <w:color w:val="auto"/>
              </w:rPr>
            </w:pPr>
            <w:r>
              <w:rPr>
                <w:color w:val="auto"/>
                <w:lang w:val="en-US" w:eastAsia="zh-CN"/>
              </w:rPr>
              <w:t>GET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C20C2E4">
            <w:pPr>
              <w:pStyle w:val="20"/>
              <w:rPr>
                <w:color w:val="auto"/>
              </w:rPr>
            </w:pPr>
            <w:r>
              <w:rPr>
                <w:color w:val="auto"/>
                <w:lang w:val="en-US" w:eastAsia="zh-CN"/>
              </w:rPr>
              <w:t>/api/visualization/</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2A9B90D">
            <w:pPr>
              <w:pStyle w:val="20"/>
              <w:rPr>
                <w:color w:val="auto"/>
              </w:rPr>
            </w:pPr>
            <w:r>
              <w:rPr>
                <w:color w:val="auto"/>
                <w:lang w:val="en-US" w:eastAsia="zh-CN"/>
              </w:rPr>
              <w:t>读取可视化图片资源</w:t>
            </w:r>
          </w:p>
        </w:tc>
      </w:tr>
    </w:tbl>
    <w:p w14:paraId="1380FE42">
      <w:pPr>
        <w:pStyle w:val="20"/>
        <w:rPr>
          <w:color w:val="auto"/>
        </w:rPr>
      </w:pPr>
    </w:p>
    <w:p w14:paraId="56A6D9B4">
      <w:pPr>
        <w:pStyle w:val="5"/>
        <w:rPr>
          <w:color w:val="auto"/>
        </w:rPr>
      </w:pPr>
      <w:bookmarkStart w:id="169" w:name="_Toc227613212"/>
      <w:bookmarkStart w:id="170" w:name="分类预测接口设计"/>
      <w:r>
        <w:rPr>
          <w:color w:val="auto"/>
        </w:rPr>
        <w:t>4.5.1 分类预测接口设计</w:t>
      </w:r>
      <w:bookmarkEnd w:id="169"/>
    </w:p>
    <w:p w14:paraId="59FAC347">
      <w:pPr>
        <w:rPr>
          <w:color w:val="auto"/>
        </w:rPr>
      </w:pPr>
      <w:r>
        <w:rPr>
          <w:color w:val="auto"/>
        </w:rPr>
        <w:t>预测接口接收 JSON 请求体，并要求包含 lat、lon、country、family、body_length_mm、color 与 head_feature 七个字段。后端首先检查模型文件与预处理器文件是否存在，随后将请求数据重排为训练期字段顺序，再执行预处理与特征选择。若输入类别值未出现在训练期编码器中，接口会返回明确的 400 错误信息，提示用户检查分类型字段取值。</w:t>
      </w:r>
    </w:p>
    <w:bookmarkEnd w:id="170"/>
    <w:p w14:paraId="0422626C">
      <w:pPr>
        <w:pStyle w:val="5"/>
        <w:rPr>
          <w:color w:val="auto"/>
        </w:rPr>
      </w:pPr>
      <w:bookmarkStart w:id="171" w:name="_Toc227613213"/>
      <w:bookmarkStart w:id="172" w:name="特征说明接口设计"/>
      <w:r>
        <w:rPr>
          <w:color w:val="auto"/>
        </w:rPr>
        <w:t>4.5.2 特征说明接口设计</w:t>
      </w:r>
      <w:bookmarkEnd w:id="171"/>
    </w:p>
    <w:p w14:paraId="362684BA">
      <w:pPr>
        <w:rPr>
          <w:color w:val="auto"/>
        </w:rPr>
      </w:pPr>
      <w:r>
        <w:rPr>
          <w:color w:val="auto"/>
        </w:rPr>
        <w:t>特征说明接口返回字段名称、数据类型、字段含义和可选值集合。该接口的意义在于将前端表单约束与后端训练约束保持一致，减少前端硬编码导致的信息不一致风险。</w:t>
      </w:r>
    </w:p>
    <w:bookmarkEnd w:id="172"/>
    <w:p w14:paraId="7EBEB5F3">
      <w:pPr>
        <w:pStyle w:val="5"/>
        <w:rPr>
          <w:color w:val="auto"/>
        </w:rPr>
      </w:pPr>
      <w:bookmarkStart w:id="173" w:name="_Toc227613214"/>
      <w:bookmarkStart w:id="174" w:name="模型信息接口设计"/>
      <w:r>
        <w:rPr>
          <w:color w:val="auto"/>
        </w:rPr>
        <w:t>4.5.3 模型信息接口设计</w:t>
      </w:r>
      <w:bookmarkEnd w:id="173"/>
    </w:p>
    <w:p w14:paraId="75571812">
      <w:pPr>
        <w:rPr>
          <w:color w:val="auto"/>
        </w:rPr>
      </w:pPr>
      <w:r>
        <w:rPr>
          <w:color w:val="auto"/>
        </w:rPr>
        <w:t>模型信息接口读取 model_evaluation_report.json 并返回最优模型、最佳分数和全部模型的指标集合。前端数据大屏依据该接口构造统计卡片和模型对比表，因此该接口是连接评估模块与展示模块的关键桥梁。</w:t>
      </w:r>
    </w:p>
    <w:bookmarkEnd w:id="174"/>
    <w:p w14:paraId="294360DA">
      <w:pPr>
        <w:pStyle w:val="5"/>
        <w:rPr>
          <w:color w:val="auto"/>
        </w:rPr>
      </w:pPr>
      <w:bookmarkStart w:id="175" w:name="_Toc227613215"/>
      <w:bookmarkStart w:id="176" w:name="统计信息接口设计"/>
      <w:r>
        <w:rPr>
          <w:color w:val="auto"/>
        </w:rPr>
        <w:t>4.5.4 统计信息接口设计</w:t>
      </w:r>
      <w:bookmarkEnd w:id="175"/>
    </w:p>
    <w:p w14:paraId="18E75DD8">
      <w:pPr>
        <w:rPr>
          <w:color w:val="auto"/>
        </w:rPr>
      </w:pPr>
      <w:r>
        <w:rPr>
          <w:color w:val="auto"/>
        </w:rPr>
        <w:t>统计信息接口读取 data_exploration_report.json，向前端提供基础统计、目标类别分布、数值特征统计、类别特征统计和异常值信息。虽然当前前端页面主要使用图像而未完全展开所有 JSON 内容，但该接口为后续扩展更细粒度的统计看板提供了基础。</w:t>
      </w:r>
    </w:p>
    <w:bookmarkEnd w:id="176"/>
    <w:p w14:paraId="7F07E85A">
      <w:pPr>
        <w:pStyle w:val="5"/>
        <w:rPr>
          <w:color w:val="auto"/>
        </w:rPr>
      </w:pPr>
      <w:bookmarkStart w:id="177" w:name="_Toc227613216"/>
      <w:bookmarkStart w:id="178" w:name="可视化资源访问接口设计"/>
      <w:r>
        <w:rPr>
          <w:color w:val="auto"/>
        </w:rPr>
        <w:t>4.5.5 可视化资源访问接口设计</w:t>
      </w:r>
      <w:bookmarkEnd w:id="177"/>
    </w:p>
    <w:p w14:paraId="6D69D06F">
      <w:pPr>
        <w:rPr>
          <w:color w:val="auto"/>
        </w:rPr>
      </w:pPr>
      <w:r>
        <w:rPr>
          <w:color w:val="auto"/>
        </w:rPr>
        <w:t>图像访问接口接收文件名并返回对应 PNG 图像流。如果目标文件不存在，则返回 404 错误。前端通过预检查图片可达性，能够在资源缺失时显示空状态而非出现异常中断。</w:t>
      </w:r>
    </w:p>
    <w:bookmarkEnd w:id="168"/>
    <w:bookmarkEnd w:id="178"/>
    <w:p w14:paraId="0F6E2963">
      <w:pPr>
        <w:pStyle w:val="4"/>
        <w:rPr>
          <w:color w:val="auto"/>
        </w:rPr>
      </w:pPr>
      <w:bookmarkStart w:id="179" w:name="_Toc227613217"/>
      <w:bookmarkStart w:id="180" w:name="前端页面结构设计"/>
      <w:r>
        <w:rPr>
          <w:color w:val="auto"/>
        </w:rPr>
        <w:t>4.6 前端页面结构设计</w:t>
      </w:r>
      <w:bookmarkEnd w:id="179"/>
    </w:p>
    <w:p w14:paraId="10368692">
      <w:pPr>
        <w:pStyle w:val="5"/>
        <w:rPr>
          <w:color w:val="auto"/>
        </w:rPr>
      </w:pPr>
      <w:bookmarkStart w:id="181" w:name="_Toc227613218"/>
      <w:bookmarkStart w:id="182" w:name="首页结构设计"/>
      <w:r>
        <w:rPr>
          <w:color w:val="auto"/>
        </w:rPr>
        <w:t>4.6.1 首页结构设计</w:t>
      </w:r>
      <w:bookmarkEnd w:id="181"/>
    </w:p>
    <w:p w14:paraId="16D54D15">
      <w:pPr>
        <w:rPr>
          <w:color w:val="auto"/>
        </w:rPr>
      </w:pPr>
      <w:r>
        <w:rPr>
          <w:color w:val="auto"/>
        </w:rPr>
        <w:t>首页采用欢迎卡片与功能入口卡片的两层结构。欢迎卡片展示系统简介和概览统计信息，功能入口区则提供分类预测、数据可视化与多模型对比等入口。首页本身不承担复杂运算任务，而主要承担说明和导航功能。</w:t>
      </w:r>
    </w:p>
    <w:bookmarkEnd w:id="182"/>
    <w:p w14:paraId="0FFAE165">
      <w:pPr>
        <w:pStyle w:val="5"/>
        <w:rPr>
          <w:color w:val="auto"/>
        </w:rPr>
      </w:pPr>
      <w:bookmarkStart w:id="183" w:name="_Toc227613219"/>
      <w:bookmarkStart w:id="184" w:name="分类预测页结构设计"/>
      <w:r>
        <w:rPr>
          <w:color w:val="auto"/>
        </w:rPr>
        <w:t>4.6.2 分类预测页结构设计</w:t>
      </w:r>
      <w:bookmarkEnd w:id="183"/>
    </w:p>
    <w:p w14:paraId="26A58D1A">
      <w:pPr>
        <w:rPr>
          <w:color w:val="auto"/>
        </w:rPr>
      </w:pPr>
      <w:r>
        <w:rPr>
          <w:color w:val="auto"/>
        </w:rPr>
        <w:t>分类预测页左右分栏布局，左侧为特征输入区域，右侧为结果展示区域。输入区域通过 Element Plus 表单管理字段、校验规则和提交按钮；结果区域则根据 predictionResult 状态决定显示空状态还是分类结果卡片。这种结构能够使输入与输出同时呈现在同一页面中，提升交互连贯性。</w:t>
      </w:r>
    </w:p>
    <w:bookmarkEnd w:id="184"/>
    <w:p w14:paraId="3822D4C5">
      <w:pPr>
        <w:pStyle w:val="5"/>
        <w:rPr>
          <w:color w:val="auto"/>
        </w:rPr>
      </w:pPr>
      <w:bookmarkStart w:id="185" w:name="_Toc227613220"/>
      <w:bookmarkStart w:id="186" w:name="数据大屏页结构设计"/>
      <w:r>
        <w:rPr>
          <w:color w:val="auto"/>
        </w:rPr>
        <w:t>4.6.3 数据大屏页结构设计</w:t>
      </w:r>
      <w:bookmarkEnd w:id="185"/>
    </w:p>
    <w:p w14:paraId="2B49577E">
      <w:pPr>
        <w:rPr>
          <w:color w:val="auto"/>
        </w:rPr>
      </w:pPr>
      <w:r>
        <w:rPr>
          <w:color w:val="auto"/>
        </w:rPr>
        <w:t>数据大屏页采用卡片化布局。页面先展示最优模型名称和主要指标，再使用表格比较全部模型表现，最后以图片卡片加载模型对比图、类别分布图、特征分布图和相关矩阵图。该设计既满足课程演示需要，也适合实验结果的集中展示。</w:t>
      </w:r>
    </w:p>
    <w:bookmarkEnd w:id="180"/>
    <w:bookmarkEnd w:id="186"/>
    <w:p w14:paraId="37AE5304">
      <w:pPr>
        <w:pStyle w:val="4"/>
        <w:rPr>
          <w:color w:val="auto"/>
        </w:rPr>
      </w:pPr>
      <w:bookmarkStart w:id="187" w:name="_Toc227613221"/>
      <w:bookmarkStart w:id="188" w:name="本章小结-2"/>
      <w:r>
        <w:rPr>
          <w:color w:val="auto"/>
        </w:rPr>
        <w:t>4.7 本章小结</w:t>
      </w:r>
      <w:bookmarkEnd w:id="187"/>
    </w:p>
    <w:p w14:paraId="35B39CEA">
      <w:pPr>
        <w:rPr>
          <w:color w:val="auto"/>
        </w:rPr>
      </w:pPr>
      <w:r>
        <w:rPr>
          <w:color w:val="auto"/>
        </w:rPr>
        <w:t>本章从架构、模块、数据存储、接口与页面设计等方面给出了系统总体方案。设计结果表明，当前系统虽然未引入复杂数据库与多角色体系，但其在结构化数据分类场景下已形成较完整的软件实现路径，为后续具体模块实现分析奠定了基础。</w:t>
      </w:r>
    </w:p>
    <w:bookmarkEnd w:id="124"/>
    <w:bookmarkEnd w:id="188"/>
    <w:p w14:paraId="46979C64">
      <w:pPr>
        <w:pStyle w:val="3"/>
        <w:rPr>
          <w:color w:val="auto"/>
        </w:rPr>
      </w:pPr>
      <w:bookmarkStart w:id="189" w:name="_Toc227613222"/>
      <w:bookmarkStart w:id="190" w:name="第5章-系统关键模块设计与实现"/>
      <w:r>
        <w:rPr>
          <w:color w:val="auto"/>
        </w:rPr>
        <w:t>第5章 系统关键模块设计与实现</w:t>
      </w:r>
      <w:bookmarkEnd w:id="189"/>
    </w:p>
    <w:p w14:paraId="41578AEF">
      <w:pPr>
        <w:pStyle w:val="4"/>
        <w:rPr>
          <w:color w:val="auto"/>
        </w:rPr>
      </w:pPr>
      <w:bookmarkStart w:id="191" w:name="_Toc227613223"/>
      <w:bookmarkStart w:id="192" w:name="数据探索模块设计与实现"/>
      <w:r>
        <w:rPr>
          <w:color w:val="auto"/>
        </w:rPr>
        <w:t>5.1 数据探索模块设计与实现</w:t>
      </w:r>
      <w:bookmarkEnd w:id="191"/>
    </w:p>
    <w:p w14:paraId="5679CE29">
      <w:pPr>
        <w:pStyle w:val="5"/>
        <w:rPr>
          <w:color w:val="auto"/>
        </w:rPr>
      </w:pPr>
      <w:bookmarkStart w:id="193" w:name="_Toc227613224"/>
      <w:bookmarkStart w:id="194" w:name="基础统计分析实现"/>
      <w:r>
        <w:rPr>
          <w:color w:val="auto"/>
        </w:rPr>
        <w:t>5.1.1 基础统计分析实现</w:t>
      </w:r>
      <w:bookmarkEnd w:id="193"/>
    </w:p>
    <w:p w14:paraId="19E6E4D9">
      <w:pPr>
        <w:rPr>
          <w:color w:val="auto"/>
        </w:rPr>
      </w:pPr>
      <w:r>
        <w:rPr>
          <w:color w:val="auto"/>
        </w:rPr>
        <w:t>数据探索模块位于 backend/ml/data_exploration.py 中，核心入口函数为 explore_data。该函数首先调用 load_data 读取 CSV 数据，再依次执行 basic_statistics、target_analysis、numeric_features_analysis、categorical_features_</w:t>
      </w:r>
      <w:r>
        <w:rPr>
          <w:rFonts w:hint="eastAsia"/>
          <w:color w:val="auto"/>
          <w:lang w:val="en-US" w:eastAsia="zh-CN"/>
        </w:rPr>
        <w:t xml:space="preserve"> </w:t>
      </w:r>
      <w:r>
        <w:rPr>
          <w:color w:val="auto"/>
        </w:rPr>
        <w:t>analysis 与 detect_outliers。模块最终将结果序列化到 data_exploration_report.json 中，为后续章节中的统计分析和前端接口调用提供基础。</w:t>
      </w:r>
    </w:p>
    <w:p w14:paraId="49E6062A">
      <w:pPr>
        <w:pStyle w:val="20"/>
        <w:rPr>
          <w:color w:val="auto"/>
        </w:rPr>
      </w:pPr>
      <w:r>
        <w:rPr>
          <w:color w:val="auto"/>
        </w:rPr>
        <w:t>基础统计部分主要输出总样本数、特征数、字段列表、数值型字段列表、分类型字段列表以及缺失值统计。根据当前报告，原始样本总数为 99900，总字段数为 8，其中数值型字段为 lat、lon 与 body_length_mm，分类型字段为 species、country、family、color 与 head_feature。源码中的统计逻辑直接基于 Pandas 数据类型判断实现，简洁而清晰。</w:t>
      </w:r>
    </w:p>
    <w:bookmarkEnd w:id="194"/>
    <w:p w14:paraId="18874EFA">
      <w:pPr>
        <w:pStyle w:val="5"/>
        <w:rPr>
          <w:color w:val="auto"/>
        </w:rPr>
      </w:pPr>
      <w:bookmarkStart w:id="195" w:name="_Toc227613225"/>
      <w:bookmarkStart w:id="196" w:name="目标类别分布分析实现"/>
      <w:r>
        <w:rPr>
          <w:color w:val="auto"/>
        </w:rPr>
        <w:t>5.1.2 目标类别分布分析实现</w:t>
      </w:r>
      <w:bookmarkEnd w:id="195"/>
    </w:p>
    <w:p w14:paraId="19ED9EDF">
      <w:pPr>
        <w:rPr>
          <w:color w:val="auto"/>
        </w:rPr>
      </w:pPr>
      <w:r>
        <w:rPr>
          <w:color w:val="auto"/>
        </w:rPr>
        <w:t>目标类别分析通过 value_counts 统计 species 字段分布，并进一步计算类别占比和不平衡比率。当前报告显示，原始目标类别共 662 个，其中 Unknown Stonefly 为最大类，样本数达到 35903，类别不平衡比高达 35903。这说明若不进行后续类别治理，模型将极易受头部类别压制而产生偏置。</w:t>
      </w:r>
    </w:p>
    <w:p w14:paraId="4BF48084">
      <w:pPr>
        <w:rPr>
          <w:color w:val="auto"/>
        </w:rPr>
      </w:pPr>
      <w:r>
        <w:rPr>
          <w:color w:val="auto"/>
        </w:rPr>
        <w:drawing>
          <wp:inline distT="0" distB="0" distL="0" distR="0">
            <wp:extent cx="4906010" cy="2780030"/>
            <wp:effectExtent l="0" t="0" r="0" b="0"/>
            <wp:docPr id="128" name="Picture" descr="图5-1 数据集中样本量最高的前10个类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descr="图5-1 数据集中样本量最高的前10个类别"/>
                    <pic:cNvPicPr>
                      <a:picLocks noChangeAspect="1" noChangeArrowheads="1"/>
                    </pic:cNvPicPr>
                  </pic:nvPicPr>
                  <pic:blipFill>
                    <a:blip r:embed="rId9"/>
                    <a:stretch>
                      <a:fillRect/>
                    </a:stretch>
                  </pic:blipFill>
                  <pic:spPr>
                    <a:xfrm>
                      <a:off x="0" y="0"/>
                      <a:ext cx="4906264" cy="2780574"/>
                    </a:xfrm>
                    <a:prstGeom prst="rect">
                      <a:avLst/>
                    </a:prstGeom>
                    <a:noFill/>
                    <a:ln w="9525">
                      <a:noFill/>
                    </a:ln>
                  </pic:spPr>
                </pic:pic>
              </a:graphicData>
            </a:graphic>
          </wp:inline>
        </w:drawing>
      </w:r>
    </w:p>
    <w:p w14:paraId="7DF327EF">
      <w:pPr>
        <w:rPr>
          <w:color w:val="auto"/>
        </w:rPr>
      </w:pPr>
      <w:r>
        <w:rPr>
          <w:color w:val="auto"/>
        </w:rPr>
        <w:t>图5-1 数据集中样本量最高的前10个类别</w:t>
      </w:r>
    </w:p>
    <w:p w14:paraId="744FEFCF">
      <w:pPr>
        <w:pStyle w:val="20"/>
        <w:rPr>
          <w:color w:val="auto"/>
        </w:rPr>
      </w:pPr>
      <w:r>
        <w:rPr>
          <w:color w:val="auto"/>
        </w:rPr>
        <w:t>如图5-1所示，Unknown Stonefly 与若干头部物种构成了显著的长尾分布形态。这种分布直接推动了后续“类别过滤 + Unknown 下采样”策略的设计。</w:t>
      </w:r>
    </w:p>
    <w:bookmarkEnd w:id="196"/>
    <w:p w14:paraId="39AFDF4C">
      <w:pPr>
        <w:pStyle w:val="5"/>
        <w:rPr>
          <w:color w:val="auto"/>
        </w:rPr>
      </w:pPr>
      <w:bookmarkStart w:id="197" w:name="_Toc227613226"/>
      <w:bookmarkStart w:id="198" w:name="数值特征统计分析实现"/>
      <w:r>
        <w:rPr>
          <w:color w:val="auto"/>
        </w:rPr>
        <w:t>5.1.3 数值特征统计分析实现</w:t>
      </w:r>
      <w:bookmarkEnd w:id="197"/>
    </w:p>
    <w:p w14:paraId="2B162D45">
      <w:pPr>
        <w:rPr>
          <w:color w:val="auto"/>
        </w:rPr>
      </w:pPr>
      <w:r>
        <w:rPr>
          <w:color w:val="auto"/>
        </w:rPr>
        <w:t>数值特征统计函数对每个数值字段计算均值、标准差、最小值、最大值、中位数和四分位数。虽然当前论文不逐一展开所有统计值，但这些结果为异常值截断和标准化提供了必要依据。例如，经纬度字段反映地理空间分布差异，体长字段则承担形态学区分作用，三者均需要在训练前完成尺度统一。</w:t>
      </w:r>
    </w:p>
    <w:bookmarkEnd w:id="198"/>
    <w:p w14:paraId="0CD36E8F">
      <w:pPr>
        <w:pStyle w:val="5"/>
        <w:rPr>
          <w:color w:val="auto"/>
        </w:rPr>
      </w:pPr>
      <w:bookmarkStart w:id="199" w:name="_Toc227613227"/>
      <w:bookmarkStart w:id="200" w:name="类别特征统计分析实现"/>
      <w:r>
        <w:rPr>
          <w:color w:val="auto"/>
        </w:rPr>
        <w:t>5.1.4 类别特征统计分析实现</w:t>
      </w:r>
      <w:bookmarkEnd w:id="199"/>
    </w:p>
    <w:p w14:paraId="26452A29">
      <w:pPr>
        <w:rPr>
          <w:color w:val="auto"/>
        </w:rPr>
      </w:pPr>
      <w:r>
        <w:rPr>
          <w:color w:val="auto"/>
        </w:rPr>
        <w:t>类别特征分析函数会分别统计各分类型字段的唯一值数量、前十个高频取值及其占比。这类信息一方面用于理解数据结构，例如 family 与 country 字段的离散程度；另一方面也用于设计前端表单选项，确保前端输入值与训练集编码器可识别的类别集合一致。</w:t>
      </w:r>
    </w:p>
    <w:bookmarkEnd w:id="200"/>
    <w:p w14:paraId="466F21F0">
      <w:pPr>
        <w:pStyle w:val="5"/>
        <w:rPr>
          <w:color w:val="auto"/>
        </w:rPr>
      </w:pPr>
      <w:bookmarkStart w:id="201" w:name="_Toc227613228"/>
      <w:bookmarkStart w:id="202" w:name="异常值检测实现"/>
      <w:r>
        <w:rPr>
          <w:color w:val="auto"/>
        </w:rPr>
        <w:t>5.1.5 异常值检测实现</w:t>
      </w:r>
      <w:bookmarkEnd w:id="201"/>
    </w:p>
    <w:p w14:paraId="3075D31F">
      <w:pPr>
        <w:rPr>
          <w:color w:val="auto"/>
        </w:rPr>
      </w:pPr>
      <w:r>
        <w:rPr>
          <w:color w:val="auto"/>
        </w:rPr>
        <w:t xml:space="preserve">异常值检测使用 IQR 方法完成。对于每个数值特征，系统计算 </w:t>
      </w:r>
      <m:oMath>
        <m:sSub>
          <m:sSubPr>
            <m:ctrlPr>
              <w:rPr>
                <w:rFonts w:ascii="Cambria Math" w:hAnsi="Cambria Math"/>
                <w:color w:val="auto"/>
              </w:rPr>
            </m:ctrlPr>
          </m:sSubPr>
          <m:e>
            <m:r>
              <m:rPr/>
              <w:rPr>
                <w:rFonts w:ascii="Cambria Math" w:hAnsi="Cambria Math"/>
                <w:color w:val="auto"/>
              </w:rPr>
              <m:t>Q</m:t>
            </m:r>
            <m:ctrlPr>
              <w:rPr>
                <w:rFonts w:ascii="Cambria Math" w:hAnsi="Cambria Math"/>
                <w:color w:val="auto"/>
              </w:rPr>
            </m:ctrlPr>
          </m:e>
          <m:sub>
            <m:r>
              <m:rPr/>
              <w:rPr>
                <w:rFonts w:ascii="Cambria Math" w:hAnsi="Cambria Math"/>
                <w:color w:val="auto"/>
              </w:rPr>
              <m:t>1</m:t>
            </m:r>
            <m:ctrlPr>
              <w:rPr>
                <w:rFonts w:ascii="Cambria Math" w:hAnsi="Cambria Math"/>
                <w:color w:val="auto"/>
              </w:rPr>
            </m:ctrlPr>
          </m:sub>
        </m:sSub>
      </m:oMath>
      <w:r>
        <w:rPr>
          <w:color w:val="auto"/>
        </w:rPr>
        <w:t>、</w:t>
      </w:r>
      <m:oMath>
        <m:sSub>
          <m:sSubPr>
            <m:ctrlPr>
              <w:rPr>
                <w:rFonts w:ascii="Cambria Math" w:hAnsi="Cambria Math"/>
                <w:color w:val="auto"/>
              </w:rPr>
            </m:ctrlPr>
          </m:sSubPr>
          <m:e>
            <m:r>
              <m:rPr/>
              <w:rPr>
                <w:rFonts w:ascii="Cambria Math" w:hAnsi="Cambria Math"/>
                <w:color w:val="auto"/>
              </w:rPr>
              <m:t>Q</m:t>
            </m:r>
            <m:ctrlPr>
              <w:rPr>
                <w:rFonts w:ascii="Cambria Math" w:hAnsi="Cambria Math"/>
                <w:color w:val="auto"/>
              </w:rPr>
            </m:ctrlPr>
          </m:e>
          <m:sub>
            <m:r>
              <m:rPr/>
              <w:rPr>
                <w:rFonts w:ascii="Cambria Math" w:hAnsi="Cambria Math"/>
                <w:color w:val="auto"/>
              </w:rPr>
              <m:t>3</m:t>
            </m:r>
            <m:ctrlPr>
              <w:rPr>
                <w:rFonts w:ascii="Cambria Math" w:hAnsi="Cambria Math"/>
                <w:color w:val="auto"/>
              </w:rPr>
            </m:ctrlPr>
          </m:sub>
        </m:sSub>
      </m:oMath>
      <w:r>
        <w:rPr>
          <w:color w:val="auto"/>
        </w:rPr>
        <w:t>、IQR 以及异常值个数和边界范围，并将结果写入探索报告。该设计的优点在于，异常值判断标准不会分散在后续模块中，而是先以报告形式明确记录，再由预处理模块统一执行截断操作。</w:t>
      </w:r>
    </w:p>
    <w:bookmarkEnd w:id="192"/>
    <w:bookmarkEnd w:id="202"/>
    <w:p w14:paraId="33312B6C">
      <w:pPr>
        <w:pStyle w:val="4"/>
        <w:rPr>
          <w:color w:val="auto"/>
        </w:rPr>
      </w:pPr>
      <w:bookmarkStart w:id="203" w:name="_Toc227613229"/>
      <w:bookmarkStart w:id="204" w:name="数据预处理模块设计与实现"/>
      <w:r>
        <w:rPr>
          <w:color w:val="auto"/>
        </w:rPr>
        <w:t>5.2 数据预处理模块设计与实现</w:t>
      </w:r>
      <w:bookmarkEnd w:id="203"/>
    </w:p>
    <w:p w14:paraId="005B9BF0">
      <w:pPr>
        <w:pStyle w:val="5"/>
        <w:rPr>
          <w:color w:val="auto"/>
        </w:rPr>
      </w:pPr>
      <w:bookmarkStart w:id="205" w:name="_Toc227613230"/>
      <w:bookmarkStart w:id="206" w:name="缺失值处理实现"/>
      <w:r>
        <w:rPr>
          <w:color w:val="auto"/>
        </w:rPr>
        <w:t>5.2.1 缺失值处理实现</w:t>
      </w:r>
      <w:bookmarkEnd w:id="205"/>
    </w:p>
    <w:p w14:paraId="557A0786">
      <w:pPr>
        <w:rPr>
          <w:color w:val="auto"/>
        </w:rPr>
      </w:pPr>
      <w:r>
        <w:rPr>
          <w:color w:val="auto"/>
        </w:rPr>
        <w:t>DataPreprocessor 的 handle_missing_values 方法分别针对数值型和分类型字段进行处理。对于数值特征，源码优先采用中位数填充；对于分类型特征，采用众数填充，若众数缺失则使用字符串 Unknown 占位。当前数据探索报告显示各字段缺失值数量均为 0，因此实际运行中该步骤更多发挥通用流程保障作用，但其存在保证了系统面对未来新数据时具备基本容错能力。</w:t>
      </w:r>
    </w:p>
    <w:bookmarkEnd w:id="206"/>
    <w:p w14:paraId="457F8881">
      <w:pPr>
        <w:pStyle w:val="5"/>
        <w:rPr>
          <w:color w:val="auto"/>
        </w:rPr>
      </w:pPr>
      <w:bookmarkStart w:id="207" w:name="_Toc227613231"/>
      <w:bookmarkStart w:id="208" w:name="异常值截断处理实现"/>
      <w:r>
        <w:rPr>
          <w:color w:val="auto"/>
        </w:rPr>
        <w:t>5.2.2 异常值截断处理实现</w:t>
      </w:r>
      <w:bookmarkEnd w:id="207"/>
    </w:p>
    <w:p w14:paraId="48A4A982">
      <w:pPr>
        <w:rPr>
          <w:color w:val="auto"/>
        </w:rPr>
      </w:pPr>
      <w:r>
        <w:rPr>
          <w:color w:val="auto"/>
        </w:rPr>
        <w:t>handle_outliers 方法对所有数值列逐列执行 IQR 截断。与删除异常样本相比，截断更适合样本规模大、类别多且尾部类别有限的任务，因为删除样本可能进一步削弱小样本类别。该方法通过 clip 将值压缩至上下界区间，既抑制极端值影响，又保持样本总量稳定。</w:t>
      </w:r>
    </w:p>
    <w:bookmarkEnd w:id="208"/>
    <w:p w14:paraId="7007C899">
      <w:pPr>
        <w:pStyle w:val="5"/>
        <w:rPr>
          <w:color w:val="auto"/>
        </w:rPr>
      </w:pPr>
      <w:bookmarkStart w:id="209" w:name="_Toc227613232"/>
      <w:bookmarkStart w:id="210" w:name="类别特征编码实现"/>
      <w:r>
        <w:rPr>
          <w:color w:val="auto"/>
        </w:rPr>
        <w:t>5.2.3 类别特征编码实现</w:t>
      </w:r>
      <w:bookmarkEnd w:id="209"/>
    </w:p>
    <w:p w14:paraId="75A796C1">
      <w:pPr>
        <w:rPr>
          <w:color w:val="auto"/>
        </w:rPr>
      </w:pPr>
      <w:r>
        <w:rPr>
          <w:color w:val="auto"/>
        </w:rPr>
        <w:t>在 fit 过程中，系统会为每个分类型特征构建 LabelEncoder，并额外为目标字段 species 构建 target_encoder。编码后的离散值可直接作为树模型、支持向量机与 K 近邻的输入。虽然独热编码在部分场景具有更好的线性可分性，但考虑到类别种类较多且前端输入类型受限，标签编码能够以更低维度支持当前任务。</w:t>
      </w:r>
    </w:p>
    <w:bookmarkEnd w:id="210"/>
    <w:p w14:paraId="394F7003">
      <w:pPr>
        <w:pStyle w:val="5"/>
        <w:rPr>
          <w:color w:val="auto"/>
        </w:rPr>
      </w:pPr>
      <w:bookmarkStart w:id="211" w:name="_Toc227613233"/>
      <w:bookmarkStart w:id="212" w:name="数值特征标准化实现"/>
      <w:r>
        <w:rPr>
          <w:color w:val="auto"/>
        </w:rPr>
        <w:t>5.2.4 数值特征标准化实现</w:t>
      </w:r>
      <w:bookmarkEnd w:id="211"/>
    </w:p>
    <w:p w14:paraId="3788ED58">
      <w:pPr>
        <w:rPr>
          <w:color w:val="auto"/>
        </w:rPr>
      </w:pPr>
      <w:r>
        <w:rPr>
          <w:color w:val="auto"/>
        </w:rPr>
        <w:t>系统默认采用 StandardScaler 完成数值型字段标准化。fit 阶段以训练数据学习均值和标准差，transform 阶段在预测请求进入后端时复用相同参数。由于 K 近邻与支持向量机对特征尺度较敏感，标准化步骤对系统整体性能具有实质性意义。</w:t>
      </w:r>
    </w:p>
    <w:bookmarkEnd w:id="212"/>
    <w:p w14:paraId="1B062309">
      <w:pPr>
        <w:pStyle w:val="5"/>
        <w:rPr>
          <w:color w:val="auto"/>
        </w:rPr>
      </w:pPr>
      <w:bookmarkStart w:id="213" w:name="_Toc227613234"/>
      <w:bookmarkStart w:id="214" w:name="预处理器持久化实现"/>
      <w:r>
        <w:rPr>
          <w:color w:val="auto"/>
        </w:rPr>
        <w:t>5.2.5 预处理器持久化实现</w:t>
      </w:r>
      <w:bookmarkEnd w:id="213"/>
    </w:p>
    <w:p w14:paraId="557AD07B">
      <w:pPr>
        <w:rPr>
          <w:color w:val="auto"/>
        </w:rPr>
      </w:pPr>
      <w:r>
        <w:rPr>
          <w:color w:val="auto"/>
        </w:rPr>
        <w:t>预处理器通过 joblib.dump 整体保存为 preprocessor.pkl。在线预测时，后端从该文件恢复标签编码器、目标编码器和标准化器，从而对单条请求进行一致性变换。该实现避免了训练态与部署态重复编码造成的类别索引漂移问题。</w:t>
      </w:r>
    </w:p>
    <w:bookmarkEnd w:id="204"/>
    <w:bookmarkEnd w:id="214"/>
    <w:p w14:paraId="639CF212">
      <w:pPr>
        <w:pStyle w:val="4"/>
        <w:rPr>
          <w:color w:val="auto"/>
        </w:rPr>
      </w:pPr>
      <w:bookmarkStart w:id="215" w:name="_Toc227613235"/>
      <w:bookmarkStart w:id="216" w:name="特征工程模块设计与实现"/>
      <w:r>
        <w:rPr>
          <w:color w:val="auto"/>
        </w:rPr>
        <w:t>5.3 特征工程模块设计与实现</w:t>
      </w:r>
      <w:bookmarkEnd w:id="215"/>
    </w:p>
    <w:p w14:paraId="16FF9241">
      <w:pPr>
        <w:pStyle w:val="5"/>
        <w:rPr>
          <w:color w:val="auto"/>
        </w:rPr>
      </w:pPr>
      <w:bookmarkStart w:id="217" w:name="_Toc227613236"/>
      <w:bookmarkStart w:id="218" w:name="特征分布可视化实现"/>
      <w:r>
        <w:rPr>
          <w:color w:val="auto"/>
        </w:rPr>
        <w:t>5.3.1 特征分布可视化实现</w:t>
      </w:r>
      <w:bookmarkEnd w:id="217"/>
    </w:p>
    <w:p w14:paraId="659A88CD">
      <w:pPr>
        <w:rPr>
          <w:color w:val="auto"/>
        </w:rPr>
      </w:pPr>
      <w:r>
        <w:rPr>
          <w:color w:val="auto"/>
        </w:rPr>
        <w:t>特征工程模块首先从数据清洗后的 DataFrame 中抽样至多 5000 条记录，使用 seaborn.histplot 绘制数值特征在不同类别下的分布图。该图并不直接参与训练，但能够帮助观察数值字段对物种区分的贡献。考虑到 species 类别过多，图形在实际表现上更适合用于总体观察而非逐类比较。</w:t>
      </w:r>
    </w:p>
    <w:bookmarkEnd w:id="218"/>
    <w:p w14:paraId="747EFB5C">
      <w:pPr>
        <w:pStyle w:val="5"/>
        <w:rPr>
          <w:color w:val="auto"/>
        </w:rPr>
      </w:pPr>
      <w:bookmarkStart w:id="219" w:name="_Toc227613237"/>
      <w:bookmarkStart w:id="220" w:name="相关性矩阵分析实现"/>
      <w:r>
        <w:rPr>
          <w:color w:val="auto"/>
        </w:rPr>
        <w:t>5.3.2 相关性矩阵分析实现</w:t>
      </w:r>
      <w:bookmarkEnd w:id="219"/>
    </w:p>
    <w:p w14:paraId="467DDEEC">
      <w:pPr>
        <w:rPr>
          <w:color w:val="auto"/>
        </w:rPr>
      </w:pPr>
      <w:r>
        <w:rPr>
          <w:color w:val="auto"/>
        </w:rPr>
        <w:t>系统通过 numeric_df.corr() 计算数值型特征相关矩阵，并利用热力图输出结果。根据 feature_engineering_results.json，lat 与 lon 的相关系数约为 0.4903，体长与经纬度的相关性较弱。这表明地理分布特征之间存在一定联动，而形态特征在统计意义上相对独立。</w:t>
      </w:r>
    </w:p>
    <w:bookmarkEnd w:id="220"/>
    <w:p w14:paraId="65DDF027">
      <w:pPr>
        <w:pStyle w:val="5"/>
        <w:rPr>
          <w:color w:val="auto"/>
        </w:rPr>
      </w:pPr>
      <w:bookmarkStart w:id="221" w:name="_Toc227613238"/>
      <w:bookmarkStart w:id="222" w:name="pca-降维分析实现"/>
      <w:r>
        <w:rPr>
          <w:color w:val="auto"/>
        </w:rPr>
        <w:t>5.3.3 PCA 降维分析实现</w:t>
      </w:r>
      <w:bookmarkEnd w:id="221"/>
    </w:p>
    <w:p w14:paraId="0E530201">
      <w:pPr>
        <w:rPr>
          <w:color w:val="auto"/>
        </w:rPr>
      </w:pPr>
      <w:r>
        <w:rPr>
          <w:color w:val="auto"/>
        </w:rPr>
        <w:t>FeatureEngineer.analyze_pca 以 95% 累计方差为阈值自动确定主成分数量。结果表明，系统数据在两维主成分上即可解释 0.9800 的累计方差。这一结果从侧面说明，原始特征空间虽然维度不高，但信息分布具有较强集中性。PCA 模型被保存为 pca_model.pkl，以便后续开展对比实验或部署扩展。</w:t>
      </w:r>
    </w:p>
    <w:bookmarkEnd w:id="222"/>
    <w:p w14:paraId="2180A12E">
      <w:pPr>
        <w:pStyle w:val="5"/>
        <w:rPr>
          <w:color w:val="auto"/>
        </w:rPr>
      </w:pPr>
      <w:bookmarkStart w:id="223" w:name="_Toc227613239"/>
      <w:bookmarkStart w:id="224" w:name="lasso-特征选择实现"/>
      <w:r>
        <w:rPr>
          <w:color w:val="auto"/>
        </w:rPr>
        <w:t>5.3.4 LASSO 特征选择实现</w:t>
      </w:r>
      <w:bookmarkEnd w:id="223"/>
    </w:p>
    <w:p w14:paraId="5EB419C1">
      <w:pPr>
        <w:rPr>
          <w:color w:val="auto"/>
        </w:rPr>
      </w:pPr>
      <w:r>
        <w:rPr>
          <w:color w:val="auto"/>
        </w:rPr>
        <w:t xml:space="preserve">LASSO 特征选择由 LassoCV 与 SelectFromModel 共同完成。LassoCV 自动搜索正则化强度 </w:t>
      </w:r>
      <m:oMath>
        <m:r>
          <m:rPr/>
          <w:rPr>
            <w:rFonts w:ascii="Cambria Math" w:hAnsi="Cambria Math"/>
            <w:color w:val="auto"/>
          </w:rPr>
          <m:t>α</m:t>
        </m:r>
      </m:oMath>
      <w:r>
        <w:rPr>
          <w:color w:val="auto"/>
        </w:rPr>
        <w:t>，最终得到的最优参数为 0.056486。系统保留的特征集合为：lat、lon、country、family、body_length_mm、color。可见，头部特征 head_feature 在当前数据分布下贡献有限，被压缩为零。</w:t>
      </w:r>
    </w:p>
    <w:p w14:paraId="3E4CFC39">
      <w:pPr>
        <w:rPr>
          <w:color w:val="auto"/>
        </w:rPr>
      </w:pPr>
      <w:r>
        <w:rPr>
          <w:color w:val="auto"/>
        </w:rPr>
        <w:drawing>
          <wp:inline distT="0" distB="0" distL="0" distR="0">
            <wp:extent cx="4571365" cy="2510155"/>
            <wp:effectExtent l="0" t="0" r="0" b="0"/>
            <wp:docPr id="145" name="Picture" descr="图5-2 LASSO 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descr="图5-2 LASSO 特征重要性"/>
                    <pic:cNvPicPr>
                      <a:picLocks noChangeAspect="1" noChangeArrowheads="1"/>
                    </pic:cNvPicPr>
                  </pic:nvPicPr>
                  <pic:blipFill>
                    <a:blip r:embed="rId10"/>
                    <a:stretch>
                      <a:fillRect/>
                    </a:stretch>
                  </pic:blipFill>
                  <pic:spPr>
                    <a:xfrm>
                      <a:off x="0" y="0"/>
                      <a:ext cx="4571746" cy="2510253"/>
                    </a:xfrm>
                    <a:prstGeom prst="rect">
                      <a:avLst/>
                    </a:prstGeom>
                    <a:noFill/>
                    <a:ln w="9525">
                      <a:noFill/>
                    </a:ln>
                  </pic:spPr>
                </pic:pic>
              </a:graphicData>
            </a:graphic>
          </wp:inline>
        </w:drawing>
      </w:r>
    </w:p>
    <w:p w14:paraId="2A74DAE5">
      <w:pPr>
        <w:rPr>
          <w:color w:val="auto"/>
        </w:rPr>
      </w:pPr>
      <w:r>
        <w:rPr>
          <w:color w:val="auto"/>
        </w:rPr>
        <w:t>图5-2 LASSO 特征重要性</w:t>
      </w:r>
    </w:p>
    <w:p w14:paraId="5FFE41E8">
      <w:pPr>
        <w:pStyle w:val="20"/>
        <w:rPr>
          <w:color w:val="auto"/>
        </w:rPr>
      </w:pPr>
      <w:r>
        <w:rPr>
          <w:color w:val="auto"/>
        </w:rPr>
        <w:t>图5-2显示，经纬度是最主要的判别特征，其次为 family 与 body_length_mm。这与石蝇分类受地理分布和科级信息显著影响的任务特点相一致。</w:t>
      </w:r>
    </w:p>
    <w:bookmarkEnd w:id="224"/>
    <w:p w14:paraId="38333C65">
      <w:pPr>
        <w:pStyle w:val="5"/>
        <w:rPr>
          <w:color w:val="auto"/>
        </w:rPr>
      </w:pPr>
      <w:bookmarkStart w:id="225" w:name="_Toc227613240"/>
      <w:bookmarkStart w:id="226" w:name="特征工程结果持久化实现"/>
      <w:r>
        <w:rPr>
          <w:color w:val="auto"/>
        </w:rPr>
        <w:t>5.3.5 特征工程结果持久化实现</w:t>
      </w:r>
      <w:bookmarkEnd w:id="225"/>
    </w:p>
    <w:p w14:paraId="20A0C3BD">
      <w:pPr>
        <w:rPr>
          <w:color w:val="auto"/>
        </w:rPr>
      </w:pPr>
      <w:r>
        <w:rPr>
          <w:color w:val="auto"/>
        </w:rPr>
        <w:t>特征工程模块将 PCA 结果、LASSO 结果和相关矩阵一并写入 feature_engineering_results.json，并将选择器保存为 lasso_selector.pkl。训练流程随后对经过预处理的特征矩阵执行 selector.transform，得到维度为 6 的训练输入。测试数据文件表明，当前保存的测试集规模为 2000 条，输入维度为 6，与 LASSO 选择结果相吻合。</w:t>
      </w:r>
    </w:p>
    <w:bookmarkEnd w:id="216"/>
    <w:bookmarkEnd w:id="226"/>
    <w:p w14:paraId="5281E35B">
      <w:pPr>
        <w:pStyle w:val="4"/>
        <w:rPr>
          <w:color w:val="auto"/>
        </w:rPr>
      </w:pPr>
      <w:bookmarkStart w:id="227" w:name="_Toc227613241"/>
      <w:bookmarkStart w:id="228" w:name="模型训练模块设计与实现"/>
      <w:r>
        <w:rPr>
          <w:color w:val="auto"/>
        </w:rPr>
        <w:t>5.4 模型训练模块设计与实现</w:t>
      </w:r>
      <w:bookmarkEnd w:id="227"/>
    </w:p>
    <w:p w14:paraId="5BFBEEA7">
      <w:pPr>
        <w:pStyle w:val="5"/>
        <w:rPr>
          <w:color w:val="auto"/>
        </w:rPr>
      </w:pPr>
      <w:bookmarkStart w:id="229" w:name="_Toc227613242"/>
      <w:bookmarkStart w:id="230" w:name="训练集与测试集划分实现"/>
      <w:r>
        <w:rPr>
          <w:color w:val="auto"/>
        </w:rPr>
        <w:t>5.4.1 训练集与测试集划分实现</w:t>
      </w:r>
      <w:bookmarkEnd w:id="229"/>
    </w:p>
    <w:p w14:paraId="6AFF5947">
      <w:pPr>
        <w:rPr>
          <w:color w:val="auto"/>
        </w:rPr>
      </w:pPr>
      <w:r>
        <w:rPr>
          <w:color w:val="auto"/>
        </w:rPr>
        <w:t>ModelTrainer.prepare_data 首先检查样本规模。当训练候选样本数超过 10000 时，系统使用 StratifiedShuffleSplit 先进行一次分层抽样，仅保留 10000 条样本参与后续训练，以控制计算代价。之后再按 test_size=0.2 划分训练集与测试集，形成约 8000 条训练样本和 2000 条测试样本。对于具有 125 个类别的任务，这种分层抽样能够在保持类别分布近似稳定的同时显著缩短训练时间。</w:t>
      </w:r>
    </w:p>
    <w:bookmarkEnd w:id="230"/>
    <w:p w14:paraId="6110E61D">
      <w:pPr>
        <w:pStyle w:val="5"/>
        <w:rPr>
          <w:color w:val="auto"/>
        </w:rPr>
      </w:pPr>
      <w:bookmarkStart w:id="231" w:name="_Toc227613243"/>
      <w:bookmarkStart w:id="232" w:name="随机森林模型训练实现"/>
      <w:r>
        <w:rPr>
          <w:color w:val="auto"/>
        </w:rPr>
        <w:t>5.4.2 随机森林模型训练实现</w:t>
      </w:r>
      <w:bookmarkEnd w:id="231"/>
    </w:p>
    <w:p w14:paraId="6058C0F9">
      <w:pPr>
        <w:rPr>
          <w:color w:val="auto"/>
        </w:rPr>
      </w:pPr>
      <w:r>
        <w:rPr>
          <w:color w:val="auto"/>
        </w:rPr>
        <w:t>随机森林训练函数使用 RandomizedSearchCV 搜索 n_estimators、max_depth、min_samples_split 和 min_samples_leaf 等参数，并以 f1_macro 作为评分指标。当前最优参数为 n_estimators=124、max_depth=30、min_samples_split=4、min_samples_leaf=2，最佳交叉验证分数为 0.3215。</w:t>
      </w:r>
    </w:p>
    <w:bookmarkEnd w:id="232"/>
    <w:p w14:paraId="47EFF383">
      <w:pPr>
        <w:pStyle w:val="5"/>
        <w:rPr>
          <w:color w:val="auto"/>
        </w:rPr>
      </w:pPr>
      <w:bookmarkStart w:id="233" w:name="_Toc227613244"/>
      <w:bookmarkStart w:id="234" w:name="支持向量机模型训练实现"/>
      <w:r>
        <w:rPr>
          <w:color w:val="auto"/>
        </w:rPr>
        <w:t>5.4.3 支持向量机模型训练实现</w:t>
      </w:r>
      <w:bookmarkEnd w:id="233"/>
    </w:p>
    <w:p w14:paraId="5B5DC75F">
      <w:pPr>
        <w:rPr>
          <w:color w:val="auto"/>
        </w:rPr>
      </w:pPr>
      <w:r>
        <w:rPr>
          <w:color w:val="auto"/>
        </w:rPr>
        <w:t>支持向量机训练使用 GridSearchCV 搜索参数 C、kernel 与 gamma。当前最佳配置为 C=10、kernel=rbf、gamma=scale。支持向量机具有良好的理论基础，但在当前多类别长尾数据上的宏平均 F1 值仅为 0.1248，明显低于树模型。</w:t>
      </w:r>
    </w:p>
    <w:bookmarkEnd w:id="234"/>
    <w:p w14:paraId="37B67F19">
      <w:pPr>
        <w:pStyle w:val="5"/>
        <w:rPr>
          <w:color w:val="auto"/>
        </w:rPr>
      </w:pPr>
      <w:bookmarkStart w:id="235" w:name="_Toc227613245"/>
      <w:bookmarkStart w:id="236" w:name="xgboost-模型训练实现"/>
      <w:r>
        <w:rPr>
          <w:color w:val="auto"/>
        </w:rPr>
        <w:t>5.4.4 XGBoost 模型训练实现</w:t>
      </w:r>
      <w:bookmarkEnd w:id="235"/>
    </w:p>
    <w:p w14:paraId="6F36B806">
      <w:pPr>
        <w:rPr>
          <w:color w:val="auto"/>
        </w:rPr>
      </w:pPr>
      <w:r>
        <w:rPr>
          <w:color w:val="auto"/>
        </w:rPr>
        <w:t>XGBoost 训练前先通过 LabelEncoder 对类别标签进行再编码，以适应 XGBClassifier 的整数标签要求。当前最优参数为 n_estimators=100、max_depth=6、learning_rate=0.1，最佳交叉验证分数为 0.3398。从训练结果看，XGBoost 在宏平均 F1 和 Top-3 准确率方面取得了最优综合表现。</w:t>
      </w:r>
    </w:p>
    <w:bookmarkEnd w:id="236"/>
    <w:p w14:paraId="213EA522">
      <w:pPr>
        <w:pStyle w:val="5"/>
        <w:rPr>
          <w:color w:val="auto"/>
        </w:rPr>
      </w:pPr>
      <w:bookmarkStart w:id="237" w:name="_Toc227613246"/>
      <w:bookmarkStart w:id="238" w:name="k近邻模型训练实现"/>
      <w:r>
        <w:rPr>
          <w:color w:val="auto"/>
        </w:rPr>
        <w:t>5.4.5 K近邻模型训练实现</w:t>
      </w:r>
      <w:bookmarkEnd w:id="237"/>
    </w:p>
    <w:p w14:paraId="7B51D301">
      <w:pPr>
        <w:rPr>
          <w:color w:val="auto"/>
        </w:rPr>
      </w:pPr>
      <w:r>
        <w:rPr>
          <w:color w:val="auto"/>
        </w:rPr>
        <w:t>K 近邻模型使用 GridSearchCV 搜索 n_neighbors 和 weights 参数。当前最优配置为 n_neighbors=5、weights=uniform。虽然 K 近邻训练耗时仅 0.3931 秒，具有明显速度优势，但在类别不平衡和高类数条件下性能受到限制。</w:t>
      </w:r>
    </w:p>
    <w:bookmarkEnd w:id="238"/>
    <w:p w14:paraId="0D18BC69">
      <w:pPr>
        <w:pStyle w:val="5"/>
        <w:rPr>
          <w:color w:val="auto"/>
        </w:rPr>
      </w:pPr>
      <w:bookmarkStart w:id="239" w:name="_Toc227613247"/>
      <w:bookmarkStart w:id="240" w:name="交叉验证与参数搜索实现"/>
      <w:r>
        <w:rPr>
          <w:color w:val="auto"/>
        </w:rPr>
        <w:t>5.4.6 交叉验证与参数搜索实现</w:t>
      </w:r>
      <w:bookmarkEnd w:id="239"/>
    </w:p>
    <w:p w14:paraId="0900C31E">
      <w:pPr>
        <w:rPr>
          <w:color w:val="auto"/>
        </w:rPr>
      </w:pPr>
      <w:r>
        <w:rPr>
          <w:color w:val="auto"/>
        </w:rPr>
        <w:t>四类候选模型均采用分层交叉验证，以宏平均 F1 作为参数寻优目标。随机森林采用随机搜索以降低搜索开销，支持向量机、XGBoost 与 K 近邻采用网格搜索控制候选空间。在 train_all_models 中，系统还利用 compute_sample_weight 根据类别平衡原则为随机森林、支持向量机与 XGBoost 构造样本权重，进一步缓解类别频次差异造成的偏置。</w:t>
      </w:r>
    </w:p>
    <w:bookmarkEnd w:id="228"/>
    <w:bookmarkEnd w:id="240"/>
    <w:p w14:paraId="7D4A077F">
      <w:pPr>
        <w:pStyle w:val="4"/>
        <w:rPr>
          <w:color w:val="auto"/>
        </w:rPr>
      </w:pPr>
      <w:bookmarkStart w:id="241" w:name="_Toc227613248"/>
      <w:bookmarkStart w:id="242" w:name="双阶段识别模块设计与实现"/>
      <w:r>
        <w:rPr>
          <w:color w:val="auto"/>
        </w:rPr>
        <w:t>5.5 双阶段识别模块设计与实现</w:t>
      </w:r>
      <w:bookmarkEnd w:id="241"/>
    </w:p>
    <w:p w14:paraId="1C0E9CC8">
      <w:pPr>
        <w:pStyle w:val="5"/>
        <w:rPr>
          <w:color w:val="auto"/>
        </w:rPr>
      </w:pPr>
      <w:bookmarkStart w:id="243" w:name="_Toc227613249"/>
      <w:bookmarkStart w:id="244" w:name="unknown-类别约束策略设计"/>
      <w:r>
        <w:rPr>
          <w:color w:val="auto"/>
        </w:rPr>
        <w:t>5.5.1 Unknown 类别约束策略设计</w:t>
      </w:r>
      <w:bookmarkEnd w:id="243"/>
    </w:p>
    <w:p w14:paraId="77A1720E">
      <w:pPr>
        <w:rPr>
          <w:color w:val="auto"/>
        </w:rPr>
      </w:pPr>
      <w:r>
        <w:rPr>
          <w:color w:val="auto"/>
        </w:rPr>
        <w:t>系统在训练总流程中首先通过类别过滤与 Unknown 下采样控制标签空间复杂度，再通过双阶段模型设计处理 Unknown 类与已知类的边界问题。Unknown 类比例过高时，模型容易形成“安全预测”倾向，即过度输出 Unknown 而降低已知类判别能力。因此，系统一方面在训练前实施比例约束，另一方面在预测阶段引入已知概率阈值控制。</w:t>
      </w:r>
    </w:p>
    <w:bookmarkEnd w:id="244"/>
    <w:p w14:paraId="07A17548">
      <w:pPr>
        <w:pStyle w:val="5"/>
        <w:rPr>
          <w:color w:val="auto"/>
        </w:rPr>
      </w:pPr>
      <w:bookmarkStart w:id="245" w:name="_Toc227613250"/>
      <w:bookmarkStart w:id="246" w:name="已知与未知二分类模型实现"/>
      <w:r>
        <w:rPr>
          <w:color w:val="auto"/>
        </w:rPr>
        <w:t>5.5.2 已知与未知二分类模型实现</w:t>
      </w:r>
      <w:bookmarkEnd w:id="245"/>
    </w:p>
    <w:p w14:paraId="581CF7BD">
      <w:pPr>
        <w:rPr>
          <w:color w:val="auto"/>
        </w:rPr>
      </w:pPr>
      <w:r>
        <w:rPr>
          <w:color w:val="auto"/>
        </w:rPr>
        <w:t>阶段一模型将所有非 Unknown 类合并为 known，将 Unknown 类作为另一类，形成二分类问题。训练代码中，y_binary = (y_train != unknown_class_index).astype(int)，并通过随机森林模型学习 known/unknown 判别边界。该模型使用类别平衡样本权重训练，以提高对 minority 状态的敏感性。</w:t>
      </w:r>
    </w:p>
    <w:bookmarkEnd w:id="246"/>
    <w:p w14:paraId="6A58EA6B">
      <w:pPr>
        <w:pStyle w:val="5"/>
        <w:rPr>
          <w:color w:val="auto"/>
        </w:rPr>
      </w:pPr>
      <w:bookmarkStart w:id="247" w:name="_Toc227613251"/>
      <w:bookmarkStart w:id="248" w:name="已知类别细分类模型实现"/>
      <w:r>
        <w:rPr>
          <w:color w:val="auto"/>
        </w:rPr>
        <w:t>5.5.3 已知类别细分类模型实现</w:t>
      </w:r>
      <w:bookmarkEnd w:id="247"/>
    </w:p>
    <w:p w14:paraId="70260620">
      <w:pPr>
        <w:rPr>
          <w:color w:val="auto"/>
        </w:rPr>
      </w:pPr>
      <w:r>
        <w:rPr>
          <w:color w:val="auto"/>
        </w:rPr>
        <w:t>阶段二模型仅在已知类子集上训练。训练时先利用 known_mask 去除 Unknown 样本，再以随机森林模型对剩余已知类进行多分类学习。这种设计的目的在于减少 Unknown 类对细粒度物种区分的干扰，使阶段二模型专注于已知类别之间的边界学习。</w:t>
      </w:r>
    </w:p>
    <w:bookmarkEnd w:id="248"/>
    <w:p w14:paraId="7DC5F21B">
      <w:pPr>
        <w:pStyle w:val="5"/>
        <w:rPr>
          <w:color w:val="auto"/>
        </w:rPr>
      </w:pPr>
      <w:bookmarkStart w:id="249" w:name="_Toc227613252"/>
      <w:bookmarkStart w:id="250" w:name="路由判定机制实现"/>
      <w:r>
        <w:rPr>
          <w:color w:val="auto"/>
        </w:rPr>
        <w:t>5.5.4 路由判定机制实现</w:t>
      </w:r>
      <w:bookmarkEnd w:id="249"/>
    </w:p>
    <w:p w14:paraId="2DE5F902">
      <w:pPr>
        <w:rPr>
          <w:color w:val="auto"/>
        </w:rPr>
      </w:pPr>
      <w:r>
        <w:rPr>
          <w:color w:val="auto"/>
        </w:rPr>
        <w:t xml:space="preserve">预测接口中已预置双阶段路由逻辑。若 stage1_model、stage2_model 与 two_stage_meta 均存在，则接口首先计算阶段一已知类概率 </w:t>
      </w:r>
      <m:oMath>
        <m:r>
          <m:rPr/>
          <w:rPr>
            <w:rFonts w:ascii="Cambria Math" w:hAnsi="Cambria Math"/>
            <w:color w:val="auto"/>
          </w:rPr>
          <m:t>P</m:t>
        </m:r>
        <m:d>
          <m:dPr>
            <m:ctrlPr>
              <w:rPr>
                <w:rFonts w:ascii="Cambria Math" w:hAnsi="Cambria Math"/>
                <w:color w:val="auto"/>
              </w:rPr>
            </m:ctrlPr>
          </m:dPr>
          <m:e>
            <m:r>
              <m:rPr/>
              <w:rPr>
                <w:rFonts w:ascii="Cambria Math" w:hAnsi="Cambria Math"/>
                <w:color w:val="auto"/>
              </w:rPr>
              <m:t>known</m:t>
            </m:r>
            <m:r>
              <m:rPr>
                <m:sty m:val="p"/>
              </m:rPr>
              <w:rPr>
                <w:rFonts w:ascii="Cambria Math" w:hAnsi="Cambria Math"/>
                <w:color w:val="auto"/>
              </w:rPr>
              <m:t>|</m:t>
            </m:r>
            <m:r>
              <m:rPr/>
              <w:rPr>
                <w:rFonts w:ascii="Cambria Math" w:hAnsi="Cambria Math"/>
                <w:color w:val="auto"/>
              </w:rPr>
              <m:t>x</m:t>
            </m:r>
            <m:ctrlPr>
              <w:rPr>
                <w:rFonts w:ascii="Cambria Math" w:hAnsi="Cambria Math"/>
                <w:color w:val="auto"/>
              </w:rPr>
            </m:ctrlPr>
          </m:e>
        </m:d>
      </m:oMath>
      <w:r>
        <w:rPr>
          <w:color w:val="auto"/>
        </w:rPr>
        <w:t xml:space="preserve">，再依据阈值 </w:t>
      </w:r>
      <m:oMath>
        <m:r>
          <m:rPr/>
          <w:rPr>
            <w:rFonts w:ascii="Cambria Math" w:hAnsi="Cambria Math"/>
            <w:color w:val="auto"/>
          </w:rPr>
          <m:t>τ</m:t>
        </m:r>
      </m:oMath>
      <w:r>
        <w:rPr>
          <w:color w:val="auto"/>
        </w:rPr>
        <w:t xml:space="preserve"> 决定输出路径：</w:t>
      </w:r>
    </w:p>
    <w:p w14:paraId="6A8E9DA9">
      <w:pPr>
        <w:pStyle w:val="20"/>
        <w:rPr>
          <w:color w:val="auto"/>
        </w:rPr>
      </w:pPr>
      <m:oMathPara>
        <m:oMathParaPr>
          <m:jc m:val="center"/>
        </m:oMathParaPr>
        <m:oMath>
          <m:acc>
            <m:accPr>
              <m:ctrlPr>
                <w:rPr>
                  <w:rFonts w:ascii="Cambria Math" w:hAnsi="Cambria Math"/>
                  <w:color w:val="auto"/>
                </w:rPr>
              </m:ctrlPr>
            </m:accPr>
            <m:e>
              <m:r>
                <m:rPr/>
                <w:rPr>
                  <w:rFonts w:ascii="Cambria Math" w:hAnsi="Cambria Math"/>
                  <w:color w:val="auto"/>
                </w:rPr>
                <m:t>y</m:t>
              </m:r>
              <m:ctrlPr>
                <w:rPr>
                  <w:rFonts w:ascii="Cambria Math" w:hAnsi="Cambria Math"/>
                  <w:color w:val="auto"/>
                </w:rPr>
              </m:ctrlPr>
            </m:e>
          </m:acc>
          <m:r>
            <m:rPr>
              <m:sty m:val="p"/>
            </m:rPr>
            <w:rPr>
              <w:rFonts w:ascii="Cambria Math" w:hAnsi="Cambria Math"/>
              <w:color w:val="auto"/>
            </w:rPr>
            <m:t>=</m:t>
          </m:r>
          <m:d>
            <m:dPr>
              <m:begChr m:val="{"/>
              <m:endChr m:val=""/>
              <m:ctrlPr>
                <w:rPr>
                  <w:rFonts w:ascii="Cambria Math" w:hAnsi="Cambria Math"/>
                  <w:color w:val="auto"/>
                </w:rPr>
              </m:ctrlPr>
            </m:dPr>
            <m:e>
              <m:m>
                <m:mPr>
                  <m:mcs>
                    <m:mc>
                      <m:mcPr>
                        <m:count m:val="2"/>
                        <m:mcJc m:val="left"/>
                      </m:mcPr>
                    </m:mc>
                  </m:mcs>
                  <m:plcHide m:val="1"/>
                  <m:ctrlPr>
                    <w:rPr>
                      <w:rFonts w:ascii="Cambria Math" w:hAnsi="Cambria Math"/>
                      <w:color w:val="auto"/>
                    </w:rPr>
                  </m:ctrlPr>
                </m:mPr>
                <m:mr>
                  <m:e>
                    <m:r>
                      <m:rPr>
                        <m:sty m:val="p"/>
                      </m:rPr>
                      <w:rPr>
                        <w:rFonts w:ascii="Cambria Math" w:hAnsi="Cambria Math"/>
                        <w:color w:val="auto"/>
                      </w:rPr>
                      <m:t>arg</m:t>
                    </m:r>
                    <m:limLow>
                      <m:limLowPr>
                        <m:ctrlPr>
                          <w:rPr>
                            <w:rFonts w:ascii="Cambria Math" w:hAnsi="Cambria Math"/>
                            <w:color w:val="auto"/>
                          </w:rPr>
                        </m:ctrlPr>
                      </m:limLowPr>
                      <m:e>
                        <m:r>
                          <m:rPr>
                            <m:sty m:val="p"/>
                          </m:rPr>
                          <w:rPr>
                            <w:rFonts w:ascii="Cambria Math" w:hAnsi="Cambria Math"/>
                            <w:color w:val="auto"/>
                          </w:rPr>
                          <m:t>max</m:t>
                        </m:r>
                        <m:ctrlPr>
                          <w:rPr>
                            <w:rFonts w:ascii="Cambria Math" w:hAnsi="Cambria Math"/>
                            <w:color w:val="auto"/>
                          </w:rPr>
                        </m:ctrlPr>
                      </m:e>
                      <m:lim>
                        <m:r>
                          <m:rPr/>
                          <w:rPr>
                            <w:rFonts w:ascii="Cambria Math" w:hAnsi="Cambria Math"/>
                            <w:color w:val="auto"/>
                          </w:rPr>
                          <m:t>c</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C</m:t>
                            </m:r>
                            <m:ctrlPr>
                              <w:rPr>
                                <w:rFonts w:ascii="Cambria Math" w:hAnsi="Cambria Math"/>
                                <w:color w:val="auto"/>
                              </w:rPr>
                            </m:ctrlPr>
                          </m:e>
                          <m:sub>
                            <m:r>
                              <m:rPr/>
                              <w:rPr>
                                <w:rFonts w:ascii="Cambria Math" w:hAnsi="Cambria Math"/>
                                <w:color w:val="auto"/>
                              </w:rPr>
                              <m:t>k</m:t>
                            </m:r>
                            <m:ctrlPr>
                              <w:rPr>
                                <w:rFonts w:ascii="Cambria Math" w:hAnsi="Cambria Math"/>
                                <w:color w:val="auto"/>
                              </w:rPr>
                            </m:ctrlPr>
                          </m:sub>
                        </m:sSub>
                        <m:ctrlPr>
                          <w:rPr>
                            <w:rFonts w:ascii="Cambria Math" w:hAnsi="Cambria Math"/>
                            <w:color w:val="auto"/>
                          </w:rPr>
                        </m:ctrlPr>
                      </m:lim>
                    </m:limLow>
                    <m:r>
                      <m:rPr/>
                      <w:rPr>
                        <w:rFonts w:ascii="Cambria Math" w:hAnsi="Cambria Math"/>
                        <w:color w:val="auto"/>
                      </w:rPr>
                      <m:t>P</m:t>
                    </m:r>
                    <m:d>
                      <m:dPr>
                        <m:ctrlPr>
                          <w:rPr>
                            <w:rFonts w:ascii="Cambria Math" w:hAnsi="Cambria Math"/>
                            <w:color w:val="auto"/>
                          </w:rPr>
                        </m:ctrlPr>
                      </m:dPr>
                      <m:e>
                        <m:r>
                          <m:rPr/>
                          <w:rPr>
                            <w:rFonts w:ascii="Cambria Math" w:hAnsi="Cambria Math"/>
                            <w:color w:val="auto"/>
                          </w:rPr>
                          <m:t>c</m:t>
                        </m:r>
                        <m:r>
                          <m:rPr>
                            <m:sty m:val="p"/>
                          </m:rPr>
                          <w:rPr>
                            <w:rFonts w:ascii="Cambria Math" w:hAnsi="Cambria Math"/>
                            <w:color w:val="auto"/>
                          </w:rPr>
                          <m:t>|</m:t>
                        </m:r>
                        <m:r>
                          <m:rPr/>
                          <w:rPr>
                            <w:rFonts w:ascii="Cambria Math" w:hAnsi="Cambria Math"/>
                            <w:color w:val="auto"/>
                          </w:rPr>
                          <m:t>x</m:t>
                        </m:r>
                        <m:ctrlPr>
                          <w:rPr>
                            <w:rFonts w:ascii="Cambria Math" w:hAnsi="Cambria Math"/>
                            <w:color w:val="auto"/>
                          </w:rPr>
                        </m:ctrlPr>
                      </m:e>
                    </m:d>
                    <m:r>
                      <m:rPr>
                        <m:sty m:val="p"/>
                      </m:rPr>
                      <w:rPr>
                        <w:rFonts w:ascii="Cambria Math" w:hAnsi="Cambria Math"/>
                        <w:color w:val="auto"/>
                      </w:rPr>
                      <m:t>,</m:t>
                    </m:r>
                    <m:ctrlPr>
                      <w:rPr>
                        <w:rFonts w:ascii="Cambria Math" w:hAnsi="Cambria Math"/>
                        <w:color w:val="auto"/>
                      </w:rPr>
                    </m:ctrlPr>
                  </m:e>
                  <m:e>
                    <m:r>
                      <m:rPr/>
                      <w:rPr>
                        <w:rFonts w:ascii="Cambria Math" w:hAnsi="Cambria Math"/>
                        <w:color w:val="auto"/>
                      </w:rPr>
                      <m:t>P</m:t>
                    </m:r>
                    <m:d>
                      <m:dPr>
                        <m:ctrlPr>
                          <w:rPr>
                            <w:rFonts w:ascii="Cambria Math" w:hAnsi="Cambria Math"/>
                            <w:color w:val="auto"/>
                          </w:rPr>
                        </m:ctrlPr>
                      </m:dPr>
                      <m:e>
                        <m:r>
                          <m:rPr/>
                          <w:rPr>
                            <w:rFonts w:ascii="Cambria Math" w:hAnsi="Cambria Math"/>
                            <w:color w:val="auto"/>
                          </w:rPr>
                          <m:t>known</m:t>
                        </m:r>
                        <m:r>
                          <m:rPr>
                            <m:sty m:val="p"/>
                          </m:rPr>
                          <w:rPr>
                            <w:rFonts w:ascii="Cambria Math" w:hAnsi="Cambria Math"/>
                            <w:color w:val="auto"/>
                          </w:rPr>
                          <m:t>|</m:t>
                        </m:r>
                        <m:r>
                          <m:rPr/>
                          <w:rPr>
                            <w:rFonts w:ascii="Cambria Math" w:hAnsi="Cambria Math"/>
                            <w:color w:val="auto"/>
                          </w:rPr>
                          <m:t>x</m:t>
                        </m:r>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τ</m:t>
                    </m:r>
                    <m:ctrlPr>
                      <w:rPr>
                        <w:rFonts w:ascii="Cambria Math" w:hAnsi="Cambria Math"/>
                        <w:color w:val="auto"/>
                      </w:rPr>
                    </m:ctrlPr>
                  </m:e>
                </m:mr>
                <m:mr>
                  <m:e>
                    <m:r>
                      <m:rPr/>
                      <w:rPr>
                        <w:rFonts w:ascii="Cambria Math" w:hAnsi="Cambria Math"/>
                        <w:color w:val="auto"/>
                      </w:rPr>
                      <m:t>Unknown</m:t>
                    </m:r>
                    <m:r>
                      <m:rPr>
                        <m:sty m:val="p"/>
                      </m:rPr>
                      <w:rPr>
                        <w:rFonts w:ascii="Cambria Math" w:hAnsi="Cambria Math"/>
                        <w:color w:val="auto"/>
                      </w:rPr>
                      <m:t>,</m:t>
                    </m:r>
                    <m:ctrlPr>
                      <w:rPr>
                        <w:rFonts w:ascii="Cambria Math" w:hAnsi="Cambria Math"/>
                        <w:color w:val="auto"/>
                      </w:rPr>
                    </m:ctrlPr>
                  </m:e>
                  <m:e>
                    <m:r>
                      <m:rPr/>
                      <w:rPr>
                        <w:rFonts w:ascii="Cambria Math" w:hAnsi="Cambria Math"/>
                        <w:color w:val="auto"/>
                      </w:rPr>
                      <m:t>P</m:t>
                    </m:r>
                    <m:d>
                      <m:dPr>
                        <m:ctrlPr>
                          <w:rPr>
                            <w:rFonts w:ascii="Cambria Math" w:hAnsi="Cambria Math"/>
                            <w:color w:val="auto"/>
                          </w:rPr>
                        </m:ctrlPr>
                      </m:dPr>
                      <m:e>
                        <m:r>
                          <m:rPr/>
                          <w:rPr>
                            <w:rFonts w:ascii="Cambria Math" w:hAnsi="Cambria Math"/>
                            <w:color w:val="auto"/>
                          </w:rPr>
                          <m:t>known</m:t>
                        </m:r>
                        <m:r>
                          <m:rPr>
                            <m:sty m:val="p"/>
                          </m:rPr>
                          <w:rPr>
                            <w:rFonts w:ascii="Cambria Math" w:hAnsi="Cambria Math"/>
                            <w:color w:val="auto"/>
                          </w:rPr>
                          <m:t>|</m:t>
                        </m:r>
                        <m:r>
                          <m:rPr/>
                          <w:rPr>
                            <w:rFonts w:ascii="Cambria Math" w:hAnsi="Cambria Math"/>
                            <w:color w:val="auto"/>
                          </w:rPr>
                          <m:t>x</m:t>
                        </m:r>
                        <m:ctrlPr>
                          <w:rPr>
                            <w:rFonts w:ascii="Cambria Math" w:hAnsi="Cambria Math"/>
                            <w:color w:val="auto"/>
                          </w:rPr>
                        </m:ctrlPr>
                      </m:e>
                    </m:d>
                    <m:r>
                      <m:rPr>
                        <m:sty m:val="p"/>
                      </m:rPr>
                      <w:rPr>
                        <w:rFonts w:ascii="Cambria Math" w:hAnsi="Cambria Math"/>
                        <w:color w:val="auto"/>
                      </w:rPr>
                      <m:t>&lt;</m:t>
                    </m:r>
                    <m:r>
                      <m:rPr/>
                      <w:rPr>
                        <w:rFonts w:ascii="Cambria Math" w:hAnsi="Cambria Math"/>
                        <w:color w:val="auto"/>
                      </w:rPr>
                      <m:t>τ</m:t>
                    </m:r>
                    <m:ctrlPr>
                      <w:rPr>
                        <w:rFonts w:ascii="Cambria Math" w:hAnsi="Cambria Math"/>
                        <w:color w:val="auto"/>
                      </w:rPr>
                    </m:ctrlPr>
                  </m:e>
                </m:mr>
              </m:m>
              <m:ctrlPr>
                <w:rPr>
                  <w:rFonts w:ascii="Cambria Math" w:hAnsi="Cambria Math"/>
                  <w:color w:val="auto"/>
                </w:rPr>
              </m:ctrlPr>
            </m:e>
          </m:d>
        </m:oMath>
      </m:oMathPara>
    </w:p>
    <w:p w14:paraId="7C4357B9">
      <w:pPr>
        <w:rPr>
          <w:color w:val="auto"/>
        </w:rPr>
      </w:pPr>
      <w:r>
        <w:rPr>
          <w:color w:val="auto"/>
        </w:rPr>
        <w:t>其中，</w:t>
      </w:r>
      <m:oMath>
        <m:sSub>
          <m:sSubPr>
            <m:ctrlPr>
              <w:rPr>
                <w:rFonts w:ascii="Cambria Math" w:hAnsi="Cambria Math"/>
                <w:color w:val="auto"/>
              </w:rPr>
            </m:ctrlPr>
          </m:sSubPr>
          <m:e>
            <m:r>
              <m:rPr/>
              <w:rPr>
                <w:rFonts w:ascii="Cambria Math" w:hAnsi="Cambria Math"/>
                <w:color w:val="auto"/>
              </w:rPr>
              <m:t>C</m:t>
            </m:r>
            <m:ctrlPr>
              <w:rPr>
                <w:rFonts w:ascii="Cambria Math" w:hAnsi="Cambria Math"/>
                <w:color w:val="auto"/>
              </w:rPr>
            </m:ctrlPr>
          </m:e>
          <m:sub>
            <m:r>
              <m:rPr/>
              <w:rPr>
                <w:rFonts w:ascii="Cambria Math" w:hAnsi="Cambria Math"/>
                <w:color w:val="auto"/>
              </w:rPr>
              <m:t>k</m:t>
            </m:r>
            <m:ctrlPr>
              <w:rPr>
                <w:rFonts w:ascii="Cambria Math" w:hAnsi="Cambria Math"/>
                <w:color w:val="auto"/>
              </w:rPr>
            </m:ctrlPr>
          </m:sub>
        </m:sSub>
      </m:oMath>
      <w:r>
        <w:rPr>
          <w:color w:val="auto"/>
        </w:rPr>
        <w:t xml:space="preserve"> 为已知类别集合，当前阈值设为 0.4。若判定为 Unknown，接口会将 Unknown 候选插入 Top-3 集合首位，并根据置信度决定是否需要人工复核。</w:t>
      </w:r>
    </w:p>
    <w:p w14:paraId="3E8953A9">
      <w:pPr>
        <w:rPr>
          <w:color w:val="auto"/>
        </w:rPr>
      </w:pPr>
      <w:r>
        <w:rPr>
          <w:color w:val="auto"/>
        </w:rPr>
        <w:drawing>
          <wp:inline distT="0" distB="0" distL="0" distR="0">
            <wp:extent cx="4794250" cy="3210560"/>
            <wp:effectExtent l="0" t="0" r="0" b="0"/>
            <wp:docPr id="161" name="Picture" descr="图5-3 双阶段识别逻辑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descr="图5-3 双阶段识别逻辑示意图"/>
                    <pic:cNvPicPr>
                      <a:picLocks noChangeAspect="1" noChangeArrowheads="1"/>
                    </pic:cNvPicPr>
                  </pic:nvPicPr>
                  <pic:blipFill>
                    <a:blip r:embed="rId11"/>
                    <a:stretch>
                      <a:fillRect/>
                    </a:stretch>
                  </pic:blipFill>
                  <pic:spPr>
                    <a:xfrm>
                      <a:off x="0" y="0"/>
                      <a:ext cx="4794758" cy="3211041"/>
                    </a:xfrm>
                    <a:prstGeom prst="rect">
                      <a:avLst/>
                    </a:prstGeom>
                    <a:noFill/>
                    <a:ln w="9525">
                      <a:noFill/>
                    </a:ln>
                  </pic:spPr>
                </pic:pic>
              </a:graphicData>
            </a:graphic>
          </wp:inline>
        </w:drawing>
      </w:r>
    </w:p>
    <w:p w14:paraId="355B532F">
      <w:pPr>
        <w:rPr>
          <w:color w:val="auto"/>
        </w:rPr>
      </w:pPr>
      <w:r>
        <w:rPr>
          <w:color w:val="auto"/>
        </w:rPr>
        <w:t>图5-3 双阶段识别逻辑示意图</w:t>
      </w:r>
    </w:p>
    <w:p w14:paraId="0B931548">
      <w:pPr>
        <w:pStyle w:val="20"/>
        <w:rPr>
          <w:color w:val="auto"/>
        </w:rPr>
      </w:pPr>
      <w:r>
        <w:rPr>
          <w:color w:val="auto"/>
        </w:rPr>
        <w:t>需要说明的是，当前保存目录中未包含 stage2_known_species_model.pkl，因此接口运行时判断条件不成立，实际返回 routing_mode=“single_stage”。这表明双阶段设计已经在训练脚本和接口逻辑中完成实现，但部署态仍以单阶段最优模型作为主服务路径。该现象也为后续系统优化提供了明确方向。</w:t>
      </w:r>
    </w:p>
    <w:bookmarkEnd w:id="242"/>
    <w:bookmarkEnd w:id="250"/>
    <w:p w14:paraId="24A43184">
      <w:pPr>
        <w:pStyle w:val="4"/>
        <w:rPr>
          <w:color w:val="auto"/>
        </w:rPr>
      </w:pPr>
      <w:bookmarkStart w:id="251" w:name="_Toc227613253"/>
      <w:bookmarkStart w:id="252" w:name="模型评估模块设计与实现"/>
      <w:r>
        <w:rPr>
          <w:color w:val="auto"/>
        </w:rPr>
        <w:t>5.6 模型评估模块设计与实现</w:t>
      </w:r>
      <w:bookmarkEnd w:id="251"/>
    </w:p>
    <w:p w14:paraId="4A0C5DEF">
      <w:pPr>
        <w:pStyle w:val="5"/>
        <w:rPr>
          <w:color w:val="auto"/>
        </w:rPr>
      </w:pPr>
      <w:bookmarkStart w:id="253" w:name="_Toc227613254"/>
      <w:bookmarkStart w:id="254" w:name="多指标评估实现"/>
      <w:r>
        <w:rPr>
          <w:color w:val="auto"/>
        </w:rPr>
        <w:t>5.6.1 多指标评估实现</w:t>
      </w:r>
      <w:bookmarkEnd w:id="253"/>
    </w:p>
    <w:p w14:paraId="577C7084">
      <w:pPr>
        <w:rPr>
          <w:color w:val="auto"/>
        </w:rPr>
      </w:pPr>
      <w:r>
        <w:rPr>
          <w:color w:val="auto"/>
        </w:rPr>
        <w:t>ModelEvaluator.evaluate_model 先调用 predict 与 predict_proba 获得预测标签与类别概率，再依次计算准确率、平衡准确率、加权精确率、加权召回率、加权 F1 和宏平均 F1。若模型支持概率输出，则进一步计算 Top-3 准确率。若预处理器中包含 Unknown 类标签，则继续计算未知预测占比与已知类准确率。这种实现使评估体系能够同时覆盖总体性能、长尾公平性与候选集质量。</w:t>
      </w:r>
    </w:p>
    <w:bookmarkEnd w:id="254"/>
    <w:p w14:paraId="5BF557DC">
      <w:pPr>
        <w:pStyle w:val="5"/>
        <w:rPr>
          <w:color w:val="auto"/>
        </w:rPr>
      </w:pPr>
      <w:bookmarkStart w:id="255" w:name="_Toc227613255"/>
      <w:bookmarkStart w:id="256" w:name="混淆矩阵生成实现"/>
      <w:r>
        <w:rPr>
          <w:color w:val="auto"/>
        </w:rPr>
        <w:t>5.6.2 混淆矩阵生成实现</w:t>
      </w:r>
      <w:bookmarkEnd w:id="255"/>
    </w:p>
    <w:p w14:paraId="6E387FF1">
      <w:pPr>
        <w:rPr>
          <w:color w:val="auto"/>
        </w:rPr>
      </w:pPr>
      <w:r>
        <w:rPr>
          <w:color w:val="auto"/>
        </w:rPr>
        <w:t>对于每个候选模型，评估模块都会计算 confusion_matrix，并调用 plot_confusion_matrix 输出热力图图像。由于当前任务包含 125 个类别，完整混淆矩阵规模较大，更适合作为附属分析图而非正文中逐格展开讨论。但其存在保证了错误类别分布可以被进一步追踪。</w:t>
      </w:r>
    </w:p>
    <w:bookmarkEnd w:id="256"/>
    <w:p w14:paraId="08912568">
      <w:pPr>
        <w:pStyle w:val="5"/>
        <w:rPr>
          <w:color w:val="auto"/>
        </w:rPr>
      </w:pPr>
      <w:bookmarkStart w:id="257" w:name="_Toc227613256"/>
      <w:bookmarkStart w:id="258" w:name="模型性能对比实现"/>
      <w:r>
        <w:rPr>
          <w:color w:val="auto"/>
        </w:rPr>
        <w:t>5.6.3 模型性能对比实现</w:t>
      </w:r>
      <w:bookmarkEnd w:id="257"/>
    </w:p>
    <w:p w14:paraId="4354CD24">
      <w:pPr>
        <w:rPr>
          <w:color w:val="auto"/>
        </w:rPr>
      </w:pPr>
      <w:r>
        <w:rPr>
          <w:color w:val="auto"/>
        </w:rPr>
        <w:t>compare_models 会将各模型核心指标汇总为 DataFrame，并绘制柱状对比图。当前实验结果如表5-1与图5-4所示。</w:t>
      </w:r>
    </w:p>
    <w:p w14:paraId="5B805138">
      <w:pPr>
        <w:pStyle w:val="20"/>
        <w:rPr>
          <w:color w:val="auto"/>
        </w:rPr>
      </w:pPr>
      <w:r>
        <w:rPr>
          <w:color w:val="auto"/>
        </w:rPr>
        <w:t>表5-1 候选模型评价结果</w:t>
      </w:r>
      <w:r>
        <w:rPr>
          <w:color w:val="auto"/>
        </w:rPr>
        <w:br w:type="textWrapping"/>
      </w:r>
    </w:p>
    <w:tbl>
      <w:tblPr>
        <w:tblStyle w:val="41"/>
        <w:tblW w:w="75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7"/>
        <w:gridCol w:w="2045"/>
        <w:gridCol w:w="2728"/>
      </w:tblGrid>
      <w:tr w14:paraId="62F35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EEDB3E0">
            <w:pPr>
              <w:pStyle w:val="20"/>
              <w:rPr>
                <w:color w:val="auto"/>
              </w:rPr>
            </w:pPr>
            <w:r>
              <w:rPr>
                <w:color w:val="auto"/>
                <w:lang w:val="en-US" w:eastAsia="zh-CN"/>
              </w:rPr>
              <w:t>模型</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5E38F05">
            <w:pPr>
              <w:pStyle w:val="20"/>
              <w:rPr>
                <w:color w:val="auto"/>
              </w:rPr>
            </w:pPr>
            <w:r>
              <w:rPr>
                <w:color w:val="auto"/>
                <w:lang w:val="en-US" w:eastAsia="zh-CN"/>
              </w:rPr>
              <w:t>准确率</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D064101">
            <w:pPr>
              <w:pStyle w:val="20"/>
              <w:rPr>
                <w:color w:val="auto"/>
              </w:rPr>
            </w:pPr>
            <w:r>
              <w:rPr>
                <w:color w:val="auto"/>
                <w:lang w:val="en-US" w:eastAsia="zh-CN"/>
              </w:rPr>
              <w:t>平衡准确率</w:t>
            </w:r>
          </w:p>
        </w:tc>
      </w:tr>
      <w:tr w14:paraId="137C0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326F7B1">
            <w:pPr>
              <w:pStyle w:val="20"/>
              <w:rPr>
                <w:color w:val="auto"/>
              </w:rPr>
            </w:pPr>
            <w:r>
              <w:rPr>
                <w:color w:val="auto"/>
                <w:lang w:val="en-US" w:eastAsia="zh-CN"/>
              </w:rPr>
              <w:t>随机森林</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99505E6">
            <w:pPr>
              <w:pStyle w:val="20"/>
              <w:rPr>
                <w:color w:val="auto"/>
              </w:rPr>
            </w:pPr>
            <w:r>
              <w:rPr>
                <w:color w:val="auto"/>
                <w:lang w:val="en-US" w:eastAsia="zh-CN"/>
              </w:rPr>
              <w:t>0.4215</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081D629">
            <w:pPr>
              <w:pStyle w:val="20"/>
              <w:rPr>
                <w:color w:val="auto"/>
              </w:rPr>
            </w:pPr>
            <w:r>
              <w:rPr>
                <w:color w:val="auto"/>
                <w:lang w:val="en-US" w:eastAsia="zh-CN"/>
              </w:rPr>
              <w:t>0.3725</w:t>
            </w:r>
          </w:p>
        </w:tc>
      </w:tr>
      <w:tr w14:paraId="04895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D6899F0">
            <w:pPr>
              <w:pStyle w:val="20"/>
              <w:rPr>
                <w:color w:val="auto"/>
              </w:rPr>
            </w:pPr>
            <w:r>
              <w:rPr>
                <w:color w:val="auto"/>
                <w:lang w:val="en-US" w:eastAsia="zh-CN"/>
              </w:rPr>
              <w:t>支持向量机</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92468DB">
            <w:pPr>
              <w:pStyle w:val="20"/>
              <w:rPr>
                <w:color w:val="auto"/>
              </w:rPr>
            </w:pPr>
            <w:r>
              <w:rPr>
                <w:color w:val="auto"/>
                <w:lang w:val="en-US" w:eastAsia="zh-CN"/>
              </w:rPr>
              <w:t>0.1855</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3BF446F">
            <w:pPr>
              <w:pStyle w:val="20"/>
              <w:rPr>
                <w:color w:val="auto"/>
              </w:rPr>
            </w:pPr>
            <w:r>
              <w:rPr>
                <w:color w:val="auto"/>
                <w:lang w:val="en-US" w:eastAsia="zh-CN"/>
              </w:rPr>
              <w:t>0.2544</w:t>
            </w:r>
          </w:p>
        </w:tc>
      </w:tr>
      <w:tr w14:paraId="7CE34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3B692AB">
            <w:pPr>
              <w:pStyle w:val="20"/>
              <w:rPr>
                <w:color w:val="auto"/>
              </w:rPr>
            </w:pPr>
            <w:r>
              <w:rPr>
                <w:color w:val="auto"/>
                <w:lang w:val="en-US" w:eastAsia="zh-CN"/>
              </w:rPr>
              <w:t>XGBoost</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F05024B">
            <w:pPr>
              <w:pStyle w:val="20"/>
              <w:rPr>
                <w:color w:val="auto"/>
              </w:rPr>
            </w:pPr>
            <w:r>
              <w:rPr>
                <w:color w:val="auto"/>
                <w:lang w:val="en-US" w:eastAsia="zh-CN"/>
              </w:rPr>
              <w:t>0.4015</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B2B1F8D">
            <w:pPr>
              <w:pStyle w:val="20"/>
              <w:rPr>
                <w:color w:val="auto"/>
              </w:rPr>
            </w:pPr>
            <w:r>
              <w:rPr>
                <w:color w:val="auto"/>
                <w:lang w:val="en-US" w:eastAsia="zh-CN"/>
              </w:rPr>
              <w:t>0.3895</w:t>
            </w:r>
          </w:p>
        </w:tc>
      </w:tr>
      <w:tr w14:paraId="09902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jc w:val="center"/>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F712605">
            <w:pPr>
              <w:pStyle w:val="20"/>
              <w:rPr>
                <w:color w:val="auto"/>
              </w:rPr>
            </w:pPr>
            <w:r>
              <w:rPr>
                <w:color w:val="auto"/>
                <w:lang w:val="en-US" w:eastAsia="zh-CN"/>
              </w:rPr>
              <w:t>K近邻</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9574175">
            <w:pPr>
              <w:pStyle w:val="20"/>
              <w:rPr>
                <w:color w:val="auto"/>
              </w:rPr>
            </w:pPr>
            <w:r>
              <w:rPr>
                <w:color w:val="auto"/>
                <w:lang w:val="en-US" w:eastAsia="zh-CN"/>
              </w:rPr>
              <w:t>0.3900</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0419851">
            <w:pPr>
              <w:pStyle w:val="20"/>
              <w:rPr>
                <w:color w:val="auto"/>
              </w:rPr>
            </w:pPr>
            <w:r>
              <w:rPr>
                <w:color w:val="auto"/>
                <w:lang w:val="en-US" w:eastAsia="zh-CN"/>
              </w:rPr>
              <w:t>0.1984</w:t>
            </w:r>
          </w:p>
        </w:tc>
      </w:tr>
    </w:tbl>
    <w:p w14:paraId="274EA70F">
      <w:pPr>
        <w:pStyle w:val="20"/>
        <w:rPr>
          <w:color w:val="auto"/>
        </w:rPr>
      </w:pPr>
    </w:p>
    <w:p w14:paraId="0F6BC125">
      <w:pPr>
        <w:rPr>
          <w:color w:val="auto"/>
        </w:rPr>
      </w:pPr>
      <w:r>
        <w:rPr>
          <w:color w:val="auto"/>
        </w:rPr>
        <w:drawing>
          <wp:inline distT="0" distB="0" distL="0" distR="0">
            <wp:extent cx="5017770" cy="2712720"/>
            <wp:effectExtent l="0" t="0" r="0" b="0"/>
            <wp:docPr id="168" name="Picture" descr="图5-4 多模型关键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descr="图5-4 多模型关键指标对比"/>
                    <pic:cNvPicPr>
                      <a:picLocks noChangeAspect="1" noChangeArrowheads="1"/>
                    </pic:cNvPicPr>
                  </pic:nvPicPr>
                  <pic:blipFill>
                    <a:blip r:embed="rId12"/>
                    <a:stretch>
                      <a:fillRect/>
                    </a:stretch>
                  </pic:blipFill>
                  <pic:spPr>
                    <a:xfrm>
                      <a:off x="0" y="0"/>
                      <a:ext cx="5017770" cy="2712987"/>
                    </a:xfrm>
                    <a:prstGeom prst="rect">
                      <a:avLst/>
                    </a:prstGeom>
                    <a:noFill/>
                    <a:ln w="9525">
                      <a:noFill/>
                    </a:ln>
                  </pic:spPr>
                </pic:pic>
              </a:graphicData>
            </a:graphic>
          </wp:inline>
        </w:drawing>
      </w:r>
    </w:p>
    <w:p w14:paraId="33DD61FD">
      <w:pPr>
        <w:rPr>
          <w:color w:val="auto"/>
        </w:rPr>
      </w:pPr>
      <w:r>
        <w:rPr>
          <w:color w:val="auto"/>
        </w:rPr>
        <w:t>图5-4 多模型关键指标对比</w:t>
      </w:r>
    </w:p>
    <w:p w14:paraId="4F04ED91">
      <w:pPr>
        <w:pStyle w:val="20"/>
        <w:rPr>
          <w:color w:val="auto"/>
        </w:rPr>
      </w:pPr>
      <w:r>
        <w:rPr>
          <w:color w:val="auto"/>
        </w:rPr>
        <w:t>从图表可以看出，随机森林与 XGBoost 在总体准确率和已知类准确率上接近，而 XGBoost 在宏平均 F1、平衡准确率和 Top-3 准确率上略占优势，因此更适合作为当前系统的最优服务模型。</w:t>
      </w:r>
    </w:p>
    <w:bookmarkEnd w:id="258"/>
    <w:p w14:paraId="0B1AB888">
      <w:pPr>
        <w:pStyle w:val="5"/>
        <w:rPr>
          <w:color w:val="auto"/>
        </w:rPr>
      </w:pPr>
      <w:bookmarkStart w:id="259" w:name="_Toc227613257"/>
      <w:bookmarkStart w:id="260" w:name="最优模型选择与保存实现"/>
      <w:r>
        <w:rPr>
          <w:color w:val="auto"/>
        </w:rPr>
        <w:t>5.6.4 最优模型选择与保存实现</w:t>
      </w:r>
      <w:bookmarkEnd w:id="259"/>
    </w:p>
    <w:p w14:paraId="1B25FF9E">
      <w:pPr>
        <w:rPr>
          <w:color w:val="auto"/>
        </w:rPr>
      </w:pPr>
      <w:r>
        <w:rPr>
          <w:color w:val="auto"/>
        </w:rPr>
        <w:t>select_best_model 默认以宏平均 F1 为选择标准。对当前评估结果而言，XGBoost 以 0.3237 的宏平均 F1 值被保存为 best_stonefly_model.pkl。与此同时，全部模型结果被写入 model_evaluation_report.json，保证性能比较与前端展示的一致性。</w:t>
      </w:r>
    </w:p>
    <w:bookmarkEnd w:id="252"/>
    <w:bookmarkEnd w:id="260"/>
    <w:p w14:paraId="1BCC0B72">
      <w:pPr>
        <w:pStyle w:val="4"/>
        <w:rPr>
          <w:color w:val="auto"/>
        </w:rPr>
      </w:pPr>
      <w:bookmarkStart w:id="261" w:name="_Toc227613258"/>
      <w:bookmarkStart w:id="262" w:name="预测服务模块设计与实现"/>
      <w:r>
        <w:rPr>
          <w:color w:val="auto"/>
        </w:rPr>
        <w:t>5.7 预测服务模块设计与实现</w:t>
      </w:r>
      <w:bookmarkEnd w:id="261"/>
    </w:p>
    <w:p w14:paraId="7DDFCCFB">
      <w:pPr>
        <w:pStyle w:val="5"/>
        <w:rPr>
          <w:color w:val="auto"/>
        </w:rPr>
      </w:pPr>
      <w:bookmarkStart w:id="263" w:name="_Toc227613259"/>
      <w:bookmarkStart w:id="264" w:name="预测请求数据校验实现"/>
      <w:r>
        <w:rPr>
          <w:color w:val="auto"/>
        </w:rPr>
        <w:t>5.7.1 预测请求数据校验实现</w:t>
      </w:r>
      <w:bookmarkEnd w:id="263"/>
    </w:p>
    <w:p w14:paraId="0DC7BEB6">
      <w:pPr>
        <w:rPr>
          <w:color w:val="auto"/>
        </w:rPr>
      </w:pPr>
      <w:r>
        <w:rPr>
          <w:color w:val="auto"/>
        </w:rPr>
        <w:t>预测接口首先检查请求体是否完整包含七个必需字段，并按训练期固定顺序重排字段。该步骤保证了输入数据列顺序与预处理器拟合顺序一致，避免因字典顺序差异造成特征错位。</w:t>
      </w:r>
    </w:p>
    <w:bookmarkEnd w:id="264"/>
    <w:p w14:paraId="42EBF39B">
      <w:pPr>
        <w:pStyle w:val="5"/>
        <w:rPr>
          <w:color w:val="auto"/>
        </w:rPr>
      </w:pPr>
      <w:bookmarkStart w:id="265" w:name="_Toc227613260"/>
      <w:bookmarkStart w:id="266" w:name="预测流程封装实现"/>
      <w:r>
        <w:rPr>
          <w:color w:val="auto"/>
        </w:rPr>
        <w:t>5.7.2 预测流程封装实现</w:t>
      </w:r>
      <w:bookmarkEnd w:id="265"/>
    </w:p>
    <w:p w14:paraId="70ED5094">
      <w:pPr>
        <w:rPr>
          <w:color w:val="auto"/>
        </w:rPr>
      </w:pPr>
      <w:r>
        <w:rPr>
          <w:color w:val="auto"/>
        </w:rPr>
        <w:t>在对象加载后，系统对输入 DataFrame 执行 preprocessor.transform，再视情况调用 selector.transform。若检测到训练期未见的类别标签，接口会捕获 ValueError 并返回明确错误信息，从而阻止非法类别值进入模型推理阶段。</w:t>
      </w:r>
    </w:p>
    <w:bookmarkEnd w:id="266"/>
    <w:p w14:paraId="5B3944B6">
      <w:pPr>
        <w:pStyle w:val="5"/>
        <w:rPr>
          <w:color w:val="auto"/>
        </w:rPr>
      </w:pPr>
      <w:bookmarkStart w:id="267" w:name="_Toc227613261"/>
      <w:bookmarkStart w:id="268" w:name="top-3-结果生成实现"/>
      <w:r>
        <w:rPr>
          <w:color w:val="auto"/>
        </w:rPr>
        <w:t>5.7.3 Top-3 结果生成实现</w:t>
      </w:r>
      <w:bookmarkEnd w:id="267"/>
    </w:p>
    <w:p w14:paraId="3F0DD934">
      <w:pPr>
        <w:rPr>
          <w:color w:val="auto"/>
        </w:rPr>
      </w:pPr>
      <w:r>
        <w:rPr>
          <w:color w:val="auto"/>
        </w:rPr>
        <w:t>在单阶段模式下，接口对 predict_proba 结果按概率降序排序，并取前三个类别构成 top_3_predictions。若处于双阶段模式，接口将基于阶段二模型概率生成前三个已知类候选，再在 Unknown 判定时将 Unknown 插入候选首位。该设计使预测接口既能输出主类别，也能保留候选参考信息。</w:t>
      </w:r>
    </w:p>
    <w:bookmarkEnd w:id="268"/>
    <w:p w14:paraId="115266A0">
      <w:pPr>
        <w:pStyle w:val="5"/>
        <w:rPr>
          <w:color w:val="auto"/>
        </w:rPr>
      </w:pPr>
      <w:bookmarkStart w:id="269" w:name="_Toc227613262"/>
      <w:bookmarkStart w:id="270" w:name="置信度等级判定实现"/>
      <w:r>
        <w:rPr>
          <w:color w:val="auto"/>
        </w:rPr>
        <w:t>5.7.4 置信度等级判定实现</w:t>
      </w:r>
      <w:bookmarkEnd w:id="269"/>
    </w:p>
    <w:p w14:paraId="2137CD96">
      <w:pPr>
        <w:rPr>
          <w:color w:val="auto"/>
        </w:rPr>
      </w:pPr>
      <w:r>
        <w:rPr>
          <w:color w:val="auto"/>
        </w:rPr>
        <w:t>系统依据预测概率将置信度划分为高、中、低三个等级：当 confidence ≥ 0.7 时为高置信度，0.4 ≤ confidence &lt; 0.7 时为中置信度，confidence &lt; 0.4 时为低置信度。该机制虽然简单，但能为前端界面提供更具可解释性的结果提示。</w:t>
      </w:r>
    </w:p>
    <w:bookmarkEnd w:id="270"/>
    <w:p w14:paraId="74D6B593">
      <w:pPr>
        <w:pStyle w:val="5"/>
        <w:rPr>
          <w:color w:val="auto"/>
        </w:rPr>
      </w:pPr>
      <w:bookmarkStart w:id="271" w:name="_Toc227613263"/>
      <w:bookmarkStart w:id="272" w:name="人工复核提示机制实现"/>
      <w:r>
        <w:rPr>
          <w:color w:val="auto"/>
        </w:rPr>
        <w:t>5.7.5 人工复核提示机制实现</w:t>
      </w:r>
      <w:bookmarkEnd w:id="271"/>
    </w:p>
    <w:p w14:paraId="6C00D08B">
      <w:pPr>
        <w:rPr>
          <w:color w:val="auto"/>
        </w:rPr>
      </w:pPr>
      <w:r>
        <w:rPr>
          <w:color w:val="auto"/>
        </w:rPr>
        <w:t>系统定义 should_review = prediction_label == unknown_label 或 confidence &lt; 0.4。当预测结果为 Unknown 或置信度较低时，接口会建议人工复核；若同时满足 Unknown 且低置信度，则从 Top-3 中寻找首个非 Unknown 候选作为 fallback_prediction。这种机制可视为对开放集风险的一种工程补偿。</w:t>
      </w:r>
    </w:p>
    <w:bookmarkEnd w:id="262"/>
    <w:bookmarkEnd w:id="272"/>
    <w:p w14:paraId="764D6658">
      <w:pPr>
        <w:pStyle w:val="4"/>
        <w:rPr>
          <w:color w:val="auto"/>
        </w:rPr>
      </w:pPr>
      <w:bookmarkStart w:id="273" w:name="_Toc227613264"/>
      <w:bookmarkStart w:id="274" w:name="前端交互模块设计与实现"/>
      <w:r>
        <w:rPr>
          <w:color w:val="auto"/>
        </w:rPr>
        <w:t>5.8 前端交互模块设计与实现</w:t>
      </w:r>
      <w:bookmarkEnd w:id="273"/>
    </w:p>
    <w:p w14:paraId="125C35EF">
      <w:pPr>
        <w:pStyle w:val="5"/>
        <w:rPr>
          <w:color w:val="auto"/>
        </w:rPr>
      </w:pPr>
      <w:bookmarkStart w:id="275" w:name="_Toc227613265"/>
      <w:bookmarkStart w:id="276" w:name="路由组织实现"/>
      <w:r>
        <w:rPr>
          <w:color w:val="auto"/>
        </w:rPr>
        <w:t>5.8.1 路由组织实现</w:t>
      </w:r>
      <w:bookmarkEnd w:id="275"/>
    </w:p>
    <w:p w14:paraId="768DBDF4">
      <w:pPr>
        <w:rPr>
          <w:color w:val="auto"/>
        </w:rPr>
      </w:pPr>
      <w:r>
        <w:rPr>
          <w:color w:val="auto"/>
        </w:rPr>
        <w:t>路由文件 router/index.ts 中配置了三个页面路径：根路径 / 映射首页，/predict 映射分类预测页，/dashboard 映射数据大屏页。根组件 App.vue 统一提供顶部导航栏、主体路由出口和页脚信息，使页面切换具有一致的外观框架。</w:t>
      </w:r>
    </w:p>
    <w:bookmarkEnd w:id="276"/>
    <w:p w14:paraId="36BD3952">
      <w:pPr>
        <w:pStyle w:val="5"/>
        <w:rPr>
          <w:color w:val="auto"/>
        </w:rPr>
      </w:pPr>
      <w:bookmarkStart w:id="277" w:name="_Toc227613266"/>
      <w:bookmarkStart w:id="278" w:name="首页展示实现"/>
      <w:r>
        <w:rPr>
          <w:color w:val="auto"/>
        </w:rPr>
        <w:t>5.8.2 首页展示实现</w:t>
      </w:r>
      <w:bookmarkEnd w:id="277"/>
    </w:p>
    <w:p w14:paraId="144CC60D">
      <w:pPr>
        <w:rPr>
          <w:color w:val="auto"/>
        </w:rPr>
      </w:pPr>
      <w:r>
        <w:rPr>
          <w:color w:val="auto"/>
        </w:rPr>
        <w:t>首页通过欢迎卡片说明系统目标，并利用统计卡片和功能入口卡片形成简洁的入口界面。需要指出的是，首页统计卡片当前采用静态值展示方式，主要用于页面说明与视觉引导，而不直接绑定训练报告动态结果。因此，在论文叙述中，首页被视为导航与说明模块，而非实验数据的权威来源。</w:t>
      </w:r>
    </w:p>
    <w:bookmarkEnd w:id="278"/>
    <w:p w14:paraId="60568A3B">
      <w:pPr>
        <w:pStyle w:val="5"/>
        <w:rPr>
          <w:color w:val="auto"/>
        </w:rPr>
      </w:pPr>
      <w:bookmarkStart w:id="279" w:name="_Toc227613267"/>
      <w:bookmarkStart w:id="280" w:name="分类预测表单实现"/>
      <w:r>
        <w:rPr>
          <w:color w:val="auto"/>
        </w:rPr>
        <w:t>5.8.3 分类预测表单实现</w:t>
      </w:r>
      <w:bookmarkEnd w:id="279"/>
    </w:p>
    <w:p w14:paraId="7301EB66">
      <w:pPr>
        <w:rPr>
          <w:color w:val="auto"/>
        </w:rPr>
      </w:pPr>
      <w:r>
        <w:rPr>
          <w:color w:val="auto"/>
        </w:rPr>
        <w:t>预测页面对七个特征字段分别采用数字输入框、下拉选择框和滑块实现输入。表单使用 Element Plus 的校验规则保证字段完整性，并在提交前调用 formRef.validate() 进行验证。该实现将“可输入”与“可提交”分离，避免无效请求直接进入后端。</w:t>
      </w:r>
    </w:p>
    <w:bookmarkEnd w:id="280"/>
    <w:p w14:paraId="2BB08C76">
      <w:pPr>
        <w:pStyle w:val="5"/>
        <w:rPr>
          <w:color w:val="auto"/>
        </w:rPr>
      </w:pPr>
      <w:bookmarkStart w:id="281" w:name="_Toc227613268"/>
      <w:bookmarkStart w:id="282" w:name="预测结果反馈实现"/>
      <w:r>
        <w:rPr>
          <w:color w:val="auto"/>
        </w:rPr>
        <w:t>5.8.4 预测结果反馈实现</w:t>
      </w:r>
      <w:bookmarkEnd w:id="281"/>
    </w:p>
    <w:p w14:paraId="2F094DA1">
      <w:pPr>
        <w:rPr>
          <w:color w:val="auto"/>
        </w:rPr>
      </w:pPr>
      <w:r>
        <w:rPr>
          <w:color w:val="auto"/>
        </w:rPr>
        <w:t>预测成功后，页面在右侧卡片中展示预测物种名称、置信度进度条和 Top-3 候选表格。颜色进度条根据置信度区间变化，增强了结果解释能力；当尚未预测时，页面显示空状态组件，引导用户先完成表单输入。</w:t>
      </w:r>
    </w:p>
    <w:bookmarkEnd w:id="282"/>
    <w:p w14:paraId="12F3ED43">
      <w:pPr>
        <w:pStyle w:val="5"/>
        <w:rPr>
          <w:color w:val="auto"/>
        </w:rPr>
      </w:pPr>
      <w:bookmarkStart w:id="283" w:name="_Toc227613269"/>
      <w:bookmarkStart w:id="284" w:name="异常提示与交互优化实现"/>
      <w:r>
        <w:rPr>
          <w:color w:val="auto"/>
        </w:rPr>
        <w:t>5.8.5 异常提示与交互优化实现</w:t>
      </w:r>
      <w:bookmarkEnd w:id="283"/>
    </w:p>
    <w:p w14:paraId="32E1D9AA">
      <w:pPr>
        <w:rPr>
          <w:color w:val="auto"/>
        </w:rPr>
      </w:pPr>
      <w:r>
        <w:rPr>
          <w:color w:val="auto"/>
        </w:rPr>
        <w:t>前端使用 ElMessage 统一处理预测成功、预测失败和请求异常三类反馈。对于模型信息尚未生成或接口调用失败等情况，数据大屏页面也会给出提示信息并展示空状态。这样的设计虽然简单，却显著提升了系统可用性。</w:t>
      </w:r>
    </w:p>
    <w:bookmarkEnd w:id="274"/>
    <w:bookmarkEnd w:id="284"/>
    <w:p w14:paraId="1D681CB0">
      <w:pPr>
        <w:pStyle w:val="4"/>
        <w:rPr>
          <w:color w:val="auto"/>
        </w:rPr>
      </w:pPr>
      <w:bookmarkStart w:id="285" w:name="_Toc227613270"/>
      <w:bookmarkStart w:id="286" w:name="数据可视化展示模块设计与实现"/>
      <w:r>
        <w:rPr>
          <w:color w:val="auto"/>
        </w:rPr>
        <w:t>5.9 数据可视化展示模块设计与实现</w:t>
      </w:r>
      <w:bookmarkEnd w:id="285"/>
    </w:p>
    <w:p w14:paraId="3E213BD1">
      <w:pPr>
        <w:pStyle w:val="5"/>
        <w:rPr>
          <w:color w:val="auto"/>
        </w:rPr>
      </w:pPr>
      <w:bookmarkStart w:id="287" w:name="_Toc227613271"/>
      <w:bookmarkStart w:id="288" w:name="模型指标卡片展示实现"/>
      <w:r>
        <w:rPr>
          <w:color w:val="auto"/>
        </w:rPr>
        <w:t>5.9.1 模型指标卡片展示实现</w:t>
      </w:r>
      <w:bookmarkEnd w:id="287"/>
    </w:p>
    <w:p w14:paraId="1C009D64">
      <w:pPr>
        <w:rPr>
          <w:color w:val="auto"/>
        </w:rPr>
      </w:pPr>
      <w:r>
        <w:rPr>
          <w:color w:val="auto"/>
        </w:rPr>
        <w:t>数据大屏通过 computed 属性从 modelInfo 中提取最优模型关键指标，包括宏平均 F1、平衡准确率、Top-3 准确率、未知预测占比和已知类准确率。各指标以卡片形式集中展示，使用户能够迅速把握模型总体表现。</w:t>
      </w:r>
    </w:p>
    <w:bookmarkEnd w:id="288"/>
    <w:p w14:paraId="5EA2BE59">
      <w:pPr>
        <w:pStyle w:val="5"/>
        <w:rPr>
          <w:color w:val="auto"/>
        </w:rPr>
      </w:pPr>
      <w:bookmarkStart w:id="289" w:name="_Toc227613272"/>
      <w:bookmarkStart w:id="290" w:name="模型性能表格展示实现"/>
      <w:r>
        <w:rPr>
          <w:color w:val="auto"/>
        </w:rPr>
        <w:t>5.9.2 模型性能表格展示实现</w:t>
      </w:r>
      <w:bookmarkEnd w:id="289"/>
    </w:p>
    <w:p w14:paraId="246D3EF1">
      <w:pPr>
        <w:rPr>
          <w:color w:val="auto"/>
        </w:rPr>
      </w:pPr>
      <w:r>
        <w:rPr>
          <w:color w:val="auto"/>
        </w:rPr>
        <w:t>页面将 model_evaluation_report.json 中的 all_results 映射为表格数据，并使用进度条方式展示每个指标的百分比。与纯文本表格相比，进度条更适合在答辩展示中快速比较模型差异。</w:t>
      </w:r>
    </w:p>
    <w:bookmarkEnd w:id="290"/>
    <w:p w14:paraId="0E145887">
      <w:pPr>
        <w:pStyle w:val="5"/>
        <w:rPr>
          <w:color w:val="auto"/>
        </w:rPr>
      </w:pPr>
      <w:bookmarkStart w:id="291" w:name="_Toc227613273"/>
      <w:bookmarkStart w:id="292" w:name="图像资源动态加载实现"/>
      <w:r>
        <w:rPr>
          <w:color w:val="auto"/>
        </w:rPr>
        <w:t>5.9.3 图像资源动态加载实现</w:t>
      </w:r>
      <w:bookmarkEnd w:id="291"/>
    </w:p>
    <w:p w14:paraId="3D94F6A1">
      <w:pPr>
        <w:rPr>
          <w:color w:val="auto"/>
        </w:rPr>
      </w:pPr>
      <w:r>
        <w:rPr>
          <w:color w:val="auto"/>
        </w:rPr>
        <w:t>页面通过 imageExists 状态记录图像资源是否可访问，并在 mounted 生命周期中依次检查 model_comparison.png、class_distribution.png、feature_distributions.png 和 correlation_matrix.png 的可达性。若资源存在则显示图像，否则显示空状态。该实现避免了资源缺失导致页面布局错乱。</w:t>
      </w:r>
    </w:p>
    <w:bookmarkEnd w:id="292"/>
    <w:p w14:paraId="16C65230">
      <w:pPr>
        <w:pStyle w:val="5"/>
        <w:rPr>
          <w:color w:val="auto"/>
        </w:rPr>
      </w:pPr>
      <w:bookmarkStart w:id="293" w:name="_Toc227613274"/>
      <w:bookmarkStart w:id="294" w:name="数据大屏展示实现"/>
      <w:r>
        <w:rPr>
          <w:color w:val="auto"/>
        </w:rPr>
        <w:t>5.9.4 数据大屏展示实现</w:t>
      </w:r>
      <w:bookmarkEnd w:id="293"/>
    </w:p>
    <w:p w14:paraId="514BAACB">
      <w:pPr>
        <w:rPr>
          <w:color w:val="auto"/>
        </w:rPr>
      </w:pPr>
      <w:r>
        <w:rPr>
          <w:color w:val="auto"/>
        </w:rPr>
        <w:t>数据大屏实际上构成了训练结果的可视化终端，其核心价值在于将离线评估文件转化为在线可读界面。由于图表均以预生成图片方式提供，前端页面无需再次执行复杂绘图逻辑，从而保持了实现的轻量性与稳定性。</w:t>
      </w:r>
    </w:p>
    <w:bookmarkEnd w:id="286"/>
    <w:bookmarkEnd w:id="294"/>
    <w:p w14:paraId="5EE3FFCA">
      <w:pPr>
        <w:pStyle w:val="4"/>
        <w:rPr>
          <w:color w:val="auto"/>
        </w:rPr>
      </w:pPr>
      <w:bookmarkStart w:id="295" w:name="_Toc227613275"/>
      <w:bookmarkStart w:id="296" w:name="本章小结-3"/>
      <w:r>
        <w:rPr>
          <w:color w:val="auto"/>
        </w:rPr>
        <w:t>5.10 本章小结</w:t>
      </w:r>
      <w:bookmarkEnd w:id="295"/>
    </w:p>
    <w:p w14:paraId="6BD8E49D">
      <w:pPr>
        <w:rPr>
          <w:color w:val="auto"/>
        </w:rPr>
      </w:pPr>
      <w:r>
        <w:rPr>
          <w:color w:val="auto"/>
        </w:rPr>
        <w:t>本章围绕数据探索、预处理、特征工程、模型训练、双阶段识别、模型评估、预测服务、前端交互与可视化展示九个模块说明了系统的关键实现过程。可以看出，系统在算法流程与 Web 服务之间建立了清晰的衔接机制，形成了较完整的智能分类软件原型。</w:t>
      </w:r>
    </w:p>
    <w:bookmarkEnd w:id="190"/>
    <w:bookmarkEnd w:id="296"/>
    <w:p w14:paraId="7AC73B04">
      <w:pPr>
        <w:pStyle w:val="3"/>
        <w:rPr>
          <w:color w:val="auto"/>
        </w:rPr>
      </w:pPr>
      <w:bookmarkStart w:id="297" w:name="_Toc227613276"/>
      <w:bookmarkStart w:id="298" w:name="第6章-系统测试与结果分析"/>
      <w:r>
        <w:rPr>
          <w:color w:val="auto"/>
        </w:rPr>
        <w:t>第6章 系统测试与结果分析</w:t>
      </w:r>
      <w:bookmarkEnd w:id="297"/>
    </w:p>
    <w:p w14:paraId="482FFC84">
      <w:pPr>
        <w:pStyle w:val="4"/>
        <w:rPr>
          <w:color w:val="auto"/>
        </w:rPr>
      </w:pPr>
      <w:bookmarkStart w:id="299" w:name="_Toc227613277"/>
      <w:bookmarkStart w:id="300" w:name="测试环境"/>
      <w:r>
        <w:rPr>
          <w:color w:val="auto"/>
        </w:rPr>
        <w:t>6.1 测试环境</w:t>
      </w:r>
      <w:bookmarkEnd w:id="299"/>
    </w:p>
    <w:p w14:paraId="73F73BBA">
      <w:pPr>
        <w:rPr>
          <w:color w:val="auto"/>
        </w:rPr>
      </w:pPr>
      <w:r>
        <w:rPr>
          <w:color w:val="auto"/>
        </w:rPr>
        <w:t>系统测试环境如表6-1所示。</w:t>
      </w:r>
    </w:p>
    <w:p w14:paraId="6EBB3E5C">
      <w:pPr>
        <w:pStyle w:val="20"/>
        <w:rPr>
          <w:color w:val="auto"/>
        </w:rPr>
      </w:pPr>
      <w:r>
        <w:rPr>
          <w:color w:val="auto"/>
        </w:rPr>
        <w:t>表6-1 测试环境配置</w:t>
      </w:r>
      <w:r>
        <w:rPr>
          <w:color w:val="auto"/>
        </w:rPr>
        <w:br w:type="textWrapping"/>
      </w:r>
      <w:r>
        <w:rPr>
          <w:color w:val="auto"/>
        </w:rPr>
        <w:t>| 项目 | 配置 | 说明 | | — | — | — | | 操作系统 | Linux | 论文生成与接口验证环境 | | Python | 3.13.5 | 后端运行与实验脚本执行 | | Flask | 3.0.0 | 后端 Web 服务 | | scikit-learn | 1.3.0 | 预处理、特征工程与模型训练 | | XGBoost | 2.0.0 | 梯度提升树模型训练 | | Node.js / npm | 前端工程依赖环境 | Vue 3 与 Vite 构建 | | 浏览器 | Chrome/Edge 类现代浏览器 | 页面访问与接口联调 |</w:t>
      </w:r>
    </w:p>
    <w:bookmarkEnd w:id="300"/>
    <w:p w14:paraId="20544FED">
      <w:pPr>
        <w:pStyle w:val="4"/>
        <w:rPr>
          <w:color w:val="auto"/>
        </w:rPr>
      </w:pPr>
      <w:bookmarkStart w:id="301" w:name="_Toc227613278"/>
      <w:bookmarkStart w:id="302" w:name="功能测试"/>
      <w:r>
        <w:rPr>
          <w:color w:val="auto"/>
        </w:rPr>
        <w:t>6.2 功能测试</w:t>
      </w:r>
      <w:bookmarkEnd w:id="301"/>
    </w:p>
    <w:p w14:paraId="5D8AFE5A">
      <w:pPr>
        <w:pStyle w:val="5"/>
        <w:rPr>
          <w:color w:val="auto"/>
        </w:rPr>
      </w:pPr>
      <w:bookmarkStart w:id="303" w:name="_Toc227613279"/>
      <w:bookmarkStart w:id="304" w:name="首页功能测试"/>
      <w:r>
        <w:rPr>
          <w:color w:val="auto"/>
        </w:rPr>
        <w:t>6.2.1 首页功能测试</w:t>
      </w:r>
      <w:bookmarkEnd w:id="303"/>
    </w:p>
    <w:p w14:paraId="384CB8EF">
      <w:pPr>
        <w:rPr>
          <w:color w:val="auto"/>
        </w:rPr>
      </w:pPr>
      <w:r>
        <w:rPr>
          <w:color w:val="auto"/>
        </w:rPr>
        <w:t>首页测试重点在于页面路由是否正确、导航链接是否可用、欢迎卡片和功能入口卡片是否正常显示。实际运行结果表明，根路径能够正常渲染首页布局，点击“分类预测”和“数据大屏”入口可以完成路由跳转，说明页面级导航逻辑工作正常。</w:t>
      </w:r>
    </w:p>
    <w:bookmarkEnd w:id="304"/>
    <w:p w14:paraId="725F746D">
      <w:pPr>
        <w:pStyle w:val="5"/>
        <w:rPr>
          <w:color w:val="auto"/>
        </w:rPr>
      </w:pPr>
      <w:bookmarkStart w:id="305" w:name="_Toc227613280"/>
      <w:bookmarkStart w:id="306" w:name="分类预测功能测试"/>
      <w:r>
        <w:rPr>
          <w:color w:val="auto"/>
        </w:rPr>
        <w:t>6.2.2 分类预测功能测试</w:t>
      </w:r>
      <w:bookmarkEnd w:id="305"/>
    </w:p>
    <w:p w14:paraId="53025E00">
      <w:pPr>
        <w:rPr>
          <w:color w:val="auto"/>
        </w:rPr>
      </w:pPr>
      <w:r>
        <w:rPr>
          <w:color w:val="auto"/>
        </w:rPr>
        <w:t xml:space="preserve">在后端模型文件与预处理器文件已存在的条件下，向预测页面输入示例特征后，可以得到结构化预测结果。对测试输入 </w:t>
      </w:r>
      <m:oMath>
        <m:d>
          <m:dPr>
            <m:ctrlPr>
              <w:rPr>
                <w:rFonts w:ascii="Cambria Math" w:hAnsi="Cambria Math"/>
                <w:color w:val="auto"/>
              </w:rPr>
            </m:ctrlPr>
          </m:dPr>
          <m:e>
            <m:r>
              <m:rPr/>
              <w:rPr>
                <w:rFonts w:ascii="Cambria Math" w:hAnsi="Cambria Math"/>
                <w:color w:val="auto"/>
              </w:rPr>
              <m:t>30.5</m:t>
            </m:r>
            <m:r>
              <m:rPr>
                <m:sty m:val="p"/>
              </m:rPr>
              <w:rPr>
                <w:rFonts w:ascii="Cambria Math" w:hAnsi="Cambria Math"/>
                <w:color w:val="auto"/>
              </w:rPr>
              <m:t>,−</m:t>
            </m:r>
            <m:r>
              <m:rPr/>
              <w:rPr>
                <w:rFonts w:ascii="Cambria Math" w:hAnsi="Cambria Math"/>
                <w:color w:val="auto"/>
              </w:rPr>
              <m:t>95.0</m:t>
            </m:r>
            <m:r>
              <m:rPr>
                <m:sty m:val="p"/>
              </m:rPr>
              <w:rPr>
                <w:rFonts w:ascii="Cambria Math" w:hAnsi="Cambria Math"/>
                <w:color w:val="auto"/>
              </w:rPr>
              <m:t>,</m:t>
            </m:r>
            <m:r>
              <m:rPr/>
              <w:rPr>
                <w:rFonts w:ascii="Cambria Math" w:hAnsi="Cambria Math"/>
                <w:color w:val="auto"/>
              </w:rPr>
              <m:t>US</m:t>
            </m:r>
            <m:r>
              <m:rPr>
                <m:sty m:val="p"/>
              </m:rPr>
              <w:rPr>
                <w:rFonts w:ascii="Cambria Math" w:hAnsi="Cambria Math"/>
                <w:color w:val="auto"/>
              </w:rPr>
              <m:t>,</m:t>
            </m:r>
            <m:r>
              <m:rPr/>
              <w:rPr>
                <w:rFonts w:ascii="Cambria Math" w:hAnsi="Cambria Math"/>
                <w:color w:val="auto"/>
              </w:rPr>
              <m:t>Perlidae</m:t>
            </m:r>
            <m:r>
              <m:rPr>
                <m:sty m:val="p"/>
              </m:rPr>
              <w:rPr>
                <w:rFonts w:ascii="Cambria Math" w:hAnsi="Cambria Math"/>
                <w:color w:val="auto"/>
              </w:rPr>
              <m:t>,</m:t>
            </m:r>
            <m:r>
              <m:rPr/>
              <w:rPr>
                <w:rFonts w:ascii="Cambria Math" w:hAnsi="Cambria Math"/>
                <w:color w:val="auto"/>
              </w:rPr>
              <m:t>15.0</m:t>
            </m:r>
            <m:r>
              <m:rPr>
                <m:sty m:val="p"/>
              </m:rPr>
              <w:rPr>
                <w:rFonts w:ascii="Cambria Math" w:hAnsi="Cambria Math"/>
                <w:color w:val="auto"/>
              </w:rPr>
              <m:t>,</m:t>
            </m:r>
            <m:r>
              <m:rPr/>
              <w:rPr>
                <w:rFonts w:ascii="Cambria Math" w:hAnsi="Cambria Math"/>
                <w:color w:val="auto"/>
              </w:rPr>
              <m:t>brown</m:t>
            </m:r>
            <m:r>
              <m:rPr>
                <m:sty m:val="p"/>
              </m:rPr>
              <w:rPr>
                <w:rFonts w:ascii="Cambria Math" w:hAnsi="Cambria Math"/>
                <w:color w:val="auto"/>
              </w:rPr>
              <m:t>,</m:t>
            </m:r>
            <m:r>
              <m:rPr/>
              <w:rPr>
                <w:rFonts w:ascii="Cambria Math" w:hAnsi="Cambria Math"/>
                <w:color w:val="auto"/>
              </w:rPr>
              <m:t>small antenna</m:t>
            </m:r>
            <m:ctrlPr>
              <w:rPr>
                <w:rFonts w:ascii="Cambria Math" w:hAnsi="Cambria Math"/>
                <w:color w:val="auto"/>
              </w:rPr>
            </m:ctrlPr>
          </m:e>
        </m:d>
      </m:oMath>
      <w:r>
        <w:rPr>
          <w:color w:val="auto"/>
        </w:rPr>
        <w:t xml:space="preserve"> 的实测响应为：prediction=“Acroneuria abnormis”，confidence=0.4908，confidence_level=“medium”，Top-3 候选为 Acroneuria abnormis、Eccoptura xanthenes 与 Unknown Stonefly。该结果说明预测接口、前端表单提交逻辑和结果渲染逻辑能够协同完成一次完整预测。</w:t>
      </w:r>
    </w:p>
    <w:bookmarkEnd w:id="306"/>
    <w:p w14:paraId="1CDD0F20">
      <w:pPr>
        <w:pStyle w:val="5"/>
        <w:rPr>
          <w:color w:val="auto"/>
        </w:rPr>
      </w:pPr>
      <w:bookmarkStart w:id="307" w:name="_Toc227613281"/>
      <w:bookmarkStart w:id="308" w:name="模型信息展示功能测试"/>
      <w:r>
        <w:rPr>
          <w:color w:val="auto"/>
        </w:rPr>
        <w:t>6.2.3 模型信息展示功能测试</w:t>
      </w:r>
      <w:bookmarkEnd w:id="307"/>
    </w:p>
    <w:p w14:paraId="679A1265">
      <w:pPr>
        <w:rPr>
          <w:color w:val="auto"/>
        </w:rPr>
      </w:pPr>
      <w:r>
        <w:rPr>
          <w:color w:val="auto"/>
        </w:rPr>
        <w:t>数据大屏调用 /api/model-info 后，能够正确解析最优模型名称和全部模型指标，并据此渲染统计卡片与模型对比表。由于当前保存的评估文件完整存在，因此该功能测试通过。</w:t>
      </w:r>
    </w:p>
    <w:bookmarkEnd w:id="308"/>
    <w:p w14:paraId="1CC08961">
      <w:pPr>
        <w:pStyle w:val="5"/>
        <w:rPr>
          <w:color w:val="auto"/>
        </w:rPr>
      </w:pPr>
      <w:bookmarkStart w:id="309" w:name="_Toc227613282"/>
      <w:bookmarkStart w:id="310" w:name="统计信息读取功能测试"/>
      <w:r>
        <w:rPr>
          <w:color w:val="auto"/>
        </w:rPr>
        <w:t>6.2.4 统计信息读取功能测试</w:t>
      </w:r>
      <w:bookmarkEnd w:id="309"/>
    </w:p>
    <w:p w14:paraId="21631C2A">
      <w:pPr>
        <w:rPr>
          <w:color w:val="auto"/>
        </w:rPr>
      </w:pPr>
      <w:r>
        <w:rPr>
          <w:color w:val="auto"/>
        </w:rPr>
        <w:t>调用 /api/stats 后，系统可以成功返回基础统计、类别分布和异常值检测信息。该结果验证了数据探索模块输出与接口层读取逻辑的一致性。</w:t>
      </w:r>
    </w:p>
    <w:bookmarkEnd w:id="310"/>
    <w:p w14:paraId="723C4D7F">
      <w:pPr>
        <w:pStyle w:val="5"/>
        <w:rPr>
          <w:color w:val="auto"/>
        </w:rPr>
      </w:pPr>
      <w:bookmarkStart w:id="311" w:name="_Toc227613283"/>
      <w:bookmarkStart w:id="312" w:name="可视化图表访问功能测试"/>
      <w:r>
        <w:rPr>
          <w:color w:val="auto"/>
        </w:rPr>
        <w:t>6.2.5 可视化图表访问功能测试</w:t>
      </w:r>
      <w:bookmarkEnd w:id="311"/>
    </w:p>
    <w:p w14:paraId="0E7603F7">
      <w:pPr>
        <w:rPr>
          <w:color w:val="auto"/>
        </w:rPr>
      </w:pPr>
      <w:r>
        <w:rPr>
          <w:color w:val="auto"/>
        </w:rPr>
        <w:t>前端页面可成功访问 model_comparison.png、class_distribution.png、feature_distributions.png 和 correlation_matrix.png 等资源。图像加载失败时，页面显示空状态而不会出现异常中断，说明图像访问机制具备基本鲁棒性。</w:t>
      </w:r>
    </w:p>
    <w:bookmarkEnd w:id="302"/>
    <w:bookmarkEnd w:id="312"/>
    <w:p w14:paraId="6082D3E6">
      <w:pPr>
        <w:pStyle w:val="4"/>
        <w:rPr>
          <w:color w:val="auto"/>
        </w:rPr>
      </w:pPr>
      <w:bookmarkStart w:id="313" w:name="_Toc227613284"/>
      <w:bookmarkStart w:id="314" w:name="接口测试"/>
      <w:r>
        <w:rPr>
          <w:color w:val="auto"/>
        </w:rPr>
        <w:t>6.3 接口测试</w:t>
      </w:r>
      <w:bookmarkEnd w:id="313"/>
    </w:p>
    <w:p w14:paraId="16080F1A">
      <w:pPr>
        <w:pStyle w:val="5"/>
        <w:rPr>
          <w:color w:val="auto"/>
        </w:rPr>
      </w:pPr>
      <w:bookmarkStart w:id="315" w:name="_Toc227613285"/>
      <w:bookmarkStart w:id="316" w:name="分类预测接口测试"/>
      <w:r>
        <w:rPr>
          <w:color w:val="auto"/>
        </w:rPr>
        <w:t>6.3.1 分类预测接口测试</w:t>
      </w:r>
      <w:bookmarkEnd w:id="315"/>
    </w:p>
    <w:p w14:paraId="4E38052D">
      <w:pPr>
        <w:rPr>
          <w:color w:val="auto"/>
        </w:rPr>
      </w:pPr>
      <w:r>
        <w:rPr>
          <w:color w:val="auto"/>
        </w:rPr>
        <w:t>预测接口测试涵盖正常请求与异常请求两类情况。正常请求返回 success、prediction、confidence 和 top_3_predictions 字段；缺少必填字段时返回 400 状态码与明确错误信息。该行为与自动化测试脚本 tests/test_api.py 中的预期一致。</w:t>
      </w:r>
    </w:p>
    <w:bookmarkEnd w:id="316"/>
    <w:p w14:paraId="562B7A0B">
      <w:pPr>
        <w:pStyle w:val="5"/>
        <w:rPr>
          <w:color w:val="auto"/>
        </w:rPr>
      </w:pPr>
      <w:bookmarkStart w:id="317" w:name="_Toc227613286"/>
      <w:bookmarkStart w:id="318" w:name="特征说明接口测试"/>
      <w:r>
        <w:rPr>
          <w:color w:val="auto"/>
        </w:rPr>
        <w:t>6.3.2 特征说明接口测试</w:t>
      </w:r>
      <w:bookmarkEnd w:id="317"/>
    </w:p>
    <w:p w14:paraId="5CF5EB02">
      <w:pPr>
        <w:rPr>
          <w:color w:val="auto"/>
        </w:rPr>
      </w:pPr>
      <w:r>
        <w:rPr>
          <w:color w:val="auto"/>
        </w:rPr>
        <w:t>/api/features 接口实测返回 7 个特征说明对象和目标字段 species，内容与前端表单字段保持一致。这说明接口能够作为前后端表单约束的一致性来源。</w:t>
      </w:r>
    </w:p>
    <w:bookmarkEnd w:id="318"/>
    <w:p w14:paraId="6145A4F5">
      <w:pPr>
        <w:pStyle w:val="5"/>
        <w:rPr>
          <w:color w:val="auto"/>
        </w:rPr>
      </w:pPr>
      <w:bookmarkStart w:id="319" w:name="_Toc227613287"/>
      <w:bookmarkStart w:id="320" w:name="模型信息接口测试"/>
      <w:r>
        <w:rPr>
          <w:color w:val="auto"/>
        </w:rPr>
        <w:t>6.3.3 模型信息接口测试</w:t>
      </w:r>
      <w:bookmarkEnd w:id="319"/>
    </w:p>
    <w:p w14:paraId="47D64729">
      <w:pPr>
        <w:rPr>
          <w:color w:val="auto"/>
        </w:rPr>
      </w:pPr>
      <w:r>
        <w:rPr>
          <w:color w:val="auto"/>
        </w:rPr>
        <w:t>/api/model-info 在模型评估报告存在时返回 200 状态码和完整模型评价 JSON；当报告缺失时则按设计返回 404。当前归档环境中该接口测试结果为成功返回。</w:t>
      </w:r>
    </w:p>
    <w:bookmarkEnd w:id="320"/>
    <w:p w14:paraId="0274C8EA">
      <w:pPr>
        <w:pStyle w:val="5"/>
        <w:rPr>
          <w:color w:val="auto"/>
        </w:rPr>
      </w:pPr>
      <w:bookmarkStart w:id="321" w:name="_Toc227613288"/>
      <w:bookmarkStart w:id="322" w:name="统计信息接口测试"/>
      <w:r>
        <w:rPr>
          <w:color w:val="auto"/>
        </w:rPr>
        <w:t>6.3.4 统计信息接口测试</w:t>
      </w:r>
      <w:bookmarkEnd w:id="321"/>
    </w:p>
    <w:p w14:paraId="554C6464">
      <w:pPr>
        <w:rPr>
          <w:color w:val="auto"/>
        </w:rPr>
      </w:pPr>
      <w:r>
        <w:rPr>
          <w:color w:val="auto"/>
        </w:rPr>
        <w:t>/api/stats 能够在统计报告存在时返回 200 状态码和探索报告对象，否则返回 404。该接口的行为简单且清晰，符合静态统计资源读取型接口的设计目标。</w:t>
      </w:r>
    </w:p>
    <w:bookmarkEnd w:id="314"/>
    <w:bookmarkEnd w:id="322"/>
    <w:p w14:paraId="6EB430B0">
      <w:pPr>
        <w:pStyle w:val="4"/>
        <w:rPr>
          <w:color w:val="auto"/>
        </w:rPr>
      </w:pPr>
      <w:bookmarkStart w:id="323" w:name="_Toc227613289"/>
      <w:bookmarkStart w:id="324" w:name="模型实验结果分析"/>
      <w:r>
        <w:rPr>
          <w:color w:val="auto"/>
        </w:rPr>
        <w:t>6.4 模型实验结果分析</w:t>
      </w:r>
      <w:bookmarkEnd w:id="323"/>
    </w:p>
    <w:p w14:paraId="11BCB10C">
      <w:pPr>
        <w:pStyle w:val="5"/>
        <w:rPr>
          <w:color w:val="auto"/>
        </w:rPr>
      </w:pPr>
      <w:bookmarkStart w:id="325" w:name="_Toc227613290"/>
      <w:bookmarkStart w:id="326" w:name="多模型性能对比分析"/>
      <w:r>
        <w:rPr>
          <w:color w:val="auto"/>
        </w:rPr>
        <w:t>6.4.1 多模型性能对比分析</w:t>
      </w:r>
      <w:bookmarkEnd w:id="325"/>
    </w:p>
    <w:p w14:paraId="0EE0DC6C">
      <w:pPr>
        <w:rPr>
          <w:color w:val="auto"/>
        </w:rPr>
      </w:pPr>
      <w:r>
        <w:rPr>
          <w:color w:val="auto"/>
        </w:rPr>
        <w:t>候选模型总体性能见表5-1。随机森林与 XGBoost 在总体准确率上分别达到 0.4215 与 0.4015，明显优于 SVM 和 KNN；从宏平均 F1 看，XGBoost 以 0.3237 略高于随机森林的 0.3226；从 Top-3 准确率看，XGBoost 以 0.7230 位居第一。综合说明，XGBoost 在兼顾头部类别识别和长尾类别均衡方面表现更优。</w:t>
      </w:r>
    </w:p>
    <w:bookmarkEnd w:id="326"/>
    <w:p w14:paraId="6374E483">
      <w:pPr>
        <w:pStyle w:val="5"/>
        <w:rPr>
          <w:color w:val="auto"/>
        </w:rPr>
      </w:pPr>
      <w:bookmarkStart w:id="327" w:name="_Toc227613291"/>
      <w:bookmarkStart w:id="328" w:name="宏平均-f1-指标分析"/>
      <w:r>
        <w:rPr>
          <w:color w:val="auto"/>
        </w:rPr>
        <w:t>6.4.2 宏平均 F1 指标分析</w:t>
      </w:r>
      <w:bookmarkEnd w:id="327"/>
    </w:p>
    <w:p w14:paraId="166F6828">
      <w:pPr>
        <w:rPr>
          <w:color w:val="auto"/>
        </w:rPr>
      </w:pPr>
      <w:r>
        <w:rPr>
          <w:color w:val="auto"/>
        </w:rPr>
        <w:t>宏平均 F1 是当前系统最关注的指标，因为该任务存在显著长尾类别结构。在四类模型中，SVM 的宏平均 F1 仅为 0.1248，KNN 为 0.1827，而树模型均超过 0.32。这意味着树模型更善于从离散特征与非线性边界中提取信息，也更适合当前物种分类任务。</w:t>
      </w:r>
    </w:p>
    <w:bookmarkEnd w:id="328"/>
    <w:p w14:paraId="4AFB95F4">
      <w:pPr>
        <w:pStyle w:val="5"/>
        <w:rPr>
          <w:color w:val="auto"/>
        </w:rPr>
      </w:pPr>
      <w:bookmarkStart w:id="329" w:name="_Toc227613292"/>
      <w:bookmarkStart w:id="330" w:name="top-3-准确率分析"/>
      <w:r>
        <w:rPr>
          <w:color w:val="auto"/>
        </w:rPr>
        <w:t>6.4.3 Top-3 准确率分析</w:t>
      </w:r>
      <w:bookmarkEnd w:id="329"/>
    </w:p>
    <w:p w14:paraId="30B4A029">
      <w:pPr>
        <w:rPr>
          <w:color w:val="auto"/>
        </w:rPr>
      </w:pPr>
      <w:r>
        <w:rPr>
          <w:color w:val="auto"/>
        </w:rPr>
        <w:t>四类模型的 Top-3 准确率均高于对应的准确率，且 XGBoost 达到 0.7230，随机森林达到 0.7165。该结果说明，尽管单一类别预测仍存在不确定性，但模型通常能够将真实物种纳入前三候选集合。在实际辅助判别场景中，这一性质具有较高应用价值。</w:t>
      </w:r>
    </w:p>
    <w:bookmarkEnd w:id="330"/>
    <w:p w14:paraId="1C711BAA">
      <w:pPr>
        <w:pStyle w:val="5"/>
        <w:rPr>
          <w:color w:val="auto"/>
        </w:rPr>
      </w:pPr>
      <w:bookmarkStart w:id="331" w:name="_Toc227613293"/>
      <w:bookmarkStart w:id="332" w:name="unknown-预测占比分析"/>
      <w:r>
        <w:rPr>
          <w:color w:val="auto"/>
        </w:rPr>
        <w:t>6.4.4 Unknown 预测占比分析</w:t>
      </w:r>
      <w:bookmarkEnd w:id="331"/>
    </w:p>
    <w:p w14:paraId="3A3F0946">
      <w:pPr>
        <w:rPr>
          <w:color w:val="auto"/>
        </w:rPr>
      </w:pPr>
      <w:r>
        <w:rPr>
          <w:color w:val="auto"/>
        </w:rPr>
        <w:t>未知预测占比直接影响系统的实用性。当前四类模型中，SVM 的未知预测占比几乎为零，表明其几乎不会输出 Unknown；KNN 则达到 0.1595，说明其更容易将样本吸附到 Unknown 类；随机森林与 XGBoost 分别为 0.0585 与 0.0415，处于较为合理的区间。结合已知类准确率可知，XGBoost 以较低 Unknown 占比保持了 0.4531 的已知类准确率，体现出较好的平衡能力。</w:t>
      </w:r>
    </w:p>
    <w:bookmarkEnd w:id="332"/>
    <w:p w14:paraId="1F5384F8">
      <w:pPr>
        <w:pStyle w:val="5"/>
        <w:rPr>
          <w:color w:val="auto"/>
        </w:rPr>
      </w:pPr>
      <w:bookmarkStart w:id="333" w:name="_Toc227613294"/>
      <w:bookmarkStart w:id="334" w:name="已知类别识别效果分析"/>
      <w:r>
        <w:rPr>
          <w:color w:val="auto"/>
        </w:rPr>
        <w:t>6.4.5 已知类别识别效果分析</w:t>
      </w:r>
      <w:bookmarkEnd w:id="333"/>
    </w:p>
    <w:p w14:paraId="6220DCF5">
      <w:pPr>
        <w:rPr>
          <w:color w:val="auto"/>
        </w:rPr>
      </w:pPr>
      <w:r>
        <w:rPr>
          <w:color w:val="auto"/>
        </w:rPr>
        <w:t>已知类准确率是衡量系统是否真正服务于具体物种识别的重要指标。随机森林的已知类准确率为 0.4613，略高于 XGBoost 的 0.4531；但考虑到 XGBoost 的平衡准确率和宏平均 F1 更高，因此其对头尾类别的综合辨识更均衡。换言之，随机森林在头部类上略有优势，而 XGBoost 在整体类别公平性上更具优势。</w:t>
      </w:r>
    </w:p>
    <w:bookmarkEnd w:id="324"/>
    <w:bookmarkEnd w:id="334"/>
    <w:p w14:paraId="21C98C0E">
      <w:pPr>
        <w:pStyle w:val="4"/>
        <w:rPr>
          <w:color w:val="auto"/>
        </w:rPr>
      </w:pPr>
      <w:bookmarkStart w:id="335" w:name="_Toc227613295"/>
      <w:bookmarkStart w:id="336" w:name="参数对比实验分析"/>
      <w:r>
        <w:rPr>
          <w:color w:val="auto"/>
        </w:rPr>
        <w:t>6.5 参数对比实验分析</w:t>
      </w:r>
      <w:bookmarkEnd w:id="335"/>
    </w:p>
    <w:p w14:paraId="4C0EC1E3">
      <w:pPr>
        <w:pStyle w:val="5"/>
        <w:rPr>
          <w:color w:val="auto"/>
        </w:rPr>
      </w:pPr>
      <w:bookmarkStart w:id="337" w:name="_Toc227613296"/>
      <w:bookmarkStart w:id="338" w:name="unknown-占比上限实验设计"/>
      <w:r>
        <w:rPr>
          <w:color w:val="auto"/>
        </w:rPr>
        <w:t>6.5.1 Unknown 占比上限实验设计</w:t>
      </w:r>
      <w:bookmarkEnd w:id="337"/>
    </w:p>
    <w:p w14:paraId="6D310245">
      <w:pPr>
        <w:rPr>
          <w:color w:val="auto"/>
        </w:rPr>
      </w:pPr>
      <w:r>
        <w:rPr>
          <w:color w:val="auto"/>
        </w:rPr>
        <w:t>为分析 Unknown 类比例控制对模型表现的影响，系统提供 experiments/unknown_cap_sweep.py 脚本，对 0.15、0.20 和 0.25 三档 Unknown 占比上限进行对比实验。该实验保持数据路径、随机种子和评估方式一致，仅改变 Unknown 下采样强度，并记录每档配置下最优模型的核心指标。</w:t>
      </w:r>
    </w:p>
    <w:bookmarkEnd w:id="338"/>
    <w:p w14:paraId="0C3104FC">
      <w:pPr>
        <w:pStyle w:val="5"/>
        <w:rPr>
          <w:color w:val="auto"/>
        </w:rPr>
      </w:pPr>
      <w:bookmarkStart w:id="339" w:name="_Toc227613297"/>
      <w:bookmarkStart w:id="340" w:name="不同占比参数下的结果对比"/>
      <w:r>
        <w:rPr>
          <w:color w:val="auto"/>
        </w:rPr>
        <w:t>6.5.2 不同占比参数下的结果对比</w:t>
      </w:r>
      <w:bookmarkEnd w:id="339"/>
    </w:p>
    <w:p w14:paraId="4F98EB06">
      <w:pPr>
        <w:rPr>
          <w:color w:val="auto"/>
        </w:rPr>
      </w:pPr>
      <w:r>
        <w:rPr>
          <w:color w:val="auto"/>
        </w:rPr>
        <w:t>实验结果如表6-2和图6-1所示。</w:t>
      </w:r>
    </w:p>
    <w:p w14:paraId="387D16DA">
      <w:pPr>
        <w:pStyle w:val="20"/>
        <w:rPr>
          <w:color w:val="auto"/>
        </w:rPr>
      </w:pPr>
      <w:r>
        <w:rPr>
          <w:color w:val="auto"/>
        </w:rPr>
        <w:t>表6-2 Unknown 占比上限参数对比结果</w:t>
      </w:r>
      <w:r>
        <w:rPr>
          <w:color w:val="auto"/>
        </w:rPr>
        <w:br w:type="textWrapping"/>
      </w:r>
    </w:p>
    <w:tbl>
      <w:tblPr>
        <w:tblStyle w:val="41"/>
        <w:tblW w:w="7500"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0"/>
        <w:gridCol w:w="2757"/>
        <w:gridCol w:w="1873"/>
      </w:tblGrid>
      <w:tr w14:paraId="4420F45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jc w:val="center"/>
        </w:trPr>
        <w:tc>
          <w:tcPr>
            <w:tcW w:w="0" w:type="auto"/>
            <w:tcBorders>
              <w:bottom w:val="single" w:color="DEE0E3" w:sz="6" w:space="0"/>
              <w:right w:val="single" w:color="DEE0E3" w:sz="6" w:space="0"/>
            </w:tcBorders>
            <w:shd w:val="clear" w:color="auto" w:fill="auto"/>
            <w:tcMar>
              <w:top w:w="120" w:type="dxa"/>
              <w:left w:w="120" w:type="dxa"/>
              <w:bottom w:w="120" w:type="dxa"/>
              <w:right w:w="120" w:type="dxa"/>
            </w:tcMar>
            <w:vAlign w:val="top"/>
          </w:tcPr>
          <w:p w14:paraId="3FAF4DD5">
            <w:pPr>
              <w:pStyle w:val="20"/>
              <w:rPr>
                <w:color w:val="auto"/>
              </w:rPr>
            </w:pPr>
            <w:r>
              <w:rPr>
                <w:color w:val="auto"/>
                <w:lang w:val="en-US" w:eastAsia="zh-CN"/>
              </w:rPr>
              <w:t>Unknown 上限</w:t>
            </w:r>
          </w:p>
        </w:tc>
        <w:tc>
          <w:tcPr>
            <w:tcW w:w="0" w:type="auto"/>
            <w:tcBorders>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D46A5B5">
            <w:pPr>
              <w:pStyle w:val="20"/>
              <w:rPr>
                <w:color w:val="auto"/>
              </w:rPr>
            </w:pPr>
            <w:r>
              <w:rPr>
                <w:color w:val="auto"/>
                <w:lang w:val="en-US" w:eastAsia="zh-CN"/>
              </w:rPr>
              <w:t>模型</w:t>
            </w:r>
          </w:p>
        </w:tc>
        <w:tc>
          <w:tcPr>
            <w:tcW w:w="0" w:type="auto"/>
            <w:tcBorders>
              <w:left w:val="single" w:color="DEE0E3" w:sz="6" w:space="0"/>
              <w:bottom w:val="single" w:color="DEE0E3" w:sz="6" w:space="0"/>
            </w:tcBorders>
            <w:shd w:val="clear" w:color="auto" w:fill="auto"/>
            <w:tcMar>
              <w:top w:w="120" w:type="dxa"/>
              <w:left w:w="120" w:type="dxa"/>
              <w:bottom w:w="120" w:type="dxa"/>
              <w:right w:w="120" w:type="dxa"/>
            </w:tcMar>
            <w:vAlign w:val="top"/>
          </w:tcPr>
          <w:p w14:paraId="504F5003">
            <w:pPr>
              <w:pStyle w:val="20"/>
              <w:rPr>
                <w:color w:val="auto"/>
              </w:rPr>
            </w:pPr>
            <w:r>
              <w:rPr>
                <w:color w:val="auto"/>
                <w:lang w:val="en-US" w:eastAsia="zh-CN"/>
              </w:rPr>
              <w:t>准确率</w:t>
            </w:r>
          </w:p>
        </w:tc>
      </w:tr>
      <w:tr w14:paraId="600617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jc w:val="center"/>
        </w:trPr>
        <w:tc>
          <w:tcPr>
            <w:tcW w:w="0" w:type="auto"/>
            <w:tcBorders>
              <w:top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8EFEA96">
            <w:pPr>
              <w:pStyle w:val="20"/>
              <w:rPr>
                <w:color w:val="auto"/>
              </w:rPr>
            </w:pPr>
            <w:r>
              <w:rPr>
                <w:color w:val="auto"/>
                <w:lang w:val="en-US" w:eastAsia="zh-CN"/>
              </w:rPr>
              <w:t>0.25</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46D3476">
            <w:pPr>
              <w:pStyle w:val="20"/>
              <w:rPr>
                <w:color w:val="auto"/>
              </w:rPr>
            </w:pPr>
            <w:r>
              <w:rPr>
                <w:color w:val="auto"/>
                <w:lang w:val="en-US" w:eastAsia="zh-CN"/>
              </w:rPr>
              <w:t>xgboost</w:t>
            </w:r>
          </w:p>
        </w:tc>
        <w:tc>
          <w:tcPr>
            <w:tcW w:w="0" w:type="auto"/>
            <w:tcBorders>
              <w:top w:val="single" w:color="DEE0E3" w:sz="6" w:space="0"/>
              <w:left w:val="single" w:color="DEE0E3" w:sz="6" w:space="0"/>
              <w:bottom w:val="single" w:color="DEE0E3" w:sz="6" w:space="0"/>
            </w:tcBorders>
            <w:shd w:val="clear" w:color="auto" w:fill="auto"/>
            <w:tcMar>
              <w:top w:w="120" w:type="dxa"/>
              <w:left w:w="120" w:type="dxa"/>
              <w:bottom w:w="120" w:type="dxa"/>
              <w:right w:w="120" w:type="dxa"/>
            </w:tcMar>
            <w:vAlign w:val="top"/>
          </w:tcPr>
          <w:p w14:paraId="699F0437">
            <w:pPr>
              <w:pStyle w:val="20"/>
              <w:rPr>
                <w:color w:val="auto"/>
              </w:rPr>
            </w:pPr>
            <w:r>
              <w:rPr>
                <w:color w:val="auto"/>
                <w:lang w:val="en-US" w:eastAsia="zh-CN"/>
              </w:rPr>
              <w:t>0.4000</w:t>
            </w:r>
          </w:p>
        </w:tc>
      </w:tr>
      <w:tr w14:paraId="4F576D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jc w:val="center"/>
        </w:trPr>
        <w:tc>
          <w:tcPr>
            <w:tcW w:w="0" w:type="auto"/>
            <w:tcBorders>
              <w:top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FA1DFF8">
            <w:pPr>
              <w:pStyle w:val="20"/>
              <w:rPr>
                <w:color w:val="auto"/>
              </w:rPr>
            </w:pPr>
            <w:r>
              <w:rPr>
                <w:color w:val="auto"/>
                <w:lang w:val="en-US" w:eastAsia="zh-CN"/>
              </w:rPr>
              <w:t>0.15</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51BFC2C">
            <w:pPr>
              <w:pStyle w:val="20"/>
              <w:rPr>
                <w:color w:val="auto"/>
              </w:rPr>
            </w:pPr>
            <w:r>
              <w:rPr>
                <w:color w:val="auto"/>
                <w:lang w:val="en-US" w:eastAsia="zh-CN"/>
              </w:rPr>
              <w:t>random_forest</w:t>
            </w:r>
          </w:p>
        </w:tc>
        <w:tc>
          <w:tcPr>
            <w:tcW w:w="0" w:type="auto"/>
            <w:tcBorders>
              <w:top w:val="single" w:color="DEE0E3" w:sz="6" w:space="0"/>
              <w:left w:val="single" w:color="DEE0E3" w:sz="6" w:space="0"/>
              <w:bottom w:val="single" w:color="DEE0E3" w:sz="6" w:space="0"/>
            </w:tcBorders>
            <w:shd w:val="clear" w:color="auto" w:fill="auto"/>
            <w:tcMar>
              <w:top w:w="120" w:type="dxa"/>
              <w:left w:w="120" w:type="dxa"/>
              <w:bottom w:w="120" w:type="dxa"/>
              <w:right w:w="120" w:type="dxa"/>
            </w:tcMar>
            <w:vAlign w:val="top"/>
          </w:tcPr>
          <w:p w14:paraId="564E62E3">
            <w:pPr>
              <w:pStyle w:val="20"/>
              <w:rPr>
                <w:color w:val="auto"/>
              </w:rPr>
            </w:pPr>
            <w:r>
              <w:rPr>
                <w:color w:val="auto"/>
                <w:lang w:val="en-US" w:eastAsia="zh-CN"/>
              </w:rPr>
              <w:t>0.4270</w:t>
            </w:r>
          </w:p>
        </w:tc>
      </w:tr>
      <w:tr w14:paraId="1F0924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jc w:val="center"/>
        </w:trPr>
        <w:tc>
          <w:tcPr>
            <w:tcW w:w="0" w:type="auto"/>
            <w:tcBorders>
              <w:top w:val="single" w:color="DEE0E3" w:sz="6" w:space="0"/>
              <w:right w:val="single" w:color="DEE0E3" w:sz="6" w:space="0"/>
            </w:tcBorders>
            <w:shd w:val="clear" w:color="auto" w:fill="auto"/>
            <w:tcMar>
              <w:top w:w="120" w:type="dxa"/>
              <w:left w:w="120" w:type="dxa"/>
              <w:bottom w:w="120" w:type="dxa"/>
              <w:right w:w="120" w:type="dxa"/>
            </w:tcMar>
            <w:vAlign w:val="top"/>
          </w:tcPr>
          <w:p w14:paraId="10606067">
            <w:pPr>
              <w:pStyle w:val="20"/>
              <w:rPr>
                <w:color w:val="auto"/>
              </w:rPr>
            </w:pPr>
            <w:r>
              <w:rPr>
                <w:color w:val="auto"/>
                <w:lang w:val="en-US" w:eastAsia="zh-CN"/>
              </w:rPr>
              <w:t>0.20</w:t>
            </w:r>
          </w:p>
        </w:tc>
        <w:tc>
          <w:tcPr>
            <w:tcW w:w="0" w:type="auto"/>
            <w:tcBorders>
              <w:top w:val="single" w:color="DEE0E3" w:sz="6" w:space="0"/>
              <w:left w:val="single" w:color="DEE0E3" w:sz="6" w:space="0"/>
              <w:right w:val="single" w:color="DEE0E3" w:sz="6" w:space="0"/>
            </w:tcBorders>
            <w:shd w:val="clear" w:color="auto" w:fill="auto"/>
            <w:tcMar>
              <w:top w:w="120" w:type="dxa"/>
              <w:left w:w="120" w:type="dxa"/>
              <w:bottom w:w="120" w:type="dxa"/>
              <w:right w:w="120" w:type="dxa"/>
            </w:tcMar>
            <w:vAlign w:val="top"/>
          </w:tcPr>
          <w:p w14:paraId="44E9502F">
            <w:pPr>
              <w:pStyle w:val="20"/>
              <w:rPr>
                <w:color w:val="auto"/>
              </w:rPr>
            </w:pPr>
            <w:r>
              <w:rPr>
                <w:color w:val="auto"/>
                <w:lang w:val="en-US" w:eastAsia="zh-CN"/>
              </w:rPr>
              <w:t>xgboost</w:t>
            </w:r>
          </w:p>
        </w:tc>
        <w:tc>
          <w:tcPr>
            <w:tcW w:w="0" w:type="auto"/>
            <w:tcBorders>
              <w:top w:val="single" w:color="DEE0E3" w:sz="6" w:space="0"/>
              <w:left w:val="single" w:color="DEE0E3" w:sz="6" w:space="0"/>
            </w:tcBorders>
            <w:shd w:val="clear" w:color="auto" w:fill="auto"/>
            <w:tcMar>
              <w:top w:w="120" w:type="dxa"/>
              <w:left w:w="120" w:type="dxa"/>
              <w:bottom w:w="120" w:type="dxa"/>
              <w:right w:w="120" w:type="dxa"/>
            </w:tcMar>
            <w:vAlign w:val="top"/>
          </w:tcPr>
          <w:p w14:paraId="753F5430">
            <w:pPr>
              <w:pStyle w:val="20"/>
              <w:rPr>
                <w:color w:val="auto"/>
              </w:rPr>
            </w:pPr>
            <w:r>
              <w:rPr>
                <w:color w:val="auto"/>
                <w:lang w:val="en-US" w:eastAsia="zh-CN"/>
              </w:rPr>
              <w:t>0.4015</w:t>
            </w:r>
          </w:p>
        </w:tc>
      </w:tr>
    </w:tbl>
    <w:p w14:paraId="1212A809">
      <w:pPr>
        <w:pStyle w:val="20"/>
        <w:rPr>
          <w:color w:val="auto"/>
        </w:rPr>
      </w:pPr>
    </w:p>
    <w:p w14:paraId="31E28296">
      <w:pPr>
        <w:rPr>
          <w:color w:val="auto"/>
        </w:rPr>
      </w:pPr>
      <w:r>
        <w:rPr>
          <w:color w:val="auto"/>
        </w:rPr>
        <w:drawing>
          <wp:inline distT="0" distB="0" distL="0" distR="0">
            <wp:extent cx="4906010" cy="2670175"/>
            <wp:effectExtent l="0" t="0" r="0" b="0"/>
            <wp:docPr id="212" name="Picture" descr="图6-1 Unknown 占比上限参数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descr="图6-1 Unknown 占比上限参数实验结果"/>
                    <pic:cNvPicPr>
                      <a:picLocks noChangeAspect="1" noChangeArrowheads="1"/>
                    </pic:cNvPicPr>
                  </pic:nvPicPr>
                  <pic:blipFill>
                    <a:blip r:embed="rId13"/>
                    <a:stretch>
                      <a:fillRect/>
                    </a:stretch>
                  </pic:blipFill>
                  <pic:spPr>
                    <a:xfrm>
                      <a:off x="0" y="0"/>
                      <a:ext cx="4906264" cy="2670612"/>
                    </a:xfrm>
                    <a:prstGeom prst="rect">
                      <a:avLst/>
                    </a:prstGeom>
                    <a:noFill/>
                    <a:ln w="9525">
                      <a:noFill/>
                    </a:ln>
                  </pic:spPr>
                </pic:pic>
              </a:graphicData>
            </a:graphic>
          </wp:inline>
        </w:drawing>
      </w:r>
    </w:p>
    <w:p w14:paraId="59B882B7">
      <w:pPr>
        <w:rPr>
          <w:color w:val="auto"/>
        </w:rPr>
      </w:pPr>
      <w:r>
        <w:rPr>
          <w:color w:val="auto"/>
        </w:rPr>
        <w:t>图6-1 Unknown 占比上限参数实验结果</w:t>
      </w:r>
    </w:p>
    <w:p w14:paraId="167B9899">
      <w:pPr>
        <w:pStyle w:val="20"/>
        <w:rPr>
          <w:color w:val="auto"/>
        </w:rPr>
      </w:pPr>
      <w:r>
        <w:rPr>
          <w:color w:val="auto"/>
        </w:rPr>
        <w:t>结果显示，当占比上限从 0.15 提升到 0.25 时，宏平均 F1 从 0.3327 提升到 0.3689，平衡准确率从 0.3871 提升到 0.4672，说明适度保留更多 Unknown 样本有利于类别边界学习。与此同时，0.25 配置下准确率略低于 0.15，但已知类准确率反而提升至 0.4693，表明模型没有因引入更多 Unknown 样本而明显牺牲已知类识别能力。</w:t>
      </w:r>
    </w:p>
    <w:bookmarkEnd w:id="340"/>
    <w:p w14:paraId="1E99F190">
      <w:pPr>
        <w:pStyle w:val="5"/>
        <w:rPr>
          <w:color w:val="auto"/>
        </w:rPr>
      </w:pPr>
      <w:bookmarkStart w:id="341" w:name="_Toc227613298"/>
      <w:bookmarkStart w:id="342" w:name="推荐参数分析"/>
      <w:r>
        <w:rPr>
          <w:color w:val="auto"/>
        </w:rPr>
        <w:t>6.5.3 推荐参数分析</w:t>
      </w:r>
      <w:bookmarkEnd w:id="341"/>
    </w:p>
    <w:p w14:paraId="12D4DBD6">
      <w:pPr>
        <w:rPr>
          <w:color w:val="auto"/>
        </w:rPr>
      </w:pPr>
      <w:r>
        <w:rPr>
          <w:color w:val="auto"/>
        </w:rPr>
        <w:t>若以宏平均 F1 和平衡准确率为优先目标，则当前实验推荐参数为 unknown_cap_ratio=0.25，对应最优模型仍为 XGBoost。若以总体准确率为优先目标，则 0.15 配置下随机森林略占优势。因此，不同应用场景下的推荐参数存在差异。考虑到本文更关注类别均衡性与辅助判别能力，0.25 可作为更合理的推荐值。</w:t>
      </w:r>
    </w:p>
    <w:p w14:paraId="0B024EE7">
      <w:pPr>
        <w:pStyle w:val="20"/>
        <w:rPr>
          <w:color w:val="auto"/>
        </w:rPr>
      </w:pPr>
      <w:r>
        <w:rPr>
          <w:color w:val="auto"/>
        </w:rPr>
        <w:t>此外，将 baseline_analysis.py 输出与当前主实验结果比较可发现，系统通过类别治理和多模型对比显著降低了 Unknown 类偏置。基线结果中 Unknown 预测占比高达 0.5230，而当前最优 XGBoost 模型已降至 0.0415；宏平均 F1 也由 0.2606 提升至 0.3237。这说明 Unknown 占比约束与多模型选择策略发挥了实际作用。</w:t>
      </w:r>
    </w:p>
    <w:bookmarkEnd w:id="336"/>
    <w:bookmarkEnd w:id="342"/>
    <w:p w14:paraId="7299A332">
      <w:pPr>
        <w:pStyle w:val="4"/>
        <w:rPr>
          <w:color w:val="auto"/>
        </w:rPr>
      </w:pPr>
      <w:bookmarkStart w:id="343" w:name="_Toc227613299"/>
      <w:bookmarkStart w:id="344" w:name="系统存在的不足"/>
      <w:r>
        <w:rPr>
          <w:color w:val="auto"/>
        </w:rPr>
        <w:t>6.6 系统存在的不足</w:t>
      </w:r>
      <w:bookmarkEnd w:id="343"/>
    </w:p>
    <w:p w14:paraId="0B16A69C">
      <w:pPr>
        <w:rPr>
          <w:color w:val="auto"/>
        </w:rPr>
      </w:pPr>
      <w:r>
        <w:rPr>
          <w:color w:val="auto"/>
        </w:rPr>
        <w:t>第一，当前归档文件缺少阶段二已知类细分类模型，因此双阶段识别虽已在训练脚本和预测接口中完成设计，但在线服务默认仍以单阶段最优模型输出结果。第二，首页统计信息采用静态卡片展示，尚未与真实评估报告动态联动。第三，当前系统使用标签编码处理分类型特征，对于某些线性模型而言可能不足以充分表达类别间关系。第四，训练模块为控制计算量采用了最多 10000 条样本的分层抽样策略，虽然能够保证实验效率，但也意味着部分有效样本未被充分利用。第五，当前系统未引入数据库与用户管理功能，在多用户协作、预测结果留痕和样本在线更新方面仍存在扩展空间。</w:t>
      </w:r>
    </w:p>
    <w:bookmarkEnd w:id="344"/>
    <w:p w14:paraId="7F026272">
      <w:pPr>
        <w:pStyle w:val="4"/>
        <w:rPr>
          <w:color w:val="auto"/>
        </w:rPr>
      </w:pPr>
      <w:bookmarkStart w:id="345" w:name="_Toc227613300"/>
      <w:bookmarkStart w:id="346" w:name="本章小结-4"/>
      <w:r>
        <w:rPr>
          <w:color w:val="auto"/>
        </w:rPr>
        <w:t>6.7 本章小结</w:t>
      </w:r>
      <w:bookmarkEnd w:id="345"/>
    </w:p>
    <w:p w14:paraId="19879CF6">
      <w:pPr>
        <w:rPr>
          <w:color w:val="auto"/>
        </w:rPr>
      </w:pPr>
      <w:r>
        <w:rPr>
          <w:color w:val="auto"/>
        </w:rPr>
        <w:t>本章通过功能测试、接口测试和模型实验分析，验证了系统在预测服务、图表展示和多模型训练方面的可运行性。实验结果表明，XGBoost 在当前配置下获得了最优综合表现，而 Unknown 占比上限参数对类别均衡性能具有显著影响。与此同时，部署态双阶段模型文件缺失和首页静态统计等问题也揭示了后续优化方向。</w:t>
      </w:r>
    </w:p>
    <w:bookmarkEnd w:id="298"/>
    <w:bookmarkEnd w:id="346"/>
    <w:p w14:paraId="029D526D">
      <w:pPr>
        <w:pStyle w:val="3"/>
        <w:rPr>
          <w:color w:val="auto"/>
        </w:rPr>
      </w:pPr>
      <w:bookmarkStart w:id="347" w:name="_Toc227613301"/>
      <w:bookmarkStart w:id="348" w:name="第7章-总结与展望"/>
      <w:r>
        <w:rPr>
          <w:color w:val="auto"/>
        </w:rPr>
        <w:t>第7章 总结与展望</w:t>
      </w:r>
      <w:bookmarkEnd w:id="347"/>
    </w:p>
    <w:p w14:paraId="686FD6E5">
      <w:pPr>
        <w:pStyle w:val="4"/>
        <w:rPr>
          <w:color w:val="auto"/>
        </w:rPr>
      </w:pPr>
      <w:bookmarkStart w:id="349" w:name="_Toc227613302"/>
      <w:bookmarkStart w:id="350" w:name="全文总结"/>
      <w:r>
        <w:rPr>
          <w:color w:val="auto"/>
        </w:rPr>
        <w:t>7.1 全文总结</w:t>
      </w:r>
      <w:bookmarkEnd w:id="349"/>
    </w:p>
    <w:p w14:paraId="2593EAFC">
      <w:pPr>
        <w:rPr>
          <w:color w:val="auto"/>
        </w:rPr>
      </w:pPr>
      <w:r>
        <w:rPr>
          <w:color w:val="auto"/>
        </w:rPr>
        <w:t>本文围绕石蝇结构化数据分类任务，完成了一个基于机器学习的石蝇分类系统的设计与实现。系统以 Flask 为后端服务框架，以 Vue 3、TypeScript 和 Element Plus 为前端展示技术，以 scikit-learn 与 XGBoost 为算法支撑，在单体工程中打通了数据探索、预处理、特征工程、模型训练、模型评估、预测服务和前端展示七类核心环节。</w:t>
      </w:r>
    </w:p>
    <w:p w14:paraId="36AA7D38">
      <w:pPr>
        <w:pStyle w:val="20"/>
        <w:rPr>
          <w:color w:val="auto"/>
        </w:rPr>
      </w:pPr>
      <w:r>
        <w:rPr>
          <w:color w:val="auto"/>
        </w:rPr>
        <w:t>训练结果表明，面对原始 99900 条样本、662 个类别且高度长尾化的数据分布，系统通过保留样本数不少于 50 的类别、控制 Unknown 类比例以及执行 LASSO 特征选择，有效降低了训练复杂度并提升了模型可用性。在四类候选模型中，XGBoost 以宏平均 F1=0.3237 的表现被选为当前最优模型，说明集成树模型在当前表格型生物分类任务中具有较强优势。配套的前端页面与 REST 接口则使训练结果具备了可访问、可展示与可演示的软件形态。</w:t>
      </w:r>
    </w:p>
    <w:p w14:paraId="4592A59C">
      <w:pPr>
        <w:pStyle w:val="20"/>
        <w:rPr>
          <w:color w:val="auto"/>
        </w:rPr>
      </w:pPr>
      <w:r>
        <w:rPr>
          <w:color w:val="auto"/>
        </w:rPr>
        <w:t>从毕业设计角度看，本文工作的价值在于将算法实验、系统设计和前后端实现有机结合，而非停留在单纯的模型精度比较层面。系统所形成的文件化持久化机制、图表化展示方式和可参数化实验脚本，能够为类似结构化分类任务提供直接参考。</w:t>
      </w:r>
    </w:p>
    <w:bookmarkEnd w:id="350"/>
    <w:p w14:paraId="25E82A77">
      <w:pPr>
        <w:pStyle w:val="4"/>
        <w:rPr>
          <w:color w:val="auto"/>
        </w:rPr>
      </w:pPr>
      <w:bookmarkStart w:id="351" w:name="_Toc227613303"/>
      <w:bookmarkStart w:id="352" w:name="研究创新点归纳"/>
      <w:r>
        <w:rPr>
          <w:color w:val="auto"/>
        </w:rPr>
        <w:t>7.2 研究创新点归纳</w:t>
      </w:r>
      <w:bookmarkEnd w:id="351"/>
    </w:p>
    <w:p w14:paraId="56B1D412">
      <w:pPr>
        <w:rPr>
          <w:color w:val="auto"/>
        </w:rPr>
      </w:pPr>
      <w:r>
        <w:rPr>
          <w:color w:val="auto"/>
        </w:rPr>
        <w:t>其一，系统围绕结构化石蝇特征数据而非图像数据构建分类流程，体现了表格型生态样本识别的工程特点。其二，系统在评价体系中引入宏平均 F1、Top-3 准确率、未知预测占比和已知类准确率等多维指标，使长尾类别任务的模型比较更具针对性。其三，系统将 Unknown 占比约束与参数扫描实验显式纳入训练流程，形成了兼顾类别均衡与工程可解释性的实验设计。其四，系统在算法模块之外实现了预测接口和可视化页面，使分类能力能够以 Web 服务形式对外提供。</w:t>
      </w:r>
    </w:p>
    <w:bookmarkEnd w:id="352"/>
    <w:p w14:paraId="7F21A342">
      <w:pPr>
        <w:pStyle w:val="4"/>
        <w:rPr>
          <w:color w:val="auto"/>
        </w:rPr>
      </w:pPr>
      <w:bookmarkStart w:id="353" w:name="_Toc227613304"/>
      <w:bookmarkStart w:id="354" w:name="后续优化方向展望"/>
      <w:r>
        <w:rPr>
          <w:color w:val="auto"/>
        </w:rPr>
        <w:t>7.3 后续优化方向展望</w:t>
      </w:r>
      <w:bookmarkEnd w:id="353"/>
    </w:p>
    <w:p w14:paraId="48810A52">
      <w:pPr>
        <w:rPr>
          <w:color w:val="auto"/>
        </w:rPr>
      </w:pPr>
      <w:r>
        <w:rPr>
          <w:color w:val="auto"/>
        </w:rPr>
        <w:t>未来可以从以下几个方向继续完善。第一，补齐双阶段模型在线部署文件，并将 routing_mode、should_review 和 fallback_prediction 等字段完整映射到前端页面，从而真正形成开放集近似识别链路。第二，引入更适合分类型特征的编码方式，如目标编码或频次编码，并结合 CatBoost 等模型进行对比，以进一步提升对离散字段的建模能力。第三，在保持轻量化前提下增加数据库或文件索引管理能力，实现预测记录保存、样本回溯和实验版本管理。第四，可结合图像信息或环境变量构建多模态输入，进一步提升复杂物种场景下的识别上限。第五，可将首页和数据大屏中的静态统计改造为完全动态读取，使界面与离线训练结果保持实时一致。</w:t>
      </w:r>
    </w:p>
    <w:bookmarkEnd w:id="348"/>
    <w:bookmarkEnd w:id="354"/>
    <w:p w14:paraId="1975C2A2">
      <w:pPr>
        <w:pStyle w:val="3"/>
        <w:rPr>
          <w:color w:val="auto"/>
        </w:rPr>
      </w:pPr>
      <w:bookmarkStart w:id="355" w:name="_Toc227613305"/>
      <w:bookmarkStart w:id="356" w:name="参考文献"/>
      <w:r>
        <w:rPr>
          <w:color w:val="auto"/>
        </w:rPr>
        <w:t>参考文献</w:t>
      </w:r>
      <w:bookmarkEnd w:id="355"/>
    </w:p>
    <w:p w14:paraId="55B88855">
      <w:pPr>
        <w:rPr>
          <w:color w:val="auto"/>
        </w:rPr>
      </w:pPr>
      <w:r>
        <w:rPr>
          <w:color w:val="auto"/>
        </w:rPr>
        <w:t>[1] Han J, Kamber M, Pei J. Data Mining: Concepts and Techniques[M]. 3rd ed. Burlington: Morgan Kaufmann, 2012.</w:t>
      </w:r>
    </w:p>
    <w:p w14:paraId="235309A9">
      <w:pPr>
        <w:pStyle w:val="20"/>
        <w:rPr>
          <w:color w:val="auto"/>
        </w:rPr>
      </w:pPr>
      <w:r>
        <w:rPr>
          <w:color w:val="auto"/>
        </w:rPr>
        <w:t>[2] Breiman L. Random Forests[J]. Machine Learning, 2001, 45(1): 5-32.</w:t>
      </w:r>
    </w:p>
    <w:p w14:paraId="43A657A2">
      <w:pPr>
        <w:pStyle w:val="20"/>
        <w:rPr>
          <w:color w:val="auto"/>
        </w:rPr>
      </w:pPr>
      <w:r>
        <w:rPr>
          <w:color w:val="auto"/>
        </w:rPr>
        <w:t>[3] Cortes C, Vapnik V. Support-Vector Networks[J]. Machine Learning, 1995, 20(3): 273-297.</w:t>
      </w:r>
    </w:p>
    <w:p w14:paraId="5F7CC761">
      <w:pPr>
        <w:pStyle w:val="20"/>
        <w:rPr>
          <w:color w:val="auto"/>
        </w:rPr>
      </w:pPr>
      <w:r>
        <w:rPr>
          <w:color w:val="auto"/>
        </w:rPr>
        <w:t>[4] Chen T, Guestrin C. XGBoost: A Scalable Tree Boosting System[C]//Proceedings of the 22nd ACM SIGKDD International Conference on Knowledge Discovery and Data Mining. New York: ACM, 2016: 785-794.</w:t>
      </w:r>
    </w:p>
    <w:p w14:paraId="50F9B2CC">
      <w:pPr>
        <w:pStyle w:val="20"/>
        <w:rPr>
          <w:color w:val="auto"/>
        </w:rPr>
      </w:pPr>
      <w:r>
        <w:rPr>
          <w:color w:val="auto"/>
        </w:rPr>
        <w:t>[5] Tibshirani R. Regression Shrinkage and Selection via the Lasso[J]. Journal of the Royal Statistical Society: Series B, 1996, 58(1): 267-288.</w:t>
      </w:r>
    </w:p>
    <w:p w14:paraId="164D1ECB">
      <w:pPr>
        <w:pStyle w:val="20"/>
        <w:rPr>
          <w:color w:val="auto"/>
        </w:rPr>
      </w:pPr>
      <w:r>
        <w:rPr>
          <w:color w:val="auto"/>
        </w:rPr>
        <w:t>[6] Jolliffe I T. Principal Component Analysis[M]. 2nd ed. New York: Springer, 2002.</w:t>
      </w:r>
    </w:p>
    <w:p w14:paraId="27A30DB1">
      <w:pPr>
        <w:pStyle w:val="20"/>
        <w:rPr>
          <w:color w:val="auto"/>
        </w:rPr>
      </w:pPr>
      <w:r>
        <w:rPr>
          <w:color w:val="auto"/>
        </w:rPr>
        <w:t>[7] Cover T, Hart P. Nearest Neighbor Pattern Classification[J]. IEEE Transactions on Information Theory, 1967, 13(1): 21-27.</w:t>
      </w:r>
    </w:p>
    <w:p w14:paraId="3550FEC4">
      <w:pPr>
        <w:pStyle w:val="20"/>
        <w:rPr>
          <w:color w:val="auto"/>
        </w:rPr>
      </w:pPr>
      <w:r>
        <w:rPr>
          <w:color w:val="auto"/>
        </w:rPr>
        <w:t>[8] Pedregosa F, Varoquaux G, Gramfort A, et al. Scikit-learn: Machine Learning in Python[J]. Journal of Machine Learning Research, 2011, 12: 2825-2830.</w:t>
      </w:r>
    </w:p>
    <w:p w14:paraId="7F4A7945">
      <w:pPr>
        <w:pStyle w:val="20"/>
        <w:rPr>
          <w:color w:val="auto"/>
        </w:rPr>
      </w:pPr>
      <w:r>
        <w:rPr>
          <w:color w:val="auto"/>
        </w:rPr>
        <w:t>[9] McKinney W. Data Structures for Statistical Computing in Python[C]//Proceedings of the 9th Python in Science Conference. Austin: SciPy, 2010: 56-61.</w:t>
      </w:r>
    </w:p>
    <w:p w14:paraId="671B44A0">
      <w:pPr>
        <w:pStyle w:val="20"/>
        <w:rPr>
          <w:color w:val="auto"/>
        </w:rPr>
      </w:pPr>
      <w:r>
        <w:rPr>
          <w:color w:val="auto"/>
        </w:rPr>
        <w:t>[10] Hunter J D. Matplotlib: A 2D Graphics Environment[J]. Computing in Science &amp; Engineering, 2007, 9(3): 90-95.</w:t>
      </w:r>
    </w:p>
    <w:p w14:paraId="1C249202">
      <w:pPr>
        <w:pStyle w:val="20"/>
        <w:rPr>
          <w:color w:val="auto"/>
        </w:rPr>
      </w:pPr>
      <w:r>
        <w:rPr>
          <w:color w:val="auto"/>
        </w:rPr>
        <w:t>[11] Grinberg M. Flask Web Development[M]. 2nd ed. Sebastopol: O’Reilly Media, 2018.</w:t>
      </w:r>
    </w:p>
    <w:p w14:paraId="42020F13">
      <w:pPr>
        <w:pStyle w:val="20"/>
        <w:rPr>
          <w:color w:val="auto"/>
        </w:rPr>
      </w:pPr>
      <w:r>
        <w:rPr>
          <w:color w:val="auto"/>
        </w:rPr>
        <w:t>[12] Vue.js Core Team. Vue.js Documentation[EB/OL].</w:t>
      </w:r>
    </w:p>
    <w:p w14:paraId="64091628">
      <w:pPr>
        <w:pStyle w:val="20"/>
        <w:rPr>
          <w:color w:val="auto"/>
        </w:rPr>
      </w:pPr>
      <w:r>
        <w:rPr>
          <w:color w:val="auto"/>
        </w:rPr>
        <w:t>[13] Element Plus Contributors. Element Plus Documentation[EB/OL].</w:t>
      </w:r>
    </w:p>
    <w:p w14:paraId="4BA3D698">
      <w:pPr>
        <w:pStyle w:val="20"/>
        <w:rPr>
          <w:color w:val="auto"/>
        </w:rPr>
      </w:pPr>
      <w:r>
        <w:rPr>
          <w:color w:val="auto"/>
        </w:rPr>
        <w:t>[14] Géron A. Hands-On Machine Learning with Scikit-Learn, Keras, and TensorFlow[M]. 3rd ed. Sebastopol: O’Reilly Media, 2022.</w:t>
      </w:r>
    </w:p>
    <w:p w14:paraId="676C6BCB">
      <w:pPr>
        <w:pStyle w:val="20"/>
        <w:rPr>
          <w:color w:val="auto"/>
        </w:rPr>
      </w:pPr>
      <w:r>
        <w:rPr>
          <w:color w:val="auto"/>
        </w:rPr>
        <w:t>[15] Kuhn M, Johnson K. Applied Predictive Modeling[M]. New York: Springer, 2013.</w:t>
      </w:r>
    </w:p>
    <w:bookmarkEnd w:id="356"/>
    <w:p w14:paraId="45703E23">
      <w:pPr>
        <w:pStyle w:val="3"/>
        <w:rPr>
          <w:color w:val="auto"/>
        </w:rPr>
      </w:pPr>
      <w:bookmarkStart w:id="357" w:name="_Toc227613306"/>
      <w:bookmarkStart w:id="358" w:name="致谢"/>
      <w:r>
        <w:rPr>
          <w:color w:val="auto"/>
        </w:rPr>
        <w:t>致谢</w:t>
      </w:r>
      <w:bookmarkEnd w:id="357"/>
    </w:p>
    <w:p w14:paraId="7E0C940F">
      <w:pPr>
        <w:rPr>
          <w:color w:val="auto"/>
        </w:rPr>
      </w:pPr>
      <w:r>
        <w:rPr>
          <w:color w:val="auto"/>
        </w:rPr>
        <w:t>在论文撰写与系统实现过程中，围绕机器学习建模、前后端联调和实验结果整理经历了较为系统的训练过程。指导教师在选题定位、章节组织和实现边界控制方面给予了重要帮助，使研究工作能够围绕真实源码与真实实验结果稳步推进。课程学习阶段所积累的数据结构、机器学习、Web 开发与软件工程知识，也为系统的完成提供了扎实基础。</w:t>
      </w:r>
    </w:p>
    <w:p w14:paraId="4399115D">
      <w:pPr>
        <w:pStyle w:val="20"/>
        <w:rPr>
          <w:color w:val="auto"/>
        </w:rPr>
      </w:pPr>
      <w:r>
        <w:rPr>
          <w:color w:val="auto"/>
        </w:rPr>
        <w:t>同时，感谢在项目调试、代码整理和实验复现过程中提供建议的同学与朋友。正是这些讨论与反馈，使系统在功能稳定性、界面可读性与论文表达方面不断完善。谨以此文对所有给予支持与帮助的人表示诚挚感谢。</w:t>
      </w:r>
      <w:bookmarkEnd w:id="358"/>
    </w:p>
    <w:sectPr>
      <w:pgSz w:w="11906" w:h="16838"/>
      <w:pgMar w:top="1417" w:right="1417" w:bottom="124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13E6"/>
    <w:rsid w:val="0029639D"/>
    <w:rsid w:val="00326F90"/>
    <w:rsid w:val="00401788"/>
    <w:rsid w:val="008F2294"/>
    <w:rsid w:val="009D6A9E"/>
    <w:rsid w:val="00AA1D8D"/>
    <w:rsid w:val="00B47730"/>
    <w:rsid w:val="00CB0664"/>
    <w:rsid w:val="00FC693F"/>
    <w:rsid w:val="02564D4B"/>
    <w:rsid w:val="158F1EF6"/>
    <w:rsid w:val="44046801"/>
    <w:rsid w:val="56F936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48"/>
    <w:qFormat/>
    <w:uiPriority w:val="9"/>
    <w:pPr>
      <w:keepNext/>
      <w:keepLines/>
      <w:spacing w:before="200" w:after="120"/>
      <w:ind w:firstLine="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9"/>
    <w:unhideWhenUsed/>
    <w:qFormat/>
    <w:uiPriority w:val="9"/>
    <w:pPr>
      <w:keepNext/>
      <w:keepLines/>
      <w:spacing w:before="200" w:after="120"/>
      <w:ind w:firstLine="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50"/>
    <w:unhideWhenUsed/>
    <w:qFormat/>
    <w:uiPriority w:val="9"/>
    <w:pPr>
      <w:keepNext/>
      <w:keepLines/>
      <w:spacing w:before="200" w:after="120"/>
      <w:ind w:firstLine="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6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semiHidden/>
    <w:unhideWhenUsed/>
    <w:qFormat/>
    <w:uiPriority w:val="1"/>
  </w:style>
  <w:style w:type="table" w:default="1" w:styleId="41">
    <w:name w:val="Normal Table"/>
    <w:semiHidden/>
    <w:unhideWhenUsed/>
    <w:uiPriority w:val="99"/>
    <w:tblPr>
      <w:tblCellMar>
        <w:top w:w="0" w:type="dxa"/>
        <w:left w:w="108" w:type="dxa"/>
        <w:bottom w:w="0" w:type="dxa"/>
        <w:right w:w="108" w:type="dxa"/>
      </w:tblCellMar>
    </w:tblPr>
  </w:style>
  <w:style w:type="paragraph" w:styleId="2">
    <w:name w:val="macro"/>
    <w:link w:val="15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uiPriority w:val="39"/>
    <w:pPr>
      <w:widowControl w:val="0"/>
      <w:spacing w:after="160" w:line="278" w:lineRule="auto"/>
      <w:ind w:left="2520" w:leftChars="1200" w:firstLine="0"/>
      <w:jc w:val="left"/>
    </w:pPr>
    <w:rPr>
      <w:rFonts w:asciiTheme="minorHAnsi" w:hAnsiTheme="minorHAnsi" w:eastAsiaTheme="minorEastAsia"/>
      <w:kern w:val="2"/>
      <w:sz w:val="22"/>
      <w:szCs w:val="24"/>
      <w:lang w:eastAsia="zh-CN"/>
      <w14:ligatures w14:val="standardContextual"/>
    </w:r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6"/>
    <w:unhideWhenUsed/>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4"/>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5"/>
    <w:basedOn w:val="1"/>
    <w:next w:val="1"/>
    <w:autoRedefine/>
    <w:unhideWhenUsed/>
    <w:uiPriority w:val="39"/>
    <w:pPr>
      <w:widowControl w:val="0"/>
      <w:spacing w:after="160" w:line="278" w:lineRule="auto"/>
      <w:ind w:left="1680" w:leftChars="800" w:firstLine="0"/>
      <w:jc w:val="left"/>
    </w:pPr>
    <w:rPr>
      <w:rFonts w:asciiTheme="minorHAnsi" w:hAnsiTheme="minorHAnsi" w:eastAsiaTheme="minorEastAsia"/>
      <w:kern w:val="2"/>
      <w:sz w:val="22"/>
      <w:szCs w:val="24"/>
      <w:lang w:eastAsia="zh-CN"/>
      <w14:ligatures w14:val="standardContextual"/>
    </w:rPr>
  </w:style>
  <w:style w:type="paragraph" w:styleId="26">
    <w:name w:val="toc 3"/>
    <w:basedOn w:val="1"/>
    <w:next w:val="1"/>
    <w:autoRedefine/>
    <w:unhideWhenUsed/>
    <w:qFormat/>
    <w:uiPriority w:val="39"/>
    <w:pPr>
      <w:ind w:left="840" w:leftChars="400"/>
    </w:pPr>
  </w:style>
  <w:style w:type="paragraph" w:styleId="27">
    <w:name w:val="toc 8"/>
    <w:basedOn w:val="1"/>
    <w:next w:val="1"/>
    <w:autoRedefine/>
    <w:unhideWhenUsed/>
    <w:uiPriority w:val="39"/>
    <w:pPr>
      <w:widowControl w:val="0"/>
      <w:spacing w:after="160" w:line="278" w:lineRule="auto"/>
      <w:ind w:left="2940" w:leftChars="1400" w:firstLine="0"/>
      <w:jc w:val="left"/>
    </w:pPr>
    <w:rPr>
      <w:rFonts w:asciiTheme="minorHAnsi" w:hAnsiTheme="minorHAnsi" w:eastAsiaTheme="minorEastAsia"/>
      <w:kern w:val="2"/>
      <w:sz w:val="22"/>
      <w:szCs w:val="24"/>
      <w:lang w:eastAsia="zh-CN"/>
      <w14:ligatures w14:val="standardContextual"/>
    </w:rPr>
  </w:style>
  <w:style w:type="paragraph" w:styleId="28">
    <w:name w:val="footer"/>
    <w:basedOn w:val="1"/>
    <w:link w:val="146"/>
    <w:unhideWhenUsed/>
    <w:uiPriority w:val="99"/>
    <w:pPr>
      <w:tabs>
        <w:tab w:val="center" w:pos="4680"/>
        <w:tab w:val="right" w:pos="9360"/>
      </w:tabs>
      <w:spacing w:line="240" w:lineRule="auto"/>
    </w:pPr>
  </w:style>
  <w:style w:type="paragraph" w:styleId="29">
    <w:name w:val="header"/>
    <w:basedOn w:val="1"/>
    <w:link w:val="145"/>
    <w:unhideWhenUsed/>
    <w:uiPriority w:val="99"/>
    <w:pPr>
      <w:tabs>
        <w:tab w:val="center" w:pos="4680"/>
        <w:tab w:val="right" w:pos="9360"/>
      </w:tabs>
      <w:spacing w:line="240" w:lineRule="auto"/>
    </w:pPr>
  </w:style>
  <w:style w:type="paragraph" w:styleId="30">
    <w:name w:val="toc 1"/>
    <w:basedOn w:val="1"/>
    <w:next w:val="1"/>
    <w:autoRedefine/>
    <w:unhideWhenUsed/>
    <w:qFormat/>
    <w:uiPriority w:val="39"/>
  </w:style>
  <w:style w:type="paragraph" w:styleId="31">
    <w:name w:val="toc 4"/>
    <w:basedOn w:val="1"/>
    <w:next w:val="1"/>
    <w:autoRedefine/>
    <w:unhideWhenUsed/>
    <w:uiPriority w:val="39"/>
    <w:pPr>
      <w:widowControl w:val="0"/>
      <w:spacing w:after="160" w:line="278" w:lineRule="auto"/>
      <w:ind w:left="1260" w:leftChars="600" w:firstLine="0"/>
      <w:jc w:val="left"/>
    </w:pPr>
    <w:rPr>
      <w:rFonts w:asciiTheme="minorHAnsi" w:hAnsiTheme="minorHAnsi" w:eastAsiaTheme="minorEastAsia"/>
      <w:kern w:val="2"/>
      <w:sz w:val="22"/>
      <w:szCs w:val="24"/>
      <w:lang w:eastAsia="zh-CN"/>
      <w14:ligatures w14:val="standardContextual"/>
    </w:rPr>
  </w:style>
  <w:style w:type="paragraph" w:styleId="32">
    <w:name w:val="Subtitle"/>
    <w:basedOn w:val="1"/>
    <w:next w:val="1"/>
    <w:link w:val="152"/>
    <w:qFormat/>
    <w:uiPriority w:val="11"/>
    <w:pPr>
      <w:ind w:firstLine="480"/>
    </w:pPr>
    <w:rPr>
      <w:rFonts w:asciiTheme="majorHAnsi" w:hAnsiTheme="majorHAnsi" w:eastAsiaTheme="majorEastAsia" w:cstheme="majorBidi"/>
      <w:i/>
      <w:iCs/>
      <w:color w:val="4F81BD" w:themeColor="accent1"/>
      <w:spacing w:val="15"/>
      <w:sz w:val="28"/>
      <w:szCs w:val="24"/>
      <w14:textFill>
        <w14:solidFill>
          <w14:schemeClr w14:val="accent1"/>
        </w14:solidFill>
      </w14:textFill>
    </w:rPr>
  </w:style>
  <w:style w:type="paragraph" w:styleId="33">
    <w:name w:val="List"/>
    <w:basedOn w:val="1"/>
    <w:unhideWhenUsed/>
    <w:uiPriority w:val="99"/>
    <w:pPr>
      <w:ind w:left="360" w:hanging="360"/>
      <w:contextualSpacing/>
    </w:pPr>
  </w:style>
  <w:style w:type="paragraph" w:styleId="34">
    <w:name w:val="toc 6"/>
    <w:basedOn w:val="1"/>
    <w:next w:val="1"/>
    <w:autoRedefine/>
    <w:unhideWhenUsed/>
    <w:uiPriority w:val="39"/>
    <w:pPr>
      <w:widowControl w:val="0"/>
      <w:spacing w:after="160" w:line="278" w:lineRule="auto"/>
      <w:ind w:left="2100" w:leftChars="1000" w:firstLine="0"/>
      <w:jc w:val="left"/>
    </w:pPr>
    <w:rPr>
      <w:rFonts w:asciiTheme="minorHAnsi" w:hAnsiTheme="minorHAnsi" w:eastAsiaTheme="minorEastAsia"/>
      <w:kern w:val="2"/>
      <w:sz w:val="22"/>
      <w:szCs w:val="24"/>
      <w:lang w:eastAsia="zh-CN"/>
      <w14:ligatures w14:val="standardContextual"/>
    </w:rPr>
  </w:style>
  <w:style w:type="paragraph" w:styleId="35">
    <w:name w:val="toc 2"/>
    <w:basedOn w:val="1"/>
    <w:next w:val="1"/>
    <w:autoRedefine/>
    <w:unhideWhenUsed/>
    <w:qFormat/>
    <w:uiPriority w:val="39"/>
    <w:pPr>
      <w:ind w:left="420" w:leftChars="200"/>
    </w:pPr>
  </w:style>
  <w:style w:type="paragraph" w:styleId="36">
    <w:name w:val="toc 9"/>
    <w:basedOn w:val="1"/>
    <w:next w:val="1"/>
    <w:autoRedefine/>
    <w:unhideWhenUsed/>
    <w:uiPriority w:val="39"/>
    <w:pPr>
      <w:widowControl w:val="0"/>
      <w:spacing w:after="160" w:line="278" w:lineRule="auto"/>
      <w:ind w:left="3360" w:leftChars="1600" w:firstLine="0"/>
      <w:jc w:val="left"/>
    </w:pPr>
    <w:rPr>
      <w:rFonts w:asciiTheme="minorHAnsi" w:hAnsiTheme="minorHAnsi" w:eastAsiaTheme="minorEastAsia"/>
      <w:kern w:val="2"/>
      <w:sz w:val="22"/>
      <w:szCs w:val="24"/>
      <w:lang w:eastAsia="zh-CN"/>
      <w14:ligatures w14:val="standardContextual"/>
    </w:rPr>
  </w:style>
  <w:style w:type="paragraph" w:styleId="37">
    <w:name w:val="Body Text 2"/>
    <w:basedOn w:val="1"/>
    <w:link w:val="155"/>
    <w:unhideWhenUsed/>
    <w:uiPriority w:val="99"/>
    <w:pPr>
      <w:spacing w:after="120" w:line="480" w:lineRule="auto"/>
    </w:pPr>
  </w:style>
  <w:style w:type="paragraph" w:styleId="38">
    <w:name w:val="List Continue 2"/>
    <w:basedOn w:val="1"/>
    <w:unhideWhenUsed/>
    <w:qFormat/>
    <w:uiPriority w:val="99"/>
    <w:pPr>
      <w:spacing w:after="120"/>
      <w:ind w:left="720"/>
      <w:contextualSpacing/>
    </w:pPr>
  </w:style>
  <w:style w:type="paragraph" w:styleId="39">
    <w:name w:val="List Continue 3"/>
    <w:basedOn w:val="1"/>
    <w:unhideWhenUsed/>
    <w:qFormat/>
    <w:uiPriority w:val="99"/>
    <w:pPr>
      <w:spacing w:after="120"/>
      <w:ind w:left="1080"/>
      <w:contextualSpacing/>
    </w:pPr>
  </w:style>
  <w:style w:type="paragraph" w:styleId="40">
    <w:name w:val="Title"/>
    <w:basedOn w:val="1"/>
    <w:next w:val="1"/>
    <w:link w:val="151"/>
    <w:qFormat/>
    <w:uiPriority w:val="10"/>
    <w:pPr>
      <w:pBdr>
        <w:bottom w:val="single" w:color="4F81BD" w:themeColor="accent1" w:sz="8" w:space="4"/>
      </w:pBdr>
      <w:spacing w:after="240" w:line="240" w:lineRule="auto"/>
      <w:contextualSpacing/>
      <w:jc w:val="center"/>
    </w:pPr>
    <w:rPr>
      <w:rFonts w:asciiTheme="majorHAnsi" w:hAnsiTheme="majorHAnsi" w:eastAsiaTheme="majorEastAsia" w:cstheme="majorBidi"/>
      <w:b/>
      <w:color w:val="17375E" w:themeColor="text2" w:themeShade="BF"/>
      <w:spacing w:val="5"/>
      <w:kern w:val="28"/>
      <w:sz w:val="36"/>
      <w:szCs w:val="52"/>
    </w:rPr>
  </w:style>
  <w:style w:type="table" w:styleId="42">
    <w:name w:val="Table Grid"/>
    <w:basedOn w:val="4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styleId="144">
    <w:name w:val="Hyperlink"/>
    <w:basedOn w:val="141"/>
    <w:unhideWhenUsed/>
    <w:qFormat/>
    <w:uiPriority w:val="99"/>
    <w:rPr>
      <w:color w:val="0000FF" w:themeColor="hyperlink"/>
      <w:u w:val="single"/>
      <w14:textFill>
        <w14:solidFill>
          <w14:schemeClr w14:val="hlink"/>
        </w14:solidFill>
      </w14:textFill>
    </w:rPr>
  </w:style>
  <w:style w:type="character" w:customStyle="1" w:styleId="145">
    <w:name w:val="页眉 字符"/>
    <w:basedOn w:val="141"/>
    <w:link w:val="29"/>
    <w:qFormat/>
    <w:uiPriority w:val="99"/>
  </w:style>
  <w:style w:type="character" w:customStyle="1" w:styleId="146">
    <w:name w:val="页脚 字符"/>
    <w:basedOn w:val="141"/>
    <w:link w:val="28"/>
    <w:qFormat/>
    <w:uiPriority w:val="99"/>
  </w:style>
  <w:style w:type="paragraph" w:styleId="14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8">
    <w:name w:val="标题 1 字符"/>
    <w:basedOn w:val="141"/>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9">
    <w:name w:val="标题 2 字符"/>
    <w:basedOn w:val="141"/>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0">
    <w:name w:val="标题 3 字符"/>
    <w:basedOn w:val="141"/>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1">
    <w:name w:val="标题 字符"/>
    <w:basedOn w:val="14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副标题 字符"/>
    <w:basedOn w:val="14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正文文本 字符"/>
    <w:basedOn w:val="141"/>
    <w:link w:val="20"/>
    <w:qFormat/>
    <w:uiPriority w:val="99"/>
  </w:style>
  <w:style w:type="character" w:customStyle="1" w:styleId="155">
    <w:name w:val="正文文本 2 字符"/>
    <w:basedOn w:val="141"/>
    <w:link w:val="37"/>
    <w:uiPriority w:val="99"/>
  </w:style>
  <w:style w:type="character" w:customStyle="1" w:styleId="156">
    <w:name w:val="正文文本 3 字符"/>
    <w:basedOn w:val="141"/>
    <w:link w:val="18"/>
    <w:qFormat/>
    <w:uiPriority w:val="99"/>
    <w:rPr>
      <w:sz w:val="16"/>
      <w:szCs w:val="16"/>
    </w:rPr>
  </w:style>
  <w:style w:type="character" w:customStyle="1" w:styleId="157">
    <w:name w:val="宏文本 字符"/>
    <w:basedOn w:val="141"/>
    <w:link w:val="2"/>
    <w:qFormat/>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引用 字符"/>
    <w:basedOn w:val="141"/>
    <w:link w:val="158"/>
    <w:qFormat/>
    <w:uiPriority w:val="29"/>
    <w:rPr>
      <w:i/>
      <w:iCs/>
      <w:color w:val="000000" w:themeColor="text1"/>
      <w14:textFill>
        <w14:solidFill>
          <w14:schemeClr w14:val="tx1"/>
        </w14:solidFill>
      </w14:textFill>
    </w:rPr>
  </w:style>
  <w:style w:type="character" w:customStyle="1" w:styleId="160">
    <w:name w:val="标题 4 字符"/>
    <w:basedOn w:val="141"/>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标题 5 字符"/>
    <w:basedOn w:val="141"/>
    <w:link w:val="7"/>
    <w:semiHidden/>
    <w:qFormat/>
    <w:uiPriority w:val="9"/>
    <w:rPr>
      <w:rFonts w:asciiTheme="majorHAnsi" w:hAnsiTheme="majorHAnsi" w:eastAsiaTheme="majorEastAsia" w:cstheme="majorBidi"/>
      <w:color w:val="254061" w:themeColor="accent1" w:themeShade="80"/>
    </w:rPr>
  </w:style>
  <w:style w:type="character" w:customStyle="1" w:styleId="162">
    <w:name w:val="标题 6 字符"/>
    <w:basedOn w:val="141"/>
    <w:link w:val="8"/>
    <w:semiHidden/>
    <w:qFormat/>
    <w:uiPriority w:val="9"/>
    <w:rPr>
      <w:rFonts w:asciiTheme="majorHAnsi" w:hAnsiTheme="majorHAnsi" w:eastAsiaTheme="majorEastAsia" w:cstheme="majorBidi"/>
      <w:i/>
      <w:iCs/>
      <w:color w:val="254061" w:themeColor="accent1" w:themeShade="80"/>
    </w:rPr>
  </w:style>
  <w:style w:type="character" w:customStyle="1" w:styleId="163">
    <w:name w:val="标题 7 字符"/>
    <w:basedOn w:val="141"/>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标题 8 字符"/>
    <w:basedOn w:val="141"/>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标题 9 字符"/>
    <w:basedOn w:val="141"/>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明显引用 字符"/>
    <w:basedOn w:val="141"/>
    <w:link w:val="166"/>
    <w:qFormat/>
    <w:uiPriority w:val="30"/>
    <w:rPr>
      <w:b/>
      <w:bCs/>
      <w:i/>
      <w:iCs/>
      <w:color w:val="4F81BD" w:themeColor="accent1"/>
      <w14:textFill>
        <w14:solidFill>
          <w14:schemeClr w14:val="accent1"/>
        </w14:solidFill>
      </w14:textFill>
    </w:rPr>
  </w:style>
  <w:style w:type="character" w:customStyle="1" w:styleId="168">
    <w:name w:val="Subtle Emphasis"/>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Intense Emphasis"/>
    <w:basedOn w:val="141"/>
    <w:qFormat/>
    <w:uiPriority w:val="21"/>
    <w:rPr>
      <w:b/>
      <w:bCs/>
      <w:i/>
      <w:iCs/>
      <w:color w:val="4F81BD" w:themeColor="accent1"/>
      <w14:textFill>
        <w14:solidFill>
          <w14:schemeClr w14:val="accent1"/>
        </w14:solidFill>
      </w14:textFill>
    </w:rPr>
  </w:style>
  <w:style w:type="character" w:customStyle="1" w:styleId="170">
    <w:name w:val="Subtle Reference"/>
    <w:basedOn w:val="141"/>
    <w:qFormat/>
    <w:uiPriority w:val="31"/>
    <w:rPr>
      <w:smallCaps/>
      <w:color w:val="C0504D" w:themeColor="accent2"/>
      <w:u w:val="single"/>
      <w14:textFill>
        <w14:solidFill>
          <w14:schemeClr w14:val="accent2"/>
        </w14:solidFill>
      </w14:textFill>
    </w:rPr>
  </w:style>
  <w:style w:type="character" w:customStyle="1" w:styleId="171">
    <w:name w:val="Intense Reference"/>
    <w:basedOn w:val="141"/>
    <w:qFormat/>
    <w:uiPriority w:val="32"/>
    <w:rPr>
      <w:b/>
      <w:bCs/>
      <w:smallCaps/>
      <w:color w:val="C0504D" w:themeColor="accent2"/>
      <w:spacing w:val="5"/>
      <w:u w:val="single"/>
      <w14:textFill>
        <w14:solidFill>
          <w14:schemeClr w14:val="accent2"/>
        </w14:solidFill>
      </w14:textFill>
    </w:rPr>
  </w:style>
  <w:style w:type="character" w:customStyle="1" w:styleId="172">
    <w:name w:val="Book Title"/>
    <w:basedOn w:val="141"/>
    <w:qFormat/>
    <w:uiPriority w:val="33"/>
    <w:rPr>
      <w:b/>
      <w:bCs/>
      <w:smallCaps/>
      <w:spacing w:val="5"/>
    </w:rPr>
  </w:style>
  <w:style w:type="paragraph" w:customStyle="1" w:styleId="173">
    <w:name w:val="TOC Heading"/>
    <w:basedOn w:val="3"/>
    <w:next w:val="1"/>
    <w:semiHidden/>
    <w:unhideWhenUsed/>
    <w:qFormat/>
    <w:uiPriority w:val="39"/>
    <w:pPr>
      <w:outlineLvl w:val="9"/>
    </w:pPr>
  </w:style>
  <w:style w:type="paragraph" w:customStyle="1" w:styleId="174">
    <w:name w:val="Source Code"/>
    <w:basedOn w:val="1"/>
    <w:qFormat/>
    <w:uiPriority w:val="0"/>
    <w:pPr>
      <w:wordWrap w:val="0"/>
    </w:pPr>
  </w:style>
  <w:style w:type="character" w:customStyle="1" w:styleId="175">
    <w:name w:val="KeywordTok"/>
    <w:qFormat/>
    <w:uiPriority w:val="0"/>
    <w:rPr>
      <w:b/>
      <w:color w:val="007020"/>
    </w:rPr>
  </w:style>
  <w:style w:type="character" w:customStyle="1" w:styleId="176">
    <w:name w:val="DataTypeTok"/>
    <w:qFormat/>
    <w:uiPriority w:val="0"/>
    <w:rPr>
      <w:color w:val="902000"/>
    </w:rPr>
  </w:style>
  <w:style w:type="character" w:customStyle="1" w:styleId="177">
    <w:name w:val="DecValTok"/>
    <w:qFormat/>
    <w:uiPriority w:val="0"/>
    <w:rPr>
      <w:color w:val="40A070"/>
    </w:rPr>
  </w:style>
  <w:style w:type="character" w:customStyle="1" w:styleId="178">
    <w:name w:val="BaseNTok"/>
    <w:qFormat/>
    <w:uiPriority w:val="0"/>
    <w:rPr>
      <w:color w:val="40A070"/>
    </w:rPr>
  </w:style>
  <w:style w:type="character" w:customStyle="1" w:styleId="179">
    <w:name w:val="FloatTok"/>
    <w:qFormat/>
    <w:uiPriority w:val="0"/>
    <w:rPr>
      <w:color w:val="40A070"/>
    </w:rPr>
  </w:style>
  <w:style w:type="character" w:customStyle="1" w:styleId="180">
    <w:name w:val="ConstantTok"/>
    <w:qFormat/>
    <w:uiPriority w:val="0"/>
    <w:rPr>
      <w:color w:val="880000"/>
    </w:rPr>
  </w:style>
  <w:style w:type="character" w:customStyle="1" w:styleId="181">
    <w:name w:val="CharTok"/>
    <w:qFormat/>
    <w:uiPriority w:val="0"/>
    <w:rPr>
      <w:color w:val="4070A0"/>
    </w:rPr>
  </w:style>
  <w:style w:type="character" w:customStyle="1" w:styleId="182">
    <w:name w:val="SpecialCharTok"/>
    <w:qFormat/>
    <w:uiPriority w:val="0"/>
    <w:rPr>
      <w:color w:val="4070A0"/>
    </w:rPr>
  </w:style>
  <w:style w:type="character" w:customStyle="1" w:styleId="183">
    <w:name w:val="StringTok"/>
    <w:qFormat/>
    <w:uiPriority w:val="0"/>
    <w:rPr>
      <w:color w:val="4070A0"/>
    </w:rPr>
  </w:style>
  <w:style w:type="character" w:customStyle="1" w:styleId="184">
    <w:name w:val="VerbatimStringTok"/>
    <w:qFormat/>
    <w:uiPriority w:val="0"/>
    <w:rPr>
      <w:color w:val="4070A0"/>
    </w:rPr>
  </w:style>
  <w:style w:type="character" w:customStyle="1" w:styleId="185">
    <w:name w:val="SpecialStringTok"/>
    <w:qFormat/>
    <w:uiPriority w:val="0"/>
    <w:rPr>
      <w:color w:val="BB6688"/>
    </w:rPr>
  </w:style>
  <w:style w:type="character" w:customStyle="1" w:styleId="186">
    <w:name w:val="ImportTok"/>
    <w:qFormat/>
    <w:uiPriority w:val="0"/>
    <w:rPr>
      <w:b/>
      <w:color w:val="008000"/>
    </w:rPr>
  </w:style>
  <w:style w:type="character" w:customStyle="1" w:styleId="187">
    <w:name w:val="CommentTok"/>
    <w:qFormat/>
    <w:uiPriority w:val="0"/>
    <w:rPr>
      <w:i/>
      <w:color w:val="60A0B0"/>
    </w:rPr>
  </w:style>
  <w:style w:type="character" w:customStyle="1" w:styleId="188">
    <w:name w:val="DocumentationTok"/>
    <w:qFormat/>
    <w:uiPriority w:val="0"/>
    <w:rPr>
      <w:i/>
      <w:color w:val="BA2121"/>
    </w:rPr>
  </w:style>
  <w:style w:type="character" w:customStyle="1" w:styleId="189">
    <w:name w:val="AnnotationTok"/>
    <w:qFormat/>
    <w:uiPriority w:val="0"/>
    <w:rPr>
      <w:b/>
      <w:i/>
      <w:color w:val="60A0B0"/>
    </w:rPr>
  </w:style>
  <w:style w:type="character" w:customStyle="1" w:styleId="190">
    <w:name w:val="CommentVarTok"/>
    <w:qFormat/>
    <w:uiPriority w:val="0"/>
    <w:rPr>
      <w:b/>
      <w:i/>
      <w:color w:val="60A0B0"/>
    </w:rPr>
  </w:style>
  <w:style w:type="character" w:customStyle="1" w:styleId="191">
    <w:name w:val="OtherTok"/>
    <w:qFormat/>
    <w:uiPriority w:val="0"/>
    <w:rPr>
      <w:color w:val="007020"/>
    </w:rPr>
  </w:style>
  <w:style w:type="character" w:customStyle="1" w:styleId="192">
    <w:name w:val="FunctionTok"/>
    <w:qFormat/>
    <w:uiPriority w:val="0"/>
    <w:rPr>
      <w:color w:val="06287E"/>
    </w:rPr>
  </w:style>
  <w:style w:type="character" w:customStyle="1" w:styleId="193">
    <w:name w:val="VariableTok"/>
    <w:qFormat/>
    <w:uiPriority w:val="0"/>
    <w:rPr>
      <w:color w:val="19177C"/>
    </w:rPr>
  </w:style>
  <w:style w:type="character" w:customStyle="1" w:styleId="194">
    <w:name w:val="ControlFlowTok"/>
    <w:qFormat/>
    <w:uiPriority w:val="0"/>
    <w:rPr>
      <w:b/>
      <w:color w:val="007020"/>
    </w:rPr>
  </w:style>
  <w:style w:type="character" w:customStyle="1" w:styleId="195">
    <w:name w:val="OperatorTok"/>
    <w:qFormat/>
    <w:uiPriority w:val="0"/>
    <w:rPr>
      <w:color w:val="666666"/>
    </w:rPr>
  </w:style>
  <w:style w:type="character" w:customStyle="1" w:styleId="196">
    <w:name w:val="BuiltInTok"/>
    <w:qFormat/>
    <w:uiPriority w:val="0"/>
    <w:rPr>
      <w:color w:val="008000"/>
    </w:rPr>
  </w:style>
  <w:style w:type="character" w:customStyle="1" w:styleId="197">
    <w:name w:val="ExtensionTok"/>
    <w:qFormat/>
    <w:uiPriority w:val="0"/>
  </w:style>
  <w:style w:type="character" w:customStyle="1" w:styleId="198">
    <w:name w:val="PreprocessorTok"/>
    <w:qFormat/>
    <w:uiPriority w:val="0"/>
    <w:rPr>
      <w:color w:val="BC7A00"/>
    </w:rPr>
  </w:style>
  <w:style w:type="character" w:customStyle="1" w:styleId="199">
    <w:name w:val="AttributeTok"/>
    <w:qFormat/>
    <w:uiPriority w:val="0"/>
    <w:rPr>
      <w:color w:val="7D9029"/>
    </w:rPr>
  </w:style>
  <w:style w:type="character" w:customStyle="1" w:styleId="200">
    <w:name w:val="RegionMarkerTok"/>
    <w:qFormat/>
    <w:uiPriority w:val="0"/>
  </w:style>
  <w:style w:type="character" w:customStyle="1" w:styleId="201">
    <w:name w:val="InformationTok"/>
    <w:qFormat/>
    <w:uiPriority w:val="0"/>
    <w:rPr>
      <w:b/>
      <w:i/>
      <w:color w:val="60A0B0"/>
    </w:rPr>
  </w:style>
  <w:style w:type="character" w:customStyle="1" w:styleId="202">
    <w:name w:val="WarningTok"/>
    <w:qFormat/>
    <w:uiPriority w:val="0"/>
    <w:rPr>
      <w:b/>
      <w:i/>
      <w:color w:val="60A0B0"/>
    </w:rPr>
  </w:style>
  <w:style w:type="character" w:customStyle="1" w:styleId="203">
    <w:name w:val="AlertTok"/>
    <w:qFormat/>
    <w:uiPriority w:val="0"/>
    <w:rPr>
      <w:b/>
      <w:color w:val="FF0000"/>
    </w:rPr>
  </w:style>
  <w:style w:type="character" w:customStyle="1" w:styleId="204">
    <w:name w:val="ErrorTok"/>
    <w:uiPriority w:val="0"/>
    <w:rPr>
      <w:b/>
      <w:color w:val="FF0000"/>
    </w:rPr>
  </w:style>
  <w:style w:type="character" w:customStyle="1" w:styleId="205">
    <w:name w:val="NormalTok"/>
    <w:qFormat/>
    <w:uiPriority w:val="0"/>
  </w:style>
  <w:style w:type="character" w:customStyle="1" w:styleId="206">
    <w:name w:val="Unresolved Mention"/>
    <w:basedOn w:val="14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48</Pages>
  <Words>7742</Words>
  <Characters>11478</Characters>
  <Lines>954</Lines>
  <Paragraphs>578</Paragraphs>
  <TotalTime>101</TotalTime>
  <ScaleCrop>false</ScaleCrop>
  <LinksUpToDate>false</LinksUpToDate>
  <CharactersWithSpaces>12809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2026-04-20T13:28:00Z</dcterms:created>
  <dc:creator>李中华</dc:creator>
  <cp:lastModifiedBy>江航</cp:lastModifiedBy>
  <dcterms:modified xsi:type="dcterms:W3CDTF">2026-05-03T12:05:13Z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eyJoZGlkIjoiOTNiOGIwODhmMmQyMWNlZDI5ZDA0MWZlMThhZTg2YjEiLCJ1c2VySWQiOiIxMzkxNTM1NzgzIn0=</vt:lpwstr>
  </property>
  <property fmtid="{D5CDD505-2E9C-101B-9397-08002B2CF9AE}" pid="3" name="KSOProductBuildVer">
    <vt:lpwstr>2052-12.1.0.25865</vt:lpwstr>
  </property>
  <property fmtid="{D5CDD505-2E9C-101B-9397-08002B2CF9AE}" pid="4" name="ICV">
    <vt:lpwstr>F7E708F4D0EF4A59969EA49318BF8EAE_13</vt:lpwstr>
  </property>
</Properties>
</file>