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4E68F">
      <w:pPr>
        <w:spacing w:before="240" w:after="80" w:line="240" w:lineRule="auto"/>
        <w:jc w:val="center"/>
      </w:pPr>
      <w:bookmarkStart w:id="0" w:name="_GoBack"/>
      <w:bookmarkEnd w:id="0"/>
      <w:r>
        <w:rPr>
          <w:rFonts w:ascii="Times New Roman" w:hAnsi="Times New Roman" w:eastAsia="Noto Serif CJK SC"/>
          <w:b/>
          <w:color w:val="1F4E79"/>
          <w:sz w:val="40"/>
        </w:rPr>
        <w:t>水下裂缝扭曲校正实验报告</w:t>
      </w:r>
    </w:p>
    <w:tbl>
      <w:tblPr>
        <w:tblStyle w:val="32"/>
        <w:tblW w:w="0" w:type="auto"/>
        <w:jc w:val="center"/>
        <w:tblLayout w:type="fixed"/>
        <w:tblCellMar>
          <w:top w:w="0" w:type="dxa"/>
          <w:left w:w="108" w:type="dxa"/>
          <w:bottom w:w="0" w:type="dxa"/>
          <w:right w:w="108" w:type="dxa"/>
        </w:tblCellMar>
      </w:tblPr>
      <w:tblGrid>
        <w:gridCol w:w="9071"/>
      </w:tblGrid>
      <w:tr w14:paraId="22F3CE03">
        <w:tblPrEx>
          <w:tblCellMar>
            <w:top w:w="0" w:type="dxa"/>
            <w:left w:w="108" w:type="dxa"/>
            <w:bottom w:w="0" w:type="dxa"/>
            <w:right w:w="108" w:type="dxa"/>
          </w:tblCellMar>
        </w:tblPrEx>
        <w:trPr>
          <w:jc w:val="center"/>
        </w:trPr>
        <w:tc>
          <w:tcPr>
            <w:tcW w:w="9632" w:type="dxa"/>
            <w:tcBorders>
              <w:top w:val="single" w:color="1F4E79" w:sz="10" w:space="0"/>
              <w:left w:val="single" w:color="1F4E79" w:sz="10" w:space="0"/>
              <w:bottom w:val="single" w:color="1F4E79" w:sz="10" w:space="0"/>
              <w:right w:val="single" w:color="1F4E79" w:sz="10" w:space="0"/>
            </w:tcBorders>
            <w:shd w:val="clear" w:color="auto" w:fill="D9EAF7"/>
          </w:tcPr>
          <w:p w14:paraId="67693060">
            <w:pPr>
              <w:spacing w:before="80" w:after="80" w:line="324" w:lineRule="auto"/>
            </w:pPr>
            <w:r>
              <w:rPr>
                <w:rFonts w:ascii="Times New Roman" w:hAnsi="Times New Roman" w:eastAsia="Noto Serif CJK SC"/>
                <w:b/>
                <w:color w:val="1F4E79"/>
                <w:sz w:val="22"/>
              </w:rPr>
              <w:t>摘要：</w:t>
            </w:r>
            <w:r>
              <w:rPr>
                <w:rFonts w:ascii="Times New Roman" w:hAnsi="Times New Roman" w:eastAsia="Noto Serif CJK SC"/>
                <w:sz w:val="22"/>
              </w:rPr>
              <w:t>本报告结合训练日志生成的 Loss/EPE 折线图与两张典型输出结果图，对模型的收敛过程、位移场预测能力和校正结果质量进行综合评估。结果表明，模型在 80 个 epoch 内实现稳定收敛，验证损失由 0.49135 下降至 0.15806，验证 EPE 由 383.818 px 下降至 127.249 px；在典型样例上，模型能够恢复裂缝主体几何形态，但局部纹理与边界区域仍存在平滑化和残余误差。</w:t>
            </w:r>
          </w:p>
        </w:tc>
      </w:tr>
    </w:tbl>
    <w:p w14:paraId="54A589D4"/>
    <w:p w14:paraId="47FC4B57">
      <w:pPr>
        <w:spacing w:before="200" w:after="100" w:line="264" w:lineRule="auto"/>
      </w:pPr>
      <w:r>
        <w:rPr>
          <w:rFonts w:ascii="Times New Roman" w:hAnsi="Times New Roman" w:eastAsia="Noto Serif CJK SC"/>
          <w:b/>
          <w:color w:val="1F4E79"/>
          <w:sz w:val="28"/>
        </w:rPr>
        <w:t>1 实验概况</w:t>
      </w:r>
    </w:p>
    <w:p w14:paraId="2B270541">
      <w:pPr>
        <w:spacing w:before="0" w:after="140" w:line="348" w:lineRule="auto"/>
      </w:pPr>
      <w:r>
        <w:rPr>
          <w:rFonts w:ascii="Times New Roman" w:hAnsi="Times New Roman" w:eastAsia="Noto Serif CJK SC"/>
          <w:sz w:val="22"/>
        </w:rPr>
        <w:t>本实验用于评估水下裂缝图像扭曲校正网络在训练阶段的收敛稳定性以及测试阶段的视觉恢复效果。分析对象包括：（1）由训练日志提取并绘制的训练/验证损失曲线与 EPE 曲线；（2）单个典型样本的校正结果、预测光流与真实光流对比图；（3）预测结果与真实校正图之间的差异热图。</w:t>
      </w:r>
    </w:p>
    <w:tbl>
      <w:tblPr>
        <w:tblStyle w:val="32"/>
        <w:tblW w:w="0" w:type="auto"/>
        <w:jc w:val="center"/>
        <w:tblLayout w:type="fixed"/>
        <w:tblCellMar>
          <w:top w:w="0" w:type="dxa"/>
          <w:left w:w="108" w:type="dxa"/>
          <w:bottom w:w="0" w:type="dxa"/>
          <w:right w:w="108" w:type="dxa"/>
        </w:tblCellMar>
      </w:tblPr>
      <w:tblGrid>
        <w:gridCol w:w="2835"/>
        <w:gridCol w:w="6236"/>
      </w:tblGrid>
      <w:tr w14:paraId="4D3AC985">
        <w:tblPrEx>
          <w:tblCellMar>
            <w:top w:w="0" w:type="dxa"/>
            <w:left w:w="108" w:type="dxa"/>
            <w:bottom w:w="0" w:type="dxa"/>
            <w:right w:w="108" w:type="dxa"/>
          </w:tblCellMar>
        </w:tblPrEx>
        <w:trPr>
          <w:jc w:val="center"/>
        </w:trPr>
        <w:tc>
          <w:tcPr>
            <w:tcW w:w="4816" w:type="dxa"/>
            <w:shd w:val="clear" w:color="auto" w:fill="1F4E79"/>
          </w:tcPr>
          <w:p w14:paraId="04BCF0FA">
            <w:pPr>
              <w:spacing w:before="40" w:after="40" w:line="276" w:lineRule="auto"/>
              <w:jc w:val="center"/>
            </w:pPr>
            <w:r>
              <w:rPr>
                <w:rFonts w:ascii="Times New Roman" w:hAnsi="Times New Roman" w:eastAsia="Noto Serif CJK SC"/>
                <w:b/>
                <w:color w:val="FFFFFF"/>
                <w:sz w:val="21"/>
              </w:rPr>
              <w:t>指标</w:t>
            </w:r>
          </w:p>
        </w:tc>
        <w:tc>
          <w:tcPr>
            <w:tcW w:w="4816" w:type="dxa"/>
            <w:shd w:val="clear" w:color="auto" w:fill="1F4E79"/>
          </w:tcPr>
          <w:p w14:paraId="1E5E12BF">
            <w:pPr>
              <w:spacing w:before="40" w:after="40" w:line="276" w:lineRule="auto"/>
              <w:jc w:val="center"/>
            </w:pPr>
            <w:r>
              <w:rPr>
                <w:rFonts w:ascii="Times New Roman" w:hAnsi="Times New Roman" w:eastAsia="Noto Serif CJK SC"/>
                <w:b/>
                <w:color w:val="FFFFFF"/>
                <w:sz w:val="21"/>
              </w:rPr>
              <w:t>结果</w:t>
            </w:r>
          </w:p>
        </w:tc>
      </w:tr>
      <w:tr w14:paraId="09EA5B89">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6F20708F">
            <w:pPr>
              <w:spacing w:before="40" w:after="40" w:line="276" w:lineRule="auto"/>
            </w:pPr>
            <w:r>
              <w:rPr>
                <w:rFonts w:ascii="Times New Roman" w:hAnsi="Times New Roman" w:eastAsia="Noto Serif CJK SC"/>
                <w:b/>
                <w:sz w:val="21"/>
              </w:rPr>
              <w:t>训练轮数</w:t>
            </w:r>
          </w:p>
        </w:tc>
        <w:tc>
          <w:tcPr>
            <w:tcW w:w="6236" w:type="dxa"/>
            <w:tcBorders>
              <w:top w:val="single" w:color="D9D9D9" w:sz="6" w:space="0"/>
              <w:left w:val="single" w:color="D9D9D9" w:sz="6" w:space="0"/>
              <w:bottom w:val="single" w:color="D9D9D9" w:sz="6" w:space="0"/>
              <w:right w:val="single" w:color="D9D9D9" w:sz="6" w:space="0"/>
            </w:tcBorders>
            <w:vAlign w:val="center"/>
          </w:tcPr>
          <w:p w14:paraId="0EE4B2C3">
            <w:pPr>
              <w:spacing w:before="40" w:after="40" w:line="276" w:lineRule="auto"/>
            </w:pPr>
            <w:r>
              <w:rPr>
                <w:rFonts w:ascii="Times New Roman" w:hAnsi="Times New Roman" w:eastAsia="Noto Serif CJK SC"/>
                <w:sz w:val="21"/>
              </w:rPr>
              <w:t>80</w:t>
            </w:r>
          </w:p>
        </w:tc>
      </w:tr>
      <w:tr w14:paraId="7FCC63F4">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1A358C42">
            <w:pPr>
              <w:spacing w:before="40" w:after="40" w:line="276" w:lineRule="auto"/>
            </w:pPr>
            <w:r>
              <w:rPr>
                <w:rFonts w:ascii="Times New Roman" w:hAnsi="Times New Roman" w:eastAsia="Noto Serif CJK SC"/>
                <w:b/>
                <w:sz w:val="21"/>
              </w:rPr>
              <w:t>数据集规模</w:t>
            </w:r>
          </w:p>
        </w:tc>
        <w:tc>
          <w:tcPr>
            <w:tcW w:w="6236" w:type="dxa"/>
            <w:tcBorders>
              <w:top w:val="single" w:color="D9D9D9" w:sz="6" w:space="0"/>
              <w:left w:val="single" w:color="D9D9D9" w:sz="6" w:space="0"/>
              <w:bottom w:val="single" w:color="D9D9D9" w:sz="6" w:space="0"/>
              <w:right w:val="single" w:color="D9D9D9" w:sz="6" w:space="0"/>
            </w:tcBorders>
            <w:vAlign w:val="center"/>
          </w:tcPr>
          <w:p w14:paraId="291D61B9">
            <w:pPr>
              <w:spacing w:before="40" w:after="40" w:line="276" w:lineRule="auto"/>
            </w:pPr>
            <w:r>
              <w:rPr>
                <w:rFonts w:ascii="Times New Roman" w:hAnsi="Times New Roman" w:eastAsia="Noto Serif CJK SC"/>
                <w:sz w:val="21"/>
              </w:rPr>
              <w:t>总计 10370（训练 9333 / 验证 1037）</w:t>
            </w:r>
          </w:p>
        </w:tc>
      </w:tr>
      <w:tr w14:paraId="31E17BC2">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3FAED563">
            <w:pPr>
              <w:spacing w:before="40" w:after="40" w:line="276" w:lineRule="auto"/>
            </w:pPr>
            <w:r>
              <w:rPr>
                <w:rFonts w:ascii="Times New Roman" w:hAnsi="Times New Roman" w:eastAsia="Noto Serif CJK SC"/>
                <w:b/>
                <w:sz w:val="21"/>
              </w:rPr>
              <w:t>模型参数量</w:t>
            </w:r>
          </w:p>
        </w:tc>
        <w:tc>
          <w:tcPr>
            <w:tcW w:w="6236" w:type="dxa"/>
            <w:tcBorders>
              <w:top w:val="single" w:color="D9D9D9" w:sz="6" w:space="0"/>
              <w:left w:val="single" w:color="D9D9D9" w:sz="6" w:space="0"/>
              <w:bottom w:val="single" w:color="D9D9D9" w:sz="6" w:space="0"/>
              <w:right w:val="single" w:color="D9D9D9" w:sz="6" w:space="0"/>
            </w:tcBorders>
            <w:vAlign w:val="center"/>
          </w:tcPr>
          <w:p w14:paraId="43D77734">
            <w:pPr>
              <w:spacing w:before="40" w:after="40" w:line="276" w:lineRule="auto"/>
            </w:pPr>
            <w:r>
              <w:rPr>
                <w:rFonts w:ascii="Times New Roman" w:hAnsi="Times New Roman" w:eastAsia="Noto Serif CJK SC"/>
                <w:sz w:val="21"/>
              </w:rPr>
              <w:t>13.14M</w:t>
            </w:r>
          </w:p>
        </w:tc>
      </w:tr>
      <w:tr w14:paraId="7FF73F19">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1747160D">
            <w:pPr>
              <w:spacing w:before="40" w:after="40" w:line="276" w:lineRule="auto"/>
              <w:rPr>
                <w:rFonts w:ascii="Times New Roman" w:hAnsi="Times New Roman" w:eastAsia="Noto Serif CJK SC"/>
                <w:sz w:val="21"/>
              </w:rPr>
            </w:pPr>
            <w:r>
              <w:rPr>
                <w:rFonts w:ascii="Times New Roman" w:hAnsi="Times New Roman" w:eastAsia="Noto Serif CJK SC"/>
                <w:sz w:val="21"/>
              </w:rPr>
              <w:t>训练设备/策略</w:t>
            </w:r>
          </w:p>
        </w:tc>
        <w:tc>
          <w:tcPr>
            <w:tcW w:w="6236" w:type="dxa"/>
            <w:tcBorders>
              <w:top w:val="single" w:color="D9D9D9" w:sz="6" w:space="0"/>
              <w:left w:val="single" w:color="D9D9D9" w:sz="6" w:space="0"/>
              <w:bottom w:val="single" w:color="D9D9D9" w:sz="6" w:space="0"/>
              <w:right w:val="single" w:color="D9D9D9" w:sz="6" w:space="0"/>
            </w:tcBorders>
            <w:vAlign w:val="center"/>
          </w:tcPr>
          <w:p w14:paraId="49F0C017">
            <w:pPr>
              <w:spacing w:before="40" w:after="40" w:line="276" w:lineRule="auto"/>
              <w:rPr>
                <w:rFonts w:ascii="Times New Roman" w:hAnsi="Times New Roman" w:eastAsia="Noto Serif CJK SC"/>
                <w:sz w:val="21"/>
              </w:rPr>
            </w:pPr>
            <w:r>
              <w:rPr>
                <w:rFonts w:hint="default" w:ascii="Times New Roman" w:hAnsi="Times New Roman" w:eastAsia="Noto Serif CJK SC"/>
                <w:sz w:val="21"/>
                <w:lang w:val="en-US" w:eastAsia="zh-CN"/>
              </w:rPr>
              <w:t>NVIDIA RTX 5090</w:t>
            </w:r>
            <w:r>
              <w:rPr>
                <w:rFonts w:ascii="Times New Roman" w:hAnsi="Times New Roman" w:eastAsia="Noto Serif CJK SC"/>
                <w:sz w:val="21"/>
              </w:rPr>
              <w:t>，AMP 混合精度</w:t>
            </w:r>
          </w:p>
        </w:tc>
      </w:tr>
      <w:tr w14:paraId="5C7DD81C">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7F92362E">
            <w:pPr>
              <w:spacing w:before="40" w:after="40" w:line="276" w:lineRule="auto"/>
            </w:pPr>
            <w:r>
              <w:rPr>
                <w:rFonts w:ascii="Times New Roman" w:hAnsi="Times New Roman" w:eastAsia="Noto Serif CJK SC"/>
                <w:b/>
                <w:sz w:val="21"/>
              </w:rPr>
              <w:t>平均单轮耗时</w:t>
            </w:r>
          </w:p>
        </w:tc>
        <w:tc>
          <w:tcPr>
            <w:tcW w:w="6236" w:type="dxa"/>
            <w:tcBorders>
              <w:top w:val="single" w:color="D9D9D9" w:sz="6" w:space="0"/>
              <w:left w:val="single" w:color="D9D9D9" w:sz="6" w:space="0"/>
              <w:bottom w:val="single" w:color="D9D9D9" w:sz="6" w:space="0"/>
              <w:right w:val="single" w:color="D9D9D9" w:sz="6" w:space="0"/>
            </w:tcBorders>
            <w:vAlign w:val="center"/>
          </w:tcPr>
          <w:p w14:paraId="642E900B">
            <w:pPr>
              <w:spacing w:before="40" w:after="40" w:line="276" w:lineRule="auto"/>
            </w:pPr>
            <w:r>
              <w:rPr>
                <w:rFonts w:ascii="Times New Roman" w:hAnsi="Times New Roman" w:eastAsia="Noto Serif CJK SC"/>
                <w:sz w:val="21"/>
              </w:rPr>
              <w:t>927.1 s</w:t>
            </w:r>
          </w:p>
        </w:tc>
      </w:tr>
      <w:tr w14:paraId="5166B755">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455A960F">
            <w:pPr>
              <w:spacing w:before="40" w:after="40" w:line="276" w:lineRule="auto"/>
            </w:pPr>
            <w:r>
              <w:rPr>
                <w:rFonts w:ascii="Times New Roman" w:hAnsi="Times New Roman" w:eastAsia="Noto Serif CJK SC"/>
                <w:b/>
                <w:sz w:val="21"/>
              </w:rPr>
              <w:t>总训练时间</w:t>
            </w:r>
          </w:p>
        </w:tc>
        <w:tc>
          <w:tcPr>
            <w:tcW w:w="6236" w:type="dxa"/>
            <w:tcBorders>
              <w:top w:val="single" w:color="D9D9D9" w:sz="6" w:space="0"/>
              <w:left w:val="single" w:color="D9D9D9" w:sz="6" w:space="0"/>
              <w:bottom w:val="single" w:color="D9D9D9" w:sz="6" w:space="0"/>
              <w:right w:val="single" w:color="D9D9D9" w:sz="6" w:space="0"/>
            </w:tcBorders>
            <w:vAlign w:val="center"/>
          </w:tcPr>
          <w:p w14:paraId="4DB0CF83">
            <w:pPr>
              <w:spacing w:before="40" w:after="40" w:line="276" w:lineRule="auto"/>
            </w:pPr>
            <w:r>
              <w:rPr>
                <w:rFonts w:ascii="Times New Roman" w:hAnsi="Times New Roman" w:eastAsia="Noto Serif CJK SC"/>
                <w:sz w:val="21"/>
              </w:rPr>
              <w:t>8.99 h（32380 s）</w:t>
            </w:r>
          </w:p>
        </w:tc>
      </w:tr>
      <w:tr w14:paraId="6F46574D">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7213D9DE">
            <w:pPr>
              <w:spacing w:before="40" w:after="40" w:line="276" w:lineRule="auto"/>
            </w:pPr>
            <w:r>
              <w:rPr>
                <w:rFonts w:ascii="Times New Roman" w:hAnsi="Times New Roman" w:eastAsia="Noto Serif CJK SC"/>
                <w:b/>
                <w:sz w:val="21"/>
              </w:rPr>
              <w:t>最佳验证损失</w:t>
            </w:r>
          </w:p>
        </w:tc>
        <w:tc>
          <w:tcPr>
            <w:tcW w:w="6236" w:type="dxa"/>
            <w:tcBorders>
              <w:top w:val="single" w:color="D9D9D9" w:sz="6" w:space="0"/>
              <w:left w:val="single" w:color="D9D9D9" w:sz="6" w:space="0"/>
              <w:bottom w:val="single" w:color="D9D9D9" w:sz="6" w:space="0"/>
              <w:right w:val="single" w:color="D9D9D9" w:sz="6" w:space="0"/>
            </w:tcBorders>
            <w:vAlign w:val="center"/>
          </w:tcPr>
          <w:p w14:paraId="61E83D50">
            <w:pPr>
              <w:spacing w:before="40" w:after="40" w:line="276" w:lineRule="auto"/>
            </w:pPr>
            <w:r>
              <w:rPr>
                <w:rFonts w:ascii="Times New Roman" w:hAnsi="Times New Roman" w:eastAsia="Noto Serif CJK SC"/>
                <w:sz w:val="21"/>
              </w:rPr>
              <w:t>0.15806</w:t>
            </w:r>
          </w:p>
        </w:tc>
      </w:tr>
      <w:tr w14:paraId="7556264C">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75672697">
            <w:pPr>
              <w:spacing w:before="40" w:after="40" w:line="276" w:lineRule="auto"/>
            </w:pPr>
            <w:r>
              <w:rPr>
                <w:rFonts w:ascii="Times New Roman" w:hAnsi="Times New Roman" w:eastAsia="Noto Serif CJK SC"/>
                <w:b/>
                <w:sz w:val="21"/>
              </w:rPr>
              <w:t>最佳验证EPE</w:t>
            </w:r>
          </w:p>
        </w:tc>
        <w:tc>
          <w:tcPr>
            <w:tcW w:w="6236" w:type="dxa"/>
            <w:tcBorders>
              <w:top w:val="single" w:color="D9D9D9" w:sz="6" w:space="0"/>
              <w:left w:val="single" w:color="D9D9D9" w:sz="6" w:space="0"/>
              <w:bottom w:val="single" w:color="D9D9D9" w:sz="6" w:space="0"/>
              <w:right w:val="single" w:color="D9D9D9" w:sz="6" w:space="0"/>
            </w:tcBorders>
            <w:vAlign w:val="center"/>
          </w:tcPr>
          <w:p w14:paraId="11D88F17">
            <w:pPr>
              <w:spacing w:before="40" w:after="40" w:line="276" w:lineRule="auto"/>
            </w:pPr>
            <w:r>
              <w:rPr>
                <w:rFonts w:ascii="Times New Roman" w:hAnsi="Times New Roman" w:eastAsia="Noto Serif CJK SC"/>
                <w:sz w:val="21"/>
              </w:rPr>
              <w:t>127.249 px</w:t>
            </w:r>
          </w:p>
        </w:tc>
      </w:tr>
      <w:tr w14:paraId="336D4808">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64D04A35">
            <w:pPr>
              <w:spacing w:before="40" w:after="40" w:line="276" w:lineRule="auto"/>
            </w:pPr>
            <w:r>
              <w:rPr>
                <w:rFonts w:ascii="Times New Roman" w:hAnsi="Times New Roman" w:eastAsia="Noto Serif CJK SC"/>
                <w:b/>
                <w:sz w:val="21"/>
              </w:rPr>
              <w:t>样例推理耗时</w:t>
            </w:r>
          </w:p>
        </w:tc>
        <w:tc>
          <w:tcPr>
            <w:tcW w:w="6236" w:type="dxa"/>
            <w:tcBorders>
              <w:top w:val="single" w:color="D9D9D9" w:sz="6" w:space="0"/>
              <w:left w:val="single" w:color="D9D9D9" w:sz="6" w:space="0"/>
              <w:bottom w:val="single" w:color="D9D9D9" w:sz="6" w:space="0"/>
              <w:right w:val="single" w:color="D9D9D9" w:sz="6" w:space="0"/>
            </w:tcBorders>
            <w:vAlign w:val="center"/>
          </w:tcPr>
          <w:p w14:paraId="6D8602D4">
            <w:pPr>
              <w:spacing w:before="40" w:after="40" w:line="276" w:lineRule="auto"/>
            </w:pPr>
            <w:r>
              <w:rPr>
                <w:rFonts w:ascii="Times New Roman" w:hAnsi="Times New Roman" w:eastAsia="Noto Serif CJK SC"/>
                <w:sz w:val="21"/>
              </w:rPr>
              <w:t>490.3 ms</w:t>
            </w:r>
          </w:p>
        </w:tc>
      </w:tr>
      <w:tr w14:paraId="6BFE9DD7">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5B732E6F">
            <w:pPr>
              <w:spacing w:before="40" w:after="40" w:line="276" w:lineRule="auto"/>
            </w:pPr>
            <w:r>
              <w:rPr>
                <w:rFonts w:ascii="Times New Roman" w:hAnsi="Times New Roman" w:eastAsia="Noto Serif CJK SC"/>
                <w:b/>
                <w:sz w:val="21"/>
              </w:rPr>
              <w:t>样例EPE</w:t>
            </w:r>
          </w:p>
        </w:tc>
        <w:tc>
          <w:tcPr>
            <w:tcW w:w="6236" w:type="dxa"/>
            <w:tcBorders>
              <w:top w:val="single" w:color="D9D9D9" w:sz="6" w:space="0"/>
              <w:left w:val="single" w:color="D9D9D9" w:sz="6" w:space="0"/>
              <w:bottom w:val="single" w:color="D9D9D9" w:sz="6" w:space="0"/>
              <w:right w:val="single" w:color="D9D9D9" w:sz="6" w:space="0"/>
            </w:tcBorders>
            <w:vAlign w:val="center"/>
          </w:tcPr>
          <w:p w14:paraId="02406090">
            <w:pPr>
              <w:spacing w:before="40" w:after="40" w:line="276" w:lineRule="auto"/>
            </w:pPr>
            <w:r>
              <w:rPr>
                <w:rFonts w:ascii="Times New Roman" w:hAnsi="Times New Roman" w:eastAsia="Noto Serif CJK SC"/>
                <w:sz w:val="21"/>
              </w:rPr>
              <w:t>129.40 px</w:t>
            </w:r>
          </w:p>
        </w:tc>
      </w:tr>
      <w:tr w14:paraId="75A28D71">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tcBorders>
            <w:shd w:val="clear" w:color="auto" w:fill="F5F9FC"/>
            <w:vAlign w:val="center"/>
          </w:tcPr>
          <w:p w14:paraId="7C83962B">
            <w:pPr>
              <w:spacing w:before="40" w:after="40" w:line="276" w:lineRule="auto"/>
            </w:pPr>
            <w:r>
              <w:rPr>
                <w:rFonts w:ascii="Times New Roman" w:hAnsi="Times New Roman" w:eastAsia="Noto Serif CJK SC"/>
                <w:b/>
                <w:sz w:val="21"/>
              </w:rPr>
              <w:t>样例差异图MSE</w:t>
            </w:r>
          </w:p>
        </w:tc>
        <w:tc>
          <w:tcPr>
            <w:tcW w:w="6236" w:type="dxa"/>
            <w:tcBorders>
              <w:top w:val="single" w:color="D9D9D9" w:sz="6" w:space="0"/>
              <w:left w:val="single" w:color="D9D9D9" w:sz="6" w:space="0"/>
              <w:bottom w:val="single" w:color="D9D9D9" w:sz="6" w:space="0"/>
              <w:right w:val="single" w:color="D9D9D9" w:sz="6" w:space="0"/>
            </w:tcBorders>
            <w:vAlign w:val="center"/>
          </w:tcPr>
          <w:p w14:paraId="50265CA4">
            <w:pPr>
              <w:spacing w:before="40" w:after="40" w:line="276" w:lineRule="auto"/>
            </w:pPr>
            <w:r>
              <w:rPr>
                <w:rFonts w:ascii="Times New Roman" w:hAnsi="Times New Roman" w:eastAsia="Noto Serif CJK SC"/>
                <w:sz w:val="21"/>
              </w:rPr>
              <w:t>31.9</w:t>
            </w:r>
          </w:p>
        </w:tc>
      </w:tr>
    </w:tbl>
    <w:p w14:paraId="6226CFAC">
      <w:pPr>
        <w:spacing w:before="0" w:after="140" w:line="348" w:lineRule="auto"/>
      </w:pPr>
      <w:r>
        <w:rPr>
          <w:rFonts w:ascii="Times New Roman" w:hAnsi="Times New Roman" w:eastAsia="Noto Serif CJK SC"/>
          <w:sz w:val="22"/>
        </w:rPr>
        <w:t>从训练日志可知，实验在 cuda:0 环境下采用 AMP 混合精度训练，数据集总规模为 10370，其中训练集 9333 张、验证集 1037 张，模型参数量为 13.14M。整体训练共进行 80 个 epoch，平均单轮耗时约 927.1 s，总训练时长约 8.99 h。</w:t>
      </w:r>
    </w:p>
    <w:p w14:paraId="75C138C6">
      <w:pPr>
        <w:spacing w:before="200" w:after="100" w:line="264" w:lineRule="auto"/>
      </w:pPr>
      <w:r>
        <w:rPr>
          <w:rFonts w:ascii="Times New Roman" w:hAnsi="Times New Roman" w:eastAsia="Noto Serif CJK SC"/>
          <w:b/>
          <w:color w:val="1F4E79"/>
          <w:sz w:val="28"/>
        </w:rPr>
        <w:t>2 训练过程与定量结果分析</w:t>
      </w:r>
    </w:p>
    <w:p w14:paraId="77AC7F24">
      <w:pPr>
        <w:spacing w:before="160" w:after="100" w:line="264" w:lineRule="auto"/>
      </w:pPr>
      <w:r>
        <w:rPr>
          <w:rFonts w:ascii="Times New Roman" w:hAnsi="Times New Roman" w:eastAsia="Noto Serif CJK SC"/>
          <w:b/>
          <w:color w:val="1F4E79"/>
          <w:sz w:val="24"/>
        </w:rPr>
        <w:t>2.1 收敛曲线分析</w:t>
      </w:r>
    </w:p>
    <w:p w14:paraId="450D271A">
      <w:pPr>
        <w:spacing w:before="0" w:after="140" w:line="348" w:lineRule="auto"/>
      </w:pPr>
      <w:r>
        <w:rPr>
          <w:rFonts w:ascii="Times New Roman" w:hAnsi="Times New Roman" w:eastAsia="Noto Serif CJK SC"/>
          <w:sz w:val="22"/>
        </w:rPr>
        <w:t>图1与图2分别给出了训练/验证损失曲线和训练/验证 EPE 曲线。两类指标在前期下降较快，中后期逐步进入平稳收敛阶段，说明网络已从粗略拟合转向细化优化，训练过程总体稳定，未出现明显震荡或发散现象。</w:t>
      </w:r>
    </w:p>
    <w:p w14:paraId="675C8726">
      <w:pPr>
        <w:spacing w:before="0" w:after="40" w:line="240" w:lineRule="auto"/>
        <w:jc w:val="center"/>
      </w:pPr>
      <w:r>
        <w:drawing>
          <wp:inline distT="0" distB="0" distL="114300" distR="114300">
            <wp:extent cx="5615940" cy="3921125"/>
            <wp:effectExtent l="0" t="0" r="1016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16000" cy="3921505"/>
                    </a:xfrm>
                    <a:prstGeom prst="rect">
                      <a:avLst/>
                    </a:prstGeom>
                  </pic:spPr>
                </pic:pic>
              </a:graphicData>
            </a:graphic>
          </wp:inline>
        </w:drawing>
      </w:r>
    </w:p>
    <w:p w14:paraId="67573CD5">
      <w:pPr>
        <w:spacing w:before="80" w:after="80" w:line="288" w:lineRule="auto"/>
        <w:jc w:val="center"/>
      </w:pPr>
      <w:r>
        <w:rPr>
          <w:rFonts w:ascii="Times New Roman" w:hAnsi="Times New Roman" w:eastAsia="Noto Serif CJK SC"/>
          <w:i/>
          <w:sz w:val="20"/>
        </w:rPr>
        <w:t>图1 训练集与验证集损失曲线</w:t>
      </w:r>
    </w:p>
    <w:p w14:paraId="64530C5B">
      <w:pPr>
        <w:spacing w:before="0" w:after="140" w:line="348" w:lineRule="auto"/>
      </w:pPr>
      <w:r>
        <w:rPr>
          <w:rFonts w:ascii="Times New Roman" w:hAnsi="Times New Roman" w:eastAsia="Noto Serif CJK SC"/>
          <w:sz w:val="22"/>
        </w:rPr>
        <w:t>根据图1，Train Loss 由 1.29152 下降至 0.69666，降幅为 0.59486（46.06%）；Val Loss 由 0.49135 下降至 0.15806，降幅为 0.33329（67.83%）。验证损失在约第 40 个 epoch 后已明显逼近稳定区间，第 60–80 个 epoch 内仅有小幅下降，表明模型后期主要进行精细调整。</w:t>
      </w:r>
    </w:p>
    <w:p w14:paraId="4FCC3AA3">
      <w:pPr>
        <w:spacing w:before="0" w:after="40" w:line="240" w:lineRule="auto"/>
        <w:jc w:val="center"/>
      </w:pPr>
      <w:r>
        <w:drawing>
          <wp:inline distT="0" distB="0" distL="114300" distR="114300">
            <wp:extent cx="5615940" cy="3921125"/>
            <wp:effectExtent l="0" t="0" r="1016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16000" cy="3921505"/>
                    </a:xfrm>
                    <a:prstGeom prst="rect">
                      <a:avLst/>
                    </a:prstGeom>
                  </pic:spPr>
                </pic:pic>
              </a:graphicData>
            </a:graphic>
          </wp:inline>
        </w:drawing>
      </w:r>
    </w:p>
    <w:p w14:paraId="246EEF63">
      <w:pPr>
        <w:spacing w:before="80" w:after="80" w:line="288" w:lineRule="auto"/>
        <w:jc w:val="center"/>
      </w:pPr>
      <w:r>
        <w:rPr>
          <w:rFonts w:ascii="Times New Roman" w:hAnsi="Times New Roman" w:eastAsia="Noto Serif CJK SC"/>
          <w:i/>
          <w:sz w:val="20"/>
        </w:rPr>
        <w:t>图2 训练集与验证集 EPE 曲线</w:t>
      </w:r>
    </w:p>
    <w:p w14:paraId="78BAD5CA">
      <w:pPr>
        <w:spacing w:before="0" w:after="140" w:line="348" w:lineRule="auto"/>
      </w:pPr>
      <w:r>
        <w:rPr>
          <w:rFonts w:ascii="Times New Roman" w:hAnsi="Times New Roman" w:eastAsia="Noto Serif CJK SC"/>
          <w:sz w:val="22"/>
        </w:rPr>
        <w:t>根据图2，Train EPE 由 337.263 px 下降至 126.438 px，降幅为 210.825 px（62.51%）；Val EPE 由 383.818 px 下降至 127.249 px，降幅为 256.569 px（66.85%）。与损失曲线一致，EPE 在训练早期下降最为显著，中后期趋于平稳，说明模型对几何位移误差的控制能力持续增强。</w:t>
      </w:r>
    </w:p>
    <w:p w14:paraId="044D519D">
      <w:pPr>
        <w:spacing w:before="160" w:after="100" w:line="264" w:lineRule="auto"/>
      </w:pPr>
      <w:r>
        <w:rPr>
          <w:rFonts w:ascii="Times New Roman" w:hAnsi="Times New Roman" w:eastAsia="Noto Serif CJK SC"/>
          <w:b/>
          <w:color w:val="1F4E79"/>
          <w:sz w:val="24"/>
        </w:rPr>
        <w:t>2.2 关键训练节点统计</w:t>
      </w:r>
    </w:p>
    <w:p w14:paraId="7C756E25">
      <w:pPr>
        <w:spacing w:before="0" w:after="140" w:line="348" w:lineRule="auto"/>
      </w:pPr>
      <w:r>
        <w:rPr>
          <w:rFonts w:ascii="Times New Roman" w:hAnsi="Times New Roman" w:eastAsia="Noto Serif CJK SC"/>
          <w:sz w:val="22"/>
        </w:rPr>
        <w:t>为便于观察训练过程中的阶段性变化，表1列出了第 1、20、40、60 和 80 个 epoch 的关键指标。</w:t>
      </w:r>
    </w:p>
    <w:tbl>
      <w:tblPr>
        <w:tblStyle w:val="32"/>
        <w:tblW w:w="0" w:type="auto"/>
        <w:jc w:val="center"/>
        <w:tblLayout w:type="fixed"/>
        <w:tblCellMar>
          <w:top w:w="0" w:type="dxa"/>
          <w:left w:w="108" w:type="dxa"/>
          <w:bottom w:w="0" w:type="dxa"/>
          <w:right w:w="108" w:type="dxa"/>
        </w:tblCellMar>
      </w:tblPr>
      <w:tblGrid>
        <w:gridCol w:w="794"/>
        <w:gridCol w:w="1191"/>
        <w:gridCol w:w="1191"/>
        <w:gridCol w:w="1191"/>
        <w:gridCol w:w="1247"/>
        <w:gridCol w:w="1134"/>
        <w:gridCol w:w="1134"/>
      </w:tblGrid>
      <w:tr w14:paraId="274573EC">
        <w:tblPrEx>
          <w:tblCellMar>
            <w:top w:w="0" w:type="dxa"/>
            <w:left w:w="108" w:type="dxa"/>
            <w:bottom w:w="0" w:type="dxa"/>
            <w:right w:w="108" w:type="dxa"/>
          </w:tblCellMar>
        </w:tblPrEx>
        <w:trPr>
          <w:jc w:val="center"/>
        </w:trPr>
        <w:tc>
          <w:tcPr>
            <w:tcW w:w="1376" w:type="dxa"/>
            <w:tcBorders>
              <w:top w:val="single" w:color="D9D9D9" w:sz="6" w:space="0"/>
              <w:left w:val="single" w:color="D9D9D9" w:sz="6" w:space="0"/>
              <w:bottom w:val="single" w:color="D9D9D9" w:sz="6" w:space="0"/>
              <w:right w:val="single" w:color="D9D9D9" w:sz="6" w:space="0"/>
            </w:tcBorders>
            <w:shd w:val="clear" w:color="auto" w:fill="1F4E79"/>
          </w:tcPr>
          <w:p w14:paraId="35DF005A">
            <w:pPr>
              <w:spacing w:before="20" w:after="20" w:line="240" w:lineRule="auto"/>
              <w:jc w:val="center"/>
            </w:pPr>
            <w:r>
              <w:rPr>
                <w:rFonts w:ascii="Times New Roman" w:hAnsi="Times New Roman" w:eastAsia="Noto Serif CJK SC"/>
                <w:b/>
                <w:color w:val="FFFFFF"/>
                <w:sz w:val="19"/>
              </w:rPr>
              <w:t>Epoch</w:t>
            </w:r>
          </w:p>
        </w:tc>
        <w:tc>
          <w:tcPr>
            <w:tcW w:w="1376" w:type="dxa"/>
            <w:tcBorders>
              <w:top w:val="single" w:color="D9D9D9" w:sz="6" w:space="0"/>
              <w:left w:val="single" w:color="D9D9D9" w:sz="6" w:space="0"/>
              <w:bottom w:val="single" w:color="D9D9D9" w:sz="6" w:space="0"/>
              <w:right w:val="single" w:color="D9D9D9" w:sz="6" w:space="0"/>
            </w:tcBorders>
            <w:shd w:val="clear" w:color="auto" w:fill="1F4E79"/>
          </w:tcPr>
          <w:p w14:paraId="46079FDC">
            <w:pPr>
              <w:spacing w:before="20" w:after="20" w:line="240" w:lineRule="auto"/>
              <w:jc w:val="center"/>
            </w:pPr>
            <w:r>
              <w:rPr>
                <w:rFonts w:ascii="Times New Roman" w:hAnsi="Times New Roman" w:eastAsia="Noto Serif CJK SC"/>
                <w:b/>
                <w:color w:val="FFFFFF"/>
                <w:sz w:val="19"/>
              </w:rPr>
              <w:t>Train Loss</w:t>
            </w:r>
          </w:p>
        </w:tc>
        <w:tc>
          <w:tcPr>
            <w:tcW w:w="1376" w:type="dxa"/>
            <w:tcBorders>
              <w:top w:val="single" w:color="D9D9D9" w:sz="6" w:space="0"/>
              <w:left w:val="single" w:color="D9D9D9" w:sz="6" w:space="0"/>
              <w:bottom w:val="single" w:color="D9D9D9" w:sz="6" w:space="0"/>
              <w:right w:val="single" w:color="D9D9D9" w:sz="6" w:space="0"/>
            </w:tcBorders>
            <w:shd w:val="clear" w:color="auto" w:fill="1F4E79"/>
          </w:tcPr>
          <w:p w14:paraId="04154343">
            <w:pPr>
              <w:spacing w:before="20" w:after="20" w:line="240" w:lineRule="auto"/>
              <w:jc w:val="center"/>
            </w:pPr>
            <w:r>
              <w:rPr>
                <w:rFonts w:ascii="Times New Roman" w:hAnsi="Times New Roman" w:eastAsia="Noto Serif CJK SC"/>
                <w:b/>
                <w:color w:val="FFFFFF"/>
                <w:sz w:val="19"/>
              </w:rPr>
              <w:t>Val Loss</w:t>
            </w:r>
          </w:p>
        </w:tc>
        <w:tc>
          <w:tcPr>
            <w:tcW w:w="1376" w:type="dxa"/>
            <w:tcBorders>
              <w:top w:val="single" w:color="D9D9D9" w:sz="6" w:space="0"/>
              <w:left w:val="single" w:color="D9D9D9" w:sz="6" w:space="0"/>
              <w:bottom w:val="single" w:color="D9D9D9" w:sz="6" w:space="0"/>
              <w:right w:val="single" w:color="D9D9D9" w:sz="6" w:space="0"/>
            </w:tcBorders>
            <w:shd w:val="clear" w:color="auto" w:fill="1F4E79"/>
          </w:tcPr>
          <w:p w14:paraId="0104D99E">
            <w:pPr>
              <w:spacing w:before="20" w:after="20" w:line="240" w:lineRule="auto"/>
              <w:jc w:val="center"/>
            </w:pPr>
            <w:r>
              <w:rPr>
                <w:rFonts w:ascii="Times New Roman" w:hAnsi="Times New Roman" w:eastAsia="Noto Serif CJK SC"/>
                <w:b/>
                <w:color w:val="FFFFFF"/>
                <w:sz w:val="19"/>
              </w:rPr>
              <w:t>Train EPE</w:t>
            </w:r>
          </w:p>
        </w:tc>
        <w:tc>
          <w:tcPr>
            <w:tcW w:w="1376" w:type="dxa"/>
            <w:tcBorders>
              <w:top w:val="single" w:color="D9D9D9" w:sz="6" w:space="0"/>
              <w:left w:val="single" w:color="D9D9D9" w:sz="6" w:space="0"/>
              <w:bottom w:val="single" w:color="D9D9D9" w:sz="6" w:space="0"/>
              <w:right w:val="single" w:color="D9D9D9" w:sz="6" w:space="0"/>
            </w:tcBorders>
            <w:shd w:val="clear" w:color="auto" w:fill="1F4E79"/>
          </w:tcPr>
          <w:p w14:paraId="1FAD4188">
            <w:pPr>
              <w:spacing w:before="20" w:after="20" w:line="240" w:lineRule="auto"/>
              <w:jc w:val="center"/>
            </w:pPr>
            <w:r>
              <w:rPr>
                <w:rFonts w:ascii="Times New Roman" w:hAnsi="Times New Roman" w:eastAsia="Noto Serif CJK SC"/>
                <w:b/>
                <w:color w:val="FFFFFF"/>
                <w:sz w:val="19"/>
              </w:rPr>
              <w:t>Val EPE</w:t>
            </w:r>
          </w:p>
        </w:tc>
        <w:tc>
          <w:tcPr>
            <w:tcW w:w="1376" w:type="dxa"/>
            <w:tcBorders>
              <w:top w:val="single" w:color="D9D9D9" w:sz="6" w:space="0"/>
              <w:left w:val="single" w:color="D9D9D9" w:sz="6" w:space="0"/>
              <w:bottom w:val="single" w:color="D9D9D9" w:sz="6" w:space="0"/>
              <w:right w:val="single" w:color="D9D9D9" w:sz="6" w:space="0"/>
            </w:tcBorders>
            <w:shd w:val="clear" w:color="auto" w:fill="1F4E79"/>
          </w:tcPr>
          <w:p w14:paraId="3E4ED592">
            <w:pPr>
              <w:spacing w:before="20" w:after="20" w:line="240" w:lineRule="auto"/>
              <w:jc w:val="center"/>
            </w:pPr>
            <w:r>
              <w:rPr>
                <w:rFonts w:ascii="Times New Roman" w:hAnsi="Times New Roman" w:eastAsia="Noto Serif CJK SC"/>
                <w:b/>
                <w:color w:val="FFFFFF"/>
                <w:sz w:val="19"/>
              </w:rPr>
              <w:t>LR</w:t>
            </w:r>
          </w:p>
        </w:tc>
        <w:tc>
          <w:tcPr>
            <w:tcW w:w="1376" w:type="dxa"/>
            <w:tcBorders>
              <w:top w:val="single" w:color="D9D9D9" w:sz="6" w:space="0"/>
              <w:left w:val="single" w:color="D9D9D9" w:sz="6" w:space="0"/>
              <w:bottom w:val="single" w:color="D9D9D9" w:sz="6" w:space="0"/>
              <w:right w:val="single" w:color="D9D9D9" w:sz="6" w:space="0"/>
            </w:tcBorders>
            <w:shd w:val="clear" w:color="auto" w:fill="1F4E79"/>
          </w:tcPr>
          <w:p w14:paraId="25BD3825">
            <w:pPr>
              <w:spacing w:before="20" w:after="20" w:line="240" w:lineRule="auto"/>
              <w:jc w:val="center"/>
            </w:pPr>
            <w:r>
              <w:rPr>
                <w:rFonts w:ascii="Times New Roman" w:hAnsi="Times New Roman" w:eastAsia="Noto Serif CJK SC"/>
                <w:b/>
                <w:color w:val="FFFFFF"/>
                <w:sz w:val="19"/>
              </w:rPr>
              <w:t>Time (s)</w:t>
            </w:r>
          </w:p>
        </w:tc>
      </w:tr>
      <w:tr w14:paraId="237A62B2">
        <w:tblPrEx>
          <w:tblCellMar>
            <w:top w:w="0" w:type="dxa"/>
            <w:left w:w="108" w:type="dxa"/>
            <w:bottom w:w="0" w:type="dxa"/>
            <w:right w:w="108" w:type="dxa"/>
          </w:tblCellMar>
        </w:tblPrEx>
        <w:trPr>
          <w:jc w:val="center"/>
        </w:trPr>
        <w:tc>
          <w:tcPr>
            <w:tcW w:w="794" w:type="dxa"/>
            <w:tcBorders>
              <w:top w:val="single" w:color="D9D9D9" w:sz="6" w:space="0"/>
              <w:left w:val="single" w:color="D9D9D9" w:sz="6" w:space="0"/>
              <w:bottom w:val="single" w:color="D9D9D9" w:sz="6" w:space="0"/>
              <w:right w:val="single" w:color="D9D9D9" w:sz="6" w:space="0"/>
            </w:tcBorders>
            <w:shd w:val="clear" w:color="auto" w:fill="F5F9FC"/>
          </w:tcPr>
          <w:p w14:paraId="74C201E0">
            <w:pPr>
              <w:spacing w:before="20" w:after="20" w:line="252" w:lineRule="auto"/>
              <w:jc w:val="center"/>
            </w:pPr>
            <w:r>
              <w:rPr>
                <w:rFonts w:ascii="Times New Roman" w:hAnsi="Times New Roman" w:eastAsia="Noto Serif CJK SC"/>
                <w:sz w:val="18"/>
              </w:rPr>
              <w:t>1</w:t>
            </w:r>
          </w:p>
        </w:tc>
        <w:tc>
          <w:tcPr>
            <w:tcW w:w="1191" w:type="dxa"/>
            <w:tcBorders>
              <w:top w:val="single" w:color="D9D9D9" w:sz="6" w:space="0"/>
              <w:left w:val="single" w:color="D9D9D9" w:sz="6" w:space="0"/>
              <w:bottom w:val="single" w:color="D9D9D9" w:sz="6" w:space="0"/>
              <w:right w:val="single" w:color="D9D9D9" w:sz="6" w:space="0"/>
            </w:tcBorders>
          </w:tcPr>
          <w:p w14:paraId="58DF9096">
            <w:pPr>
              <w:spacing w:before="20" w:after="20" w:line="252" w:lineRule="auto"/>
              <w:jc w:val="center"/>
            </w:pPr>
            <w:r>
              <w:rPr>
                <w:rFonts w:ascii="Times New Roman" w:hAnsi="Times New Roman" w:eastAsia="Noto Serif CJK SC"/>
                <w:sz w:val="18"/>
              </w:rPr>
              <w:t>1.29152</w:t>
            </w:r>
          </w:p>
        </w:tc>
        <w:tc>
          <w:tcPr>
            <w:tcW w:w="1191" w:type="dxa"/>
            <w:tcBorders>
              <w:top w:val="single" w:color="D9D9D9" w:sz="6" w:space="0"/>
              <w:left w:val="single" w:color="D9D9D9" w:sz="6" w:space="0"/>
              <w:bottom w:val="single" w:color="D9D9D9" w:sz="6" w:space="0"/>
              <w:right w:val="single" w:color="D9D9D9" w:sz="6" w:space="0"/>
            </w:tcBorders>
          </w:tcPr>
          <w:p w14:paraId="59B4DFCC">
            <w:pPr>
              <w:spacing w:before="20" w:after="20" w:line="252" w:lineRule="auto"/>
              <w:jc w:val="center"/>
            </w:pPr>
            <w:r>
              <w:rPr>
                <w:rFonts w:ascii="Times New Roman" w:hAnsi="Times New Roman" w:eastAsia="Noto Serif CJK SC"/>
                <w:sz w:val="18"/>
              </w:rPr>
              <w:t>0.49135</w:t>
            </w:r>
          </w:p>
        </w:tc>
        <w:tc>
          <w:tcPr>
            <w:tcW w:w="1191" w:type="dxa"/>
            <w:tcBorders>
              <w:top w:val="single" w:color="D9D9D9" w:sz="6" w:space="0"/>
              <w:left w:val="single" w:color="D9D9D9" w:sz="6" w:space="0"/>
              <w:bottom w:val="single" w:color="D9D9D9" w:sz="6" w:space="0"/>
              <w:right w:val="single" w:color="D9D9D9" w:sz="6" w:space="0"/>
            </w:tcBorders>
          </w:tcPr>
          <w:p w14:paraId="3E8C54BF">
            <w:pPr>
              <w:spacing w:before="20" w:after="20" w:line="252" w:lineRule="auto"/>
              <w:jc w:val="center"/>
            </w:pPr>
            <w:r>
              <w:rPr>
                <w:rFonts w:ascii="Times New Roman" w:hAnsi="Times New Roman" w:eastAsia="Noto Serif CJK SC"/>
                <w:sz w:val="18"/>
              </w:rPr>
              <w:t>337.263</w:t>
            </w:r>
          </w:p>
        </w:tc>
        <w:tc>
          <w:tcPr>
            <w:tcW w:w="1247" w:type="dxa"/>
            <w:tcBorders>
              <w:top w:val="single" w:color="D9D9D9" w:sz="6" w:space="0"/>
              <w:left w:val="single" w:color="D9D9D9" w:sz="6" w:space="0"/>
              <w:bottom w:val="single" w:color="D9D9D9" w:sz="6" w:space="0"/>
              <w:right w:val="single" w:color="D9D9D9" w:sz="6" w:space="0"/>
            </w:tcBorders>
          </w:tcPr>
          <w:p w14:paraId="2880F65C">
            <w:pPr>
              <w:spacing w:before="20" w:after="20" w:line="252" w:lineRule="auto"/>
              <w:jc w:val="center"/>
            </w:pPr>
            <w:r>
              <w:rPr>
                <w:rFonts w:ascii="Times New Roman" w:hAnsi="Times New Roman" w:eastAsia="Noto Serif CJK SC"/>
                <w:sz w:val="18"/>
              </w:rPr>
              <w:t>383.818</w:t>
            </w:r>
          </w:p>
        </w:tc>
        <w:tc>
          <w:tcPr>
            <w:tcW w:w="1134" w:type="dxa"/>
            <w:tcBorders>
              <w:top w:val="single" w:color="D9D9D9" w:sz="6" w:space="0"/>
              <w:left w:val="single" w:color="D9D9D9" w:sz="6" w:space="0"/>
              <w:bottom w:val="single" w:color="D9D9D9" w:sz="6" w:space="0"/>
              <w:right w:val="single" w:color="D9D9D9" w:sz="6" w:space="0"/>
            </w:tcBorders>
          </w:tcPr>
          <w:p w14:paraId="24C08EEF">
            <w:pPr>
              <w:spacing w:before="20" w:after="20" w:line="252" w:lineRule="auto"/>
              <w:jc w:val="center"/>
            </w:pPr>
            <w:r>
              <w:rPr>
                <w:rFonts w:ascii="Times New Roman" w:hAnsi="Times New Roman" w:eastAsia="Noto Serif CJK SC"/>
                <w:sz w:val="18"/>
              </w:rPr>
              <w:t>1.67e-05</w:t>
            </w:r>
          </w:p>
        </w:tc>
        <w:tc>
          <w:tcPr>
            <w:tcW w:w="1134" w:type="dxa"/>
            <w:tcBorders>
              <w:top w:val="single" w:color="D9D9D9" w:sz="6" w:space="0"/>
              <w:left w:val="single" w:color="D9D9D9" w:sz="6" w:space="0"/>
              <w:bottom w:val="single" w:color="D9D9D9" w:sz="6" w:space="0"/>
              <w:right w:val="single" w:color="D9D9D9" w:sz="6" w:space="0"/>
            </w:tcBorders>
          </w:tcPr>
          <w:p w14:paraId="104FA47D">
            <w:pPr>
              <w:spacing w:before="20" w:after="20" w:line="252" w:lineRule="auto"/>
              <w:jc w:val="center"/>
            </w:pPr>
            <w:r>
              <w:rPr>
                <w:rFonts w:ascii="Times New Roman" w:hAnsi="Times New Roman" w:eastAsia="Noto Serif CJK SC"/>
                <w:sz w:val="18"/>
              </w:rPr>
              <w:t>942.2</w:t>
            </w:r>
          </w:p>
        </w:tc>
      </w:tr>
      <w:tr w14:paraId="49D88D66">
        <w:tblPrEx>
          <w:tblCellMar>
            <w:top w:w="0" w:type="dxa"/>
            <w:left w:w="108" w:type="dxa"/>
            <w:bottom w:w="0" w:type="dxa"/>
            <w:right w:w="108" w:type="dxa"/>
          </w:tblCellMar>
        </w:tblPrEx>
        <w:trPr>
          <w:jc w:val="center"/>
        </w:trPr>
        <w:tc>
          <w:tcPr>
            <w:tcW w:w="794" w:type="dxa"/>
            <w:tcBorders>
              <w:top w:val="single" w:color="D9D9D9" w:sz="6" w:space="0"/>
              <w:left w:val="single" w:color="D9D9D9" w:sz="6" w:space="0"/>
              <w:bottom w:val="single" w:color="D9D9D9" w:sz="6" w:space="0"/>
              <w:right w:val="single" w:color="D9D9D9" w:sz="6" w:space="0"/>
            </w:tcBorders>
            <w:shd w:val="clear" w:color="auto" w:fill="F5F9FC"/>
          </w:tcPr>
          <w:p w14:paraId="6067C3D1">
            <w:pPr>
              <w:spacing w:before="20" w:after="20" w:line="252" w:lineRule="auto"/>
              <w:jc w:val="center"/>
            </w:pPr>
            <w:r>
              <w:rPr>
                <w:rFonts w:ascii="Times New Roman" w:hAnsi="Times New Roman" w:eastAsia="Noto Serif CJK SC"/>
                <w:sz w:val="18"/>
              </w:rPr>
              <w:t>20</w:t>
            </w:r>
          </w:p>
        </w:tc>
        <w:tc>
          <w:tcPr>
            <w:tcW w:w="1191" w:type="dxa"/>
            <w:tcBorders>
              <w:top w:val="single" w:color="D9D9D9" w:sz="6" w:space="0"/>
              <w:left w:val="single" w:color="D9D9D9" w:sz="6" w:space="0"/>
              <w:bottom w:val="single" w:color="D9D9D9" w:sz="6" w:space="0"/>
              <w:right w:val="single" w:color="D9D9D9" w:sz="6" w:space="0"/>
            </w:tcBorders>
          </w:tcPr>
          <w:p w14:paraId="6B8A922E">
            <w:pPr>
              <w:spacing w:before="20" w:after="20" w:line="252" w:lineRule="auto"/>
              <w:jc w:val="center"/>
            </w:pPr>
            <w:r>
              <w:rPr>
                <w:rFonts w:ascii="Times New Roman" w:hAnsi="Times New Roman" w:eastAsia="Noto Serif CJK SC"/>
                <w:sz w:val="18"/>
              </w:rPr>
              <w:t>0.72824</w:t>
            </w:r>
          </w:p>
        </w:tc>
        <w:tc>
          <w:tcPr>
            <w:tcW w:w="1191" w:type="dxa"/>
            <w:tcBorders>
              <w:top w:val="single" w:color="D9D9D9" w:sz="6" w:space="0"/>
              <w:left w:val="single" w:color="D9D9D9" w:sz="6" w:space="0"/>
              <w:bottom w:val="single" w:color="D9D9D9" w:sz="6" w:space="0"/>
              <w:right w:val="single" w:color="D9D9D9" w:sz="6" w:space="0"/>
            </w:tcBorders>
          </w:tcPr>
          <w:p w14:paraId="76DA5FC2">
            <w:pPr>
              <w:spacing w:before="20" w:after="20" w:line="252" w:lineRule="auto"/>
              <w:jc w:val="center"/>
            </w:pPr>
            <w:r>
              <w:rPr>
                <w:rFonts w:ascii="Times New Roman" w:hAnsi="Times New Roman" w:eastAsia="Noto Serif CJK SC"/>
                <w:sz w:val="18"/>
              </w:rPr>
              <w:t>0.33685</w:t>
            </w:r>
          </w:p>
        </w:tc>
        <w:tc>
          <w:tcPr>
            <w:tcW w:w="1191" w:type="dxa"/>
            <w:tcBorders>
              <w:top w:val="single" w:color="D9D9D9" w:sz="6" w:space="0"/>
              <w:left w:val="single" w:color="D9D9D9" w:sz="6" w:space="0"/>
              <w:bottom w:val="single" w:color="D9D9D9" w:sz="6" w:space="0"/>
              <w:right w:val="single" w:color="D9D9D9" w:sz="6" w:space="0"/>
            </w:tcBorders>
          </w:tcPr>
          <w:p w14:paraId="685401C0">
            <w:pPr>
              <w:spacing w:before="20" w:after="20" w:line="252" w:lineRule="auto"/>
              <w:jc w:val="center"/>
            </w:pPr>
            <w:r>
              <w:rPr>
                <w:rFonts w:ascii="Times New Roman" w:hAnsi="Times New Roman" w:eastAsia="Noto Serif CJK SC"/>
                <w:sz w:val="18"/>
              </w:rPr>
              <w:t>139.186</w:t>
            </w:r>
          </w:p>
        </w:tc>
        <w:tc>
          <w:tcPr>
            <w:tcW w:w="1247" w:type="dxa"/>
            <w:tcBorders>
              <w:top w:val="single" w:color="D9D9D9" w:sz="6" w:space="0"/>
              <w:left w:val="single" w:color="D9D9D9" w:sz="6" w:space="0"/>
              <w:bottom w:val="single" w:color="D9D9D9" w:sz="6" w:space="0"/>
              <w:right w:val="single" w:color="D9D9D9" w:sz="6" w:space="0"/>
            </w:tcBorders>
          </w:tcPr>
          <w:p w14:paraId="7A1EAAEB">
            <w:pPr>
              <w:spacing w:before="20" w:after="20" w:line="252" w:lineRule="auto"/>
              <w:jc w:val="center"/>
            </w:pPr>
            <w:r>
              <w:rPr>
                <w:rFonts w:ascii="Times New Roman" w:hAnsi="Times New Roman" w:eastAsia="Noto Serif CJK SC"/>
                <w:sz w:val="18"/>
              </w:rPr>
              <w:t>276.094</w:t>
            </w:r>
          </w:p>
        </w:tc>
        <w:tc>
          <w:tcPr>
            <w:tcW w:w="1134" w:type="dxa"/>
            <w:tcBorders>
              <w:top w:val="single" w:color="D9D9D9" w:sz="6" w:space="0"/>
              <w:left w:val="single" w:color="D9D9D9" w:sz="6" w:space="0"/>
              <w:bottom w:val="single" w:color="D9D9D9" w:sz="6" w:space="0"/>
              <w:right w:val="single" w:color="D9D9D9" w:sz="6" w:space="0"/>
            </w:tcBorders>
          </w:tcPr>
          <w:p w14:paraId="46AA19FB">
            <w:pPr>
              <w:spacing w:before="20" w:after="20" w:line="252" w:lineRule="auto"/>
              <w:jc w:val="center"/>
            </w:pPr>
            <w:r>
              <w:rPr>
                <w:rFonts w:ascii="Times New Roman" w:hAnsi="Times New Roman" w:eastAsia="Noto Serif CJK SC"/>
                <w:sz w:val="18"/>
              </w:rPr>
              <w:t>4.42e-05</w:t>
            </w:r>
          </w:p>
        </w:tc>
        <w:tc>
          <w:tcPr>
            <w:tcW w:w="1134" w:type="dxa"/>
            <w:tcBorders>
              <w:top w:val="single" w:color="D9D9D9" w:sz="6" w:space="0"/>
              <w:left w:val="single" w:color="D9D9D9" w:sz="6" w:space="0"/>
              <w:bottom w:val="single" w:color="D9D9D9" w:sz="6" w:space="0"/>
              <w:right w:val="single" w:color="D9D9D9" w:sz="6" w:space="0"/>
            </w:tcBorders>
          </w:tcPr>
          <w:p w14:paraId="615A366A">
            <w:pPr>
              <w:spacing w:before="20" w:after="20" w:line="252" w:lineRule="auto"/>
              <w:jc w:val="center"/>
            </w:pPr>
            <w:r>
              <w:rPr>
                <w:rFonts w:ascii="Times New Roman" w:hAnsi="Times New Roman" w:eastAsia="Noto Serif CJK SC"/>
                <w:sz w:val="18"/>
              </w:rPr>
              <w:t>929.5</w:t>
            </w:r>
          </w:p>
        </w:tc>
      </w:tr>
      <w:tr w14:paraId="4C1C48E4">
        <w:tblPrEx>
          <w:tblCellMar>
            <w:top w:w="0" w:type="dxa"/>
            <w:left w:w="108" w:type="dxa"/>
            <w:bottom w:w="0" w:type="dxa"/>
            <w:right w:w="108" w:type="dxa"/>
          </w:tblCellMar>
        </w:tblPrEx>
        <w:trPr>
          <w:jc w:val="center"/>
        </w:trPr>
        <w:tc>
          <w:tcPr>
            <w:tcW w:w="794" w:type="dxa"/>
            <w:tcBorders>
              <w:top w:val="single" w:color="D9D9D9" w:sz="6" w:space="0"/>
              <w:left w:val="single" w:color="D9D9D9" w:sz="6" w:space="0"/>
              <w:bottom w:val="single" w:color="D9D9D9" w:sz="6" w:space="0"/>
              <w:right w:val="single" w:color="D9D9D9" w:sz="6" w:space="0"/>
            </w:tcBorders>
            <w:shd w:val="clear" w:color="auto" w:fill="F5F9FC"/>
          </w:tcPr>
          <w:p w14:paraId="19B7BC88">
            <w:pPr>
              <w:spacing w:before="20" w:after="20" w:line="252" w:lineRule="auto"/>
              <w:jc w:val="center"/>
            </w:pPr>
            <w:r>
              <w:rPr>
                <w:rFonts w:ascii="Times New Roman" w:hAnsi="Times New Roman" w:eastAsia="Noto Serif CJK SC"/>
                <w:sz w:val="18"/>
              </w:rPr>
              <w:t>40</w:t>
            </w:r>
          </w:p>
        </w:tc>
        <w:tc>
          <w:tcPr>
            <w:tcW w:w="1191" w:type="dxa"/>
            <w:tcBorders>
              <w:top w:val="single" w:color="D9D9D9" w:sz="6" w:space="0"/>
              <w:left w:val="single" w:color="D9D9D9" w:sz="6" w:space="0"/>
              <w:bottom w:val="single" w:color="D9D9D9" w:sz="6" w:space="0"/>
              <w:right w:val="single" w:color="D9D9D9" w:sz="6" w:space="0"/>
            </w:tcBorders>
          </w:tcPr>
          <w:p w14:paraId="5284C49D">
            <w:pPr>
              <w:spacing w:before="20" w:after="20" w:line="252" w:lineRule="auto"/>
              <w:jc w:val="center"/>
            </w:pPr>
            <w:r>
              <w:rPr>
                <w:rFonts w:ascii="Times New Roman" w:hAnsi="Times New Roman" w:eastAsia="Noto Serif CJK SC"/>
                <w:sz w:val="18"/>
              </w:rPr>
              <w:t>0.70339</w:t>
            </w:r>
          </w:p>
        </w:tc>
        <w:tc>
          <w:tcPr>
            <w:tcW w:w="1191" w:type="dxa"/>
            <w:tcBorders>
              <w:top w:val="single" w:color="D9D9D9" w:sz="6" w:space="0"/>
              <w:left w:val="single" w:color="D9D9D9" w:sz="6" w:space="0"/>
              <w:bottom w:val="single" w:color="D9D9D9" w:sz="6" w:space="0"/>
              <w:right w:val="single" w:color="D9D9D9" w:sz="6" w:space="0"/>
            </w:tcBorders>
          </w:tcPr>
          <w:p w14:paraId="6EFCEEDF">
            <w:pPr>
              <w:spacing w:before="20" w:after="20" w:line="252" w:lineRule="auto"/>
              <w:jc w:val="center"/>
            </w:pPr>
            <w:r>
              <w:rPr>
                <w:rFonts w:ascii="Times New Roman" w:hAnsi="Times New Roman" w:eastAsia="Noto Serif CJK SC"/>
                <w:sz w:val="18"/>
              </w:rPr>
              <w:t>0.16955</w:t>
            </w:r>
          </w:p>
        </w:tc>
        <w:tc>
          <w:tcPr>
            <w:tcW w:w="1191" w:type="dxa"/>
            <w:tcBorders>
              <w:top w:val="single" w:color="D9D9D9" w:sz="6" w:space="0"/>
              <w:left w:val="single" w:color="D9D9D9" w:sz="6" w:space="0"/>
              <w:bottom w:val="single" w:color="D9D9D9" w:sz="6" w:space="0"/>
              <w:right w:val="single" w:color="D9D9D9" w:sz="6" w:space="0"/>
            </w:tcBorders>
          </w:tcPr>
          <w:p w14:paraId="731886EA">
            <w:pPr>
              <w:spacing w:before="20" w:after="20" w:line="252" w:lineRule="auto"/>
              <w:jc w:val="center"/>
            </w:pPr>
            <w:r>
              <w:rPr>
                <w:rFonts w:ascii="Times New Roman" w:hAnsi="Times New Roman" w:eastAsia="Noto Serif CJK SC"/>
                <w:sz w:val="18"/>
              </w:rPr>
              <w:t>129.134</w:t>
            </w:r>
          </w:p>
        </w:tc>
        <w:tc>
          <w:tcPr>
            <w:tcW w:w="1247" w:type="dxa"/>
            <w:tcBorders>
              <w:top w:val="single" w:color="D9D9D9" w:sz="6" w:space="0"/>
              <w:left w:val="single" w:color="D9D9D9" w:sz="6" w:space="0"/>
              <w:bottom w:val="single" w:color="D9D9D9" w:sz="6" w:space="0"/>
              <w:right w:val="single" w:color="D9D9D9" w:sz="6" w:space="0"/>
            </w:tcBorders>
          </w:tcPr>
          <w:p w14:paraId="4CA2702E">
            <w:pPr>
              <w:spacing w:before="20" w:after="20" w:line="252" w:lineRule="auto"/>
              <w:jc w:val="center"/>
            </w:pPr>
            <w:r>
              <w:rPr>
                <w:rFonts w:ascii="Times New Roman" w:hAnsi="Times New Roman" w:eastAsia="Noto Serif CJK SC"/>
                <w:sz w:val="18"/>
              </w:rPr>
              <w:t>136.279</w:t>
            </w:r>
          </w:p>
        </w:tc>
        <w:tc>
          <w:tcPr>
            <w:tcW w:w="1134" w:type="dxa"/>
            <w:tcBorders>
              <w:top w:val="single" w:color="D9D9D9" w:sz="6" w:space="0"/>
              <w:left w:val="single" w:color="D9D9D9" w:sz="6" w:space="0"/>
              <w:bottom w:val="single" w:color="D9D9D9" w:sz="6" w:space="0"/>
              <w:right w:val="single" w:color="D9D9D9" w:sz="6" w:space="0"/>
            </w:tcBorders>
          </w:tcPr>
          <w:p w14:paraId="47A7CD5B">
            <w:pPr>
              <w:spacing w:before="20" w:after="20" w:line="252" w:lineRule="auto"/>
              <w:jc w:val="center"/>
            </w:pPr>
            <w:r>
              <w:rPr>
                <w:rFonts w:ascii="Times New Roman" w:hAnsi="Times New Roman" w:eastAsia="Noto Serif CJK SC"/>
                <w:sz w:val="18"/>
              </w:rPr>
              <w:t>2.66e-05</w:t>
            </w:r>
          </w:p>
        </w:tc>
        <w:tc>
          <w:tcPr>
            <w:tcW w:w="1134" w:type="dxa"/>
            <w:tcBorders>
              <w:top w:val="single" w:color="D9D9D9" w:sz="6" w:space="0"/>
              <w:left w:val="single" w:color="D9D9D9" w:sz="6" w:space="0"/>
              <w:bottom w:val="single" w:color="D9D9D9" w:sz="6" w:space="0"/>
              <w:right w:val="single" w:color="D9D9D9" w:sz="6" w:space="0"/>
            </w:tcBorders>
          </w:tcPr>
          <w:p w14:paraId="3AD28227">
            <w:pPr>
              <w:spacing w:before="20" w:after="20" w:line="252" w:lineRule="auto"/>
              <w:jc w:val="center"/>
            </w:pPr>
            <w:r>
              <w:rPr>
                <w:rFonts w:ascii="Times New Roman" w:hAnsi="Times New Roman" w:eastAsia="Noto Serif CJK SC"/>
                <w:sz w:val="18"/>
              </w:rPr>
              <w:t>926.4</w:t>
            </w:r>
          </w:p>
        </w:tc>
      </w:tr>
      <w:tr w14:paraId="7C0BB036">
        <w:tblPrEx>
          <w:tblCellMar>
            <w:top w:w="0" w:type="dxa"/>
            <w:left w:w="108" w:type="dxa"/>
            <w:bottom w:w="0" w:type="dxa"/>
            <w:right w:w="108" w:type="dxa"/>
          </w:tblCellMar>
        </w:tblPrEx>
        <w:trPr>
          <w:jc w:val="center"/>
        </w:trPr>
        <w:tc>
          <w:tcPr>
            <w:tcW w:w="794" w:type="dxa"/>
            <w:tcBorders>
              <w:top w:val="single" w:color="D9D9D9" w:sz="6" w:space="0"/>
              <w:left w:val="single" w:color="D9D9D9" w:sz="6" w:space="0"/>
              <w:bottom w:val="single" w:color="D9D9D9" w:sz="6" w:space="0"/>
              <w:right w:val="single" w:color="D9D9D9" w:sz="6" w:space="0"/>
            </w:tcBorders>
            <w:shd w:val="clear" w:color="auto" w:fill="F5F9FC"/>
          </w:tcPr>
          <w:p w14:paraId="18EA6ED8">
            <w:pPr>
              <w:spacing w:before="20" w:after="20" w:line="252" w:lineRule="auto"/>
              <w:jc w:val="center"/>
            </w:pPr>
            <w:r>
              <w:rPr>
                <w:rFonts w:ascii="Times New Roman" w:hAnsi="Times New Roman" w:eastAsia="Noto Serif CJK SC"/>
                <w:sz w:val="18"/>
              </w:rPr>
              <w:t>60</w:t>
            </w:r>
          </w:p>
        </w:tc>
        <w:tc>
          <w:tcPr>
            <w:tcW w:w="1191" w:type="dxa"/>
            <w:tcBorders>
              <w:top w:val="single" w:color="D9D9D9" w:sz="6" w:space="0"/>
              <w:left w:val="single" w:color="D9D9D9" w:sz="6" w:space="0"/>
              <w:bottom w:val="single" w:color="D9D9D9" w:sz="6" w:space="0"/>
              <w:right w:val="single" w:color="D9D9D9" w:sz="6" w:space="0"/>
            </w:tcBorders>
          </w:tcPr>
          <w:p w14:paraId="0FF82ACF">
            <w:pPr>
              <w:spacing w:before="20" w:after="20" w:line="252" w:lineRule="auto"/>
              <w:jc w:val="center"/>
            </w:pPr>
            <w:r>
              <w:rPr>
                <w:rFonts w:ascii="Times New Roman" w:hAnsi="Times New Roman" w:eastAsia="Noto Serif CJK SC"/>
                <w:sz w:val="18"/>
              </w:rPr>
              <w:t>0.69912</w:t>
            </w:r>
          </w:p>
        </w:tc>
        <w:tc>
          <w:tcPr>
            <w:tcW w:w="1191" w:type="dxa"/>
            <w:tcBorders>
              <w:top w:val="single" w:color="D9D9D9" w:sz="6" w:space="0"/>
              <w:left w:val="single" w:color="D9D9D9" w:sz="6" w:space="0"/>
              <w:bottom w:val="single" w:color="D9D9D9" w:sz="6" w:space="0"/>
              <w:right w:val="single" w:color="D9D9D9" w:sz="6" w:space="0"/>
            </w:tcBorders>
          </w:tcPr>
          <w:p w14:paraId="550F402A">
            <w:pPr>
              <w:spacing w:before="20" w:after="20" w:line="252" w:lineRule="auto"/>
              <w:jc w:val="center"/>
            </w:pPr>
            <w:r>
              <w:rPr>
                <w:rFonts w:ascii="Times New Roman" w:hAnsi="Times New Roman" w:eastAsia="Noto Serif CJK SC"/>
                <w:sz w:val="18"/>
              </w:rPr>
              <w:t>0.15921</w:t>
            </w:r>
          </w:p>
        </w:tc>
        <w:tc>
          <w:tcPr>
            <w:tcW w:w="1191" w:type="dxa"/>
            <w:tcBorders>
              <w:top w:val="single" w:color="D9D9D9" w:sz="6" w:space="0"/>
              <w:left w:val="single" w:color="D9D9D9" w:sz="6" w:space="0"/>
              <w:bottom w:val="single" w:color="D9D9D9" w:sz="6" w:space="0"/>
              <w:right w:val="single" w:color="D9D9D9" w:sz="6" w:space="0"/>
            </w:tcBorders>
          </w:tcPr>
          <w:p w14:paraId="0F6E8194">
            <w:pPr>
              <w:spacing w:before="20" w:after="20" w:line="252" w:lineRule="auto"/>
              <w:jc w:val="center"/>
            </w:pPr>
            <w:r>
              <w:rPr>
                <w:rFonts w:ascii="Times New Roman" w:hAnsi="Times New Roman" w:eastAsia="Noto Serif CJK SC"/>
                <w:sz w:val="18"/>
              </w:rPr>
              <w:t>127.449</w:t>
            </w:r>
          </w:p>
        </w:tc>
        <w:tc>
          <w:tcPr>
            <w:tcW w:w="1247" w:type="dxa"/>
            <w:tcBorders>
              <w:top w:val="single" w:color="D9D9D9" w:sz="6" w:space="0"/>
              <w:left w:val="single" w:color="D9D9D9" w:sz="6" w:space="0"/>
              <w:bottom w:val="single" w:color="D9D9D9" w:sz="6" w:space="0"/>
              <w:right w:val="single" w:color="D9D9D9" w:sz="6" w:space="0"/>
            </w:tcBorders>
          </w:tcPr>
          <w:p w14:paraId="2E6C31C2">
            <w:pPr>
              <w:spacing w:before="20" w:after="20" w:line="252" w:lineRule="auto"/>
              <w:jc w:val="center"/>
            </w:pPr>
            <w:r>
              <w:rPr>
                <w:rFonts w:ascii="Times New Roman" w:hAnsi="Times New Roman" w:eastAsia="Noto Serif CJK SC"/>
                <w:sz w:val="18"/>
              </w:rPr>
              <w:t>128.312</w:t>
            </w:r>
          </w:p>
        </w:tc>
        <w:tc>
          <w:tcPr>
            <w:tcW w:w="1134" w:type="dxa"/>
            <w:tcBorders>
              <w:top w:val="single" w:color="D9D9D9" w:sz="6" w:space="0"/>
              <w:left w:val="single" w:color="D9D9D9" w:sz="6" w:space="0"/>
              <w:bottom w:val="single" w:color="D9D9D9" w:sz="6" w:space="0"/>
              <w:right w:val="single" w:color="D9D9D9" w:sz="6" w:space="0"/>
            </w:tcBorders>
          </w:tcPr>
          <w:p w14:paraId="2D565B84">
            <w:pPr>
              <w:spacing w:before="20" w:after="20" w:line="252" w:lineRule="auto"/>
              <w:jc w:val="center"/>
            </w:pPr>
            <w:r>
              <w:rPr>
                <w:rFonts w:ascii="Times New Roman" w:hAnsi="Times New Roman" w:eastAsia="Noto Serif CJK SC"/>
                <w:sz w:val="18"/>
              </w:rPr>
              <w:t>7.96e-06</w:t>
            </w:r>
          </w:p>
        </w:tc>
        <w:tc>
          <w:tcPr>
            <w:tcW w:w="1134" w:type="dxa"/>
            <w:tcBorders>
              <w:top w:val="single" w:color="D9D9D9" w:sz="6" w:space="0"/>
              <w:left w:val="single" w:color="D9D9D9" w:sz="6" w:space="0"/>
              <w:bottom w:val="single" w:color="D9D9D9" w:sz="6" w:space="0"/>
              <w:right w:val="single" w:color="D9D9D9" w:sz="6" w:space="0"/>
            </w:tcBorders>
          </w:tcPr>
          <w:p w14:paraId="7A20FE5E">
            <w:pPr>
              <w:spacing w:before="20" w:after="20" w:line="252" w:lineRule="auto"/>
              <w:jc w:val="center"/>
            </w:pPr>
            <w:r>
              <w:rPr>
                <w:rFonts w:ascii="Times New Roman" w:hAnsi="Times New Roman" w:eastAsia="Noto Serif CJK SC"/>
                <w:sz w:val="18"/>
              </w:rPr>
              <w:t>927.8</w:t>
            </w:r>
          </w:p>
        </w:tc>
      </w:tr>
      <w:tr w14:paraId="474BA44B">
        <w:tblPrEx>
          <w:tblCellMar>
            <w:top w:w="0" w:type="dxa"/>
            <w:left w:w="108" w:type="dxa"/>
            <w:bottom w:w="0" w:type="dxa"/>
            <w:right w:w="108" w:type="dxa"/>
          </w:tblCellMar>
        </w:tblPrEx>
        <w:trPr>
          <w:jc w:val="center"/>
        </w:trPr>
        <w:tc>
          <w:tcPr>
            <w:tcW w:w="794" w:type="dxa"/>
            <w:tcBorders>
              <w:top w:val="single" w:color="D9D9D9" w:sz="6" w:space="0"/>
              <w:left w:val="single" w:color="D9D9D9" w:sz="6" w:space="0"/>
              <w:bottom w:val="single" w:color="D9D9D9" w:sz="6" w:space="0"/>
              <w:right w:val="single" w:color="D9D9D9" w:sz="6" w:space="0"/>
            </w:tcBorders>
            <w:shd w:val="clear" w:color="auto" w:fill="F5F9FC"/>
          </w:tcPr>
          <w:p w14:paraId="6A3C56E9">
            <w:pPr>
              <w:spacing w:before="20" w:after="20" w:line="252" w:lineRule="auto"/>
              <w:jc w:val="center"/>
            </w:pPr>
            <w:r>
              <w:rPr>
                <w:rFonts w:ascii="Times New Roman" w:hAnsi="Times New Roman" w:eastAsia="Noto Serif CJK SC"/>
                <w:sz w:val="18"/>
              </w:rPr>
              <w:t>80</w:t>
            </w:r>
          </w:p>
        </w:tc>
        <w:tc>
          <w:tcPr>
            <w:tcW w:w="1191" w:type="dxa"/>
            <w:tcBorders>
              <w:top w:val="single" w:color="D9D9D9" w:sz="6" w:space="0"/>
              <w:left w:val="single" w:color="D9D9D9" w:sz="6" w:space="0"/>
              <w:bottom w:val="single" w:color="D9D9D9" w:sz="6" w:space="0"/>
              <w:right w:val="single" w:color="D9D9D9" w:sz="6" w:space="0"/>
            </w:tcBorders>
          </w:tcPr>
          <w:p w14:paraId="3E678859">
            <w:pPr>
              <w:spacing w:before="20" w:after="20" w:line="252" w:lineRule="auto"/>
              <w:jc w:val="center"/>
            </w:pPr>
            <w:r>
              <w:rPr>
                <w:rFonts w:ascii="Times New Roman" w:hAnsi="Times New Roman" w:eastAsia="Noto Serif CJK SC"/>
                <w:sz w:val="18"/>
              </w:rPr>
              <w:t>0.69666</w:t>
            </w:r>
          </w:p>
        </w:tc>
        <w:tc>
          <w:tcPr>
            <w:tcW w:w="1191" w:type="dxa"/>
            <w:tcBorders>
              <w:top w:val="single" w:color="D9D9D9" w:sz="6" w:space="0"/>
              <w:left w:val="single" w:color="D9D9D9" w:sz="6" w:space="0"/>
              <w:bottom w:val="single" w:color="D9D9D9" w:sz="6" w:space="0"/>
              <w:right w:val="single" w:color="D9D9D9" w:sz="6" w:space="0"/>
            </w:tcBorders>
          </w:tcPr>
          <w:p w14:paraId="18713C51">
            <w:pPr>
              <w:spacing w:before="20" w:after="20" w:line="252" w:lineRule="auto"/>
              <w:jc w:val="center"/>
            </w:pPr>
            <w:r>
              <w:rPr>
                <w:rFonts w:ascii="Times New Roman" w:hAnsi="Times New Roman" w:eastAsia="Noto Serif CJK SC"/>
                <w:sz w:val="18"/>
              </w:rPr>
              <w:t>0.15806</w:t>
            </w:r>
          </w:p>
        </w:tc>
        <w:tc>
          <w:tcPr>
            <w:tcW w:w="1191" w:type="dxa"/>
            <w:tcBorders>
              <w:top w:val="single" w:color="D9D9D9" w:sz="6" w:space="0"/>
              <w:left w:val="single" w:color="D9D9D9" w:sz="6" w:space="0"/>
              <w:bottom w:val="single" w:color="D9D9D9" w:sz="6" w:space="0"/>
              <w:right w:val="single" w:color="D9D9D9" w:sz="6" w:space="0"/>
            </w:tcBorders>
          </w:tcPr>
          <w:p w14:paraId="6F3681CA">
            <w:pPr>
              <w:spacing w:before="20" w:after="20" w:line="252" w:lineRule="auto"/>
              <w:jc w:val="center"/>
            </w:pPr>
            <w:r>
              <w:rPr>
                <w:rFonts w:ascii="Times New Roman" w:hAnsi="Times New Roman" w:eastAsia="Noto Serif CJK SC"/>
                <w:sz w:val="18"/>
              </w:rPr>
              <w:t>126.438</w:t>
            </w:r>
          </w:p>
        </w:tc>
        <w:tc>
          <w:tcPr>
            <w:tcW w:w="1247" w:type="dxa"/>
            <w:tcBorders>
              <w:top w:val="single" w:color="D9D9D9" w:sz="6" w:space="0"/>
              <w:left w:val="single" w:color="D9D9D9" w:sz="6" w:space="0"/>
              <w:bottom w:val="single" w:color="D9D9D9" w:sz="6" w:space="0"/>
              <w:right w:val="single" w:color="D9D9D9" w:sz="6" w:space="0"/>
            </w:tcBorders>
          </w:tcPr>
          <w:p w14:paraId="198B1A48">
            <w:pPr>
              <w:spacing w:before="20" w:after="20" w:line="252" w:lineRule="auto"/>
              <w:jc w:val="center"/>
            </w:pPr>
            <w:r>
              <w:rPr>
                <w:rFonts w:ascii="Times New Roman" w:hAnsi="Times New Roman" w:eastAsia="Noto Serif CJK SC"/>
                <w:sz w:val="18"/>
              </w:rPr>
              <w:t>127.249</w:t>
            </w:r>
          </w:p>
        </w:tc>
        <w:tc>
          <w:tcPr>
            <w:tcW w:w="1134" w:type="dxa"/>
            <w:tcBorders>
              <w:top w:val="single" w:color="D9D9D9" w:sz="6" w:space="0"/>
              <w:left w:val="single" w:color="D9D9D9" w:sz="6" w:space="0"/>
              <w:bottom w:val="single" w:color="D9D9D9" w:sz="6" w:space="0"/>
              <w:right w:val="single" w:color="D9D9D9" w:sz="6" w:space="0"/>
            </w:tcBorders>
          </w:tcPr>
          <w:p w14:paraId="3C8687B4">
            <w:pPr>
              <w:spacing w:before="20" w:after="20" w:line="252" w:lineRule="auto"/>
              <w:jc w:val="center"/>
            </w:pPr>
            <w:r>
              <w:rPr>
                <w:rFonts w:ascii="Times New Roman" w:hAnsi="Times New Roman" w:eastAsia="Noto Serif CJK SC"/>
                <w:sz w:val="18"/>
              </w:rPr>
              <w:t>1.00e-07</w:t>
            </w:r>
          </w:p>
        </w:tc>
        <w:tc>
          <w:tcPr>
            <w:tcW w:w="1134" w:type="dxa"/>
            <w:tcBorders>
              <w:top w:val="single" w:color="D9D9D9" w:sz="6" w:space="0"/>
              <w:left w:val="single" w:color="D9D9D9" w:sz="6" w:space="0"/>
              <w:bottom w:val="single" w:color="D9D9D9" w:sz="6" w:space="0"/>
              <w:right w:val="single" w:color="D9D9D9" w:sz="6" w:space="0"/>
            </w:tcBorders>
          </w:tcPr>
          <w:p w14:paraId="4B9931C5">
            <w:pPr>
              <w:spacing w:before="20" w:after="20" w:line="252" w:lineRule="auto"/>
              <w:jc w:val="center"/>
            </w:pPr>
            <w:r>
              <w:rPr>
                <w:rFonts w:ascii="Times New Roman" w:hAnsi="Times New Roman" w:eastAsia="Noto Serif CJK SC"/>
                <w:sz w:val="18"/>
              </w:rPr>
              <w:t>926.2</w:t>
            </w:r>
          </w:p>
        </w:tc>
      </w:tr>
    </w:tbl>
    <w:p w14:paraId="709F250D">
      <w:pPr>
        <w:spacing w:before="80" w:after="80" w:line="288" w:lineRule="auto"/>
        <w:jc w:val="center"/>
      </w:pPr>
      <w:r>
        <w:rPr>
          <w:rFonts w:ascii="Times New Roman" w:hAnsi="Times New Roman" w:eastAsia="Noto Serif CJK SC"/>
          <w:i/>
          <w:sz w:val="20"/>
        </w:rPr>
        <w:t>表1 关键训练节点指标统计</w:t>
      </w:r>
    </w:p>
    <w:p w14:paraId="2F683816">
      <w:pPr>
        <w:spacing w:before="0" w:after="140" w:line="348" w:lineRule="auto"/>
      </w:pPr>
      <w:r>
        <w:rPr>
          <w:rFonts w:ascii="Times New Roman" w:hAnsi="Times New Roman" w:eastAsia="Noto Serif CJK SC"/>
          <w:sz w:val="22"/>
        </w:rPr>
        <w:t>表1显示，模型在前 20 个 epoch 内已完成大部分粗粒度优化，Val EPE 从 383.818 px 快速下降至 276.094 px；在 20–40 个 epoch 内，验证指标继续显著改善；40 个 epoch 之后，训练和验证指标逐渐进入平台期。这与折线图反映的趋势一致，说明网络已具备较好的收敛稳定性与泛化表现。</w:t>
      </w:r>
    </w:p>
    <w:p w14:paraId="43036F43">
      <w:pPr>
        <w:sectPr>
          <w:pgSz w:w="12240" w:h="15840"/>
          <w:pgMar w:top="1247" w:right="1304" w:bottom="1134" w:left="1304" w:header="720" w:footer="720" w:gutter="0"/>
          <w:cols w:space="720" w:num="1"/>
          <w:docGrid w:linePitch="360" w:charSpace="0"/>
        </w:sectPr>
      </w:pPr>
    </w:p>
    <w:p w14:paraId="2AB8275D">
      <w:pPr>
        <w:spacing w:before="200" w:after="100" w:line="264" w:lineRule="auto"/>
      </w:pPr>
      <w:r>
        <w:rPr>
          <w:rFonts w:ascii="Times New Roman" w:hAnsi="Times New Roman" w:eastAsia="Noto Serif CJK SC"/>
          <w:b/>
          <w:color w:val="1F4E79"/>
          <w:sz w:val="28"/>
        </w:rPr>
        <w:t>3 典型样本可视化结果分析</w:t>
      </w:r>
    </w:p>
    <w:p w14:paraId="6C09DCED">
      <w:pPr>
        <w:spacing w:before="0" w:after="140" w:line="348" w:lineRule="auto"/>
      </w:pPr>
      <w:r>
        <w:rPr>
          <w:rFonts w:ascii="Times New Roman" w:hAnsi="Times New Roman" w:eastAsia="Noto Serif CJK SC"/>
          <w:sz w:val="22"/>
        </w:rPr>
        <w:t>以下两张结果图对应同一测试样本的可视化输出，分别用于分析几何校正效果、预测光流与真实光流的一致性，以及预测图像与真实校正图之间的误差分布。</w:t>
      </w:r>
    </w:p>
    <w:p w14:paraId="34551F99">
      <w:pPr>
        <w:spacing w:before="0" w:after="40" w:line="240" w:lineRule="auto"/>
        <w:jc w:val="center"/>
      </w:pPr>
      <w:r>
        <w:drawing>
          <wp:inline distT="0" distB="0" distL="114300" distR="114300">
            <wp:extent cx="6685915" cy="1501775"/>
            <wp:effectExtent l="0" t="0" r="698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685915" cy="1501775"/>
                    </a:xfrm>
                    <a:prstGeom prst="rect">
                      <a:avLst/>
                    </a:prstGeom>
                  </pic:spPr>
                </pic:pic>
              </a:graphicData>
            </a:graphic>
          </wp:inline>
        </w:drawing>
      </w:r>
    </w:p>
    <w:p w14:paraId="4222A6B9">
      <w:pPr>
        <w:spacing w:before="80" w:after="80" w:line="288" w:lineRule="auto"/>
        <w:jc w:val="center"/>
      </w:pPr>
      <w:r>
        <w:rPr>
          <w:rFonts w:ascii="Times New Roman" w:hAnsi="Times New Roman" w:eastAsia="Noto Serif CJK SC"/>
          <w:i/>
          <w:sz w:val="20"/>
        </w:rPr>
        <w:t>图3 典型样本的输入图、预测校正图、预测光流、真实校正图及真实光流对比</w:t>
      </w:r>
    </w:p>
    <w:p w14:paraId="1CB04E85">
      <w:pPr>
        <w:spacing w:before="0" w:after="140" w:line="348" w:lineRule="auto"/>
        <w:rPr>
          <w:rFonts w:ascii="Times New Roman" w:hAnsi="Times New Roman" w:eastAsia="Noto Serif CJK SC"/>
          <w:sz w:val="22"/>
        </w:rPr>
      </w:pPr>
      <w:r>
        <w:rPr>
          <w:rFonts w:ascii="Times New Roman" w:hAnsi="Times New Roman" w:eastAsia="Noto Serif CJK SC"/>
          <w:sz w:val="22"/>
        </w:rPr>
        <w:t>图3表明，模型能够较好恢复裂缝主体的整体走向与位置关系，预测校正图与真实校正图在全局几何结构上较为接近。同时，预测光流场与真实光流场在主导方向和整体分布趋势上保持一致，说明模型已学到主要的位移映射模式。不过，预测结果在局部纹理区域仍出现一定平滑化现象，图像边缘和结构突变位置存在块状或过渡不够自然的问题，反映出当前模型对局部复杂非线性扭曲的表达能力仍有提升空间。</w:t>
      </w:r>
    </w:p>
    <w:p w14:paraId="035963DB"/>
    <w:p w14:paraId="22D284FA">
      <w:pPr>
        <w:spacing w:before="0" w:after="40" w:line="240" w:lineRule="auto"/>
        <w:jc w:val="center"/>
      </w:pPr>
      <w:r>
        <w:drawing>
          <wp:inline distT="0" distB="0" distL="114300" distR="114300">
            <wp:extent cx="6618605" cy="1758315"/>
            <wp:effectExtent l="0" t="0" r="1079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618605" cy="1758315"/>
                    </a:xfrm>
                    <a:prstGeom prst="rect">
                      <a:avLst/>
                    </a:prstGeom>
                  </pic:spPr>
                </pic:pic>
              </a:graphicData>
            </a:graphic>
          </wp:inline>
        </w:drawing>
      </w:r>
    </w:p>
    <w:p w14:paraId="6A7AA04A">
      <w:pPr>
        <w:spacing w:before="80" w:after="80" w:line="288" w:lineRule="auto"/>
        <w:jc w:val="center"/>
      </w:pPr>
      <w:r>
        <w:rPr>
          <w:rFonts w:ascii="Times New Roman" w:hAnsi="Times New Roman" w:eastAsia="Noto Serif CJK SC"/>
          <w:i/>
          <w:sz w:val="20"/>
        </w:rPr>
        <w:t>图4 典型样本的输入图、预测校正图、真实校正图及差异热图</w:t>
      </w:r>
    </w:p>
    <w:p w14:paraId="25794AFC">
      <w:pPr>
        <w:spacing w:before="0" w:after="140" w:line="348" w:lineRule="auto"/>
      </w:pPr>
      <w:r>
        <w:rPr>
          <w:rFonts w:ascii="Times New Roman" w:hAnsi="Times New Roman" w:eastAsia="Noto Serif CJK SC"/>
          <w:sz w:val="22"/>
        </w:rPr>
        <w:t>图4进一步给出了预测图与真实校正图之间的误差分布。差异热图的 MSE 为 31.9，深蓝色区域占主导，说明大部分背景区域的残差较低，网络在大尺度几何补偿方面已取得较稳定效果。高亮误差主要集中在裂缝边缘、局部纹理突变处及图像边界附近，表明这些区域仍是当前模型误差的主要来源。结合图3可知，模型已经能够优先恢复裂缝主体的整体几何形态，但在高频细节和边界精细对齐方面仍存在一定偏差。</w:t>
      </w:r>
    </w:p>
    <w:p w14:paraId="55802219">
      <w:pPr>
        <w:sectPr>
          <w:pgSz w:w="12240" w:h="15840"/>
          <w:pgMar w:top="1020" w:right="850" w:bottom="1020" w:left="850" w:header="720" w:footer="720" w:gutter="0"/>
          <w:cols w:space="720" w:num="1"/>
          <w:docGrid w:linePitch="360" w:charSpace="0"/>
        </w:sectPr>
      </w:pPr>
    </w:p>
    <w:p w14:paraId="42A61B4D">
      <w:pPr>
        <w:spacing w:before="200" w:after="100" w:line="264" w:lineRule="auto"/>
      </w:pPr>
      <w:r>
        <w:rPr>
          <w:rFonts w:ascii="Times New Roman" w:hAnsi="Times New Roman" w:eastAsia="Noto Serif CJK SC"/>
          <w:b/>
          <w:color w:val="1F4E79"/>
          <w:sz w:val="28"/>
        </w:rPr>
        <w:t>4 综合讨论与结论</w:t>
      </w:r>
    </w:p>
    <w:p w14:paraId="6C305076">
      <w:pPr>
        <w:spacing w:before="0" w:after="140" w:line="348" w:lineRule="auto"/>
      </w:pPr>
      <w:r>
        <w:rPr>
          <w:rFonts w:ascii="Times New Roman" w:hAnsi="Times New Roman" w:eastAsia="Noto Serif CJK SC"/>
          <w:sz w:val="22"/>
        </w:rPr>
        <w:t>综合折线图与典型样本输出结果，可以得到以下结论：</w:t>
      </w:r>
    </w:p>
    <w:tbl>
      <w:tblPr>
        <w:tblStyle w:val="32"/>
        <w:tblW w:w="0" w:type="auto"/>
        <w:jc w:val="center"/>
        <w:tblLayout w:type="fixed"/>
        <w:tblCellMar>
          <w:top w:w="0" w:type="dxa"/>
          <w:left w:w="108" w:type="dxa"/>
          <w:bottom w:w="0" w:type="dxa"/>
          <w:right w:w="108" w:type="dxa"/>
        </w:tblCellMar>
      </w:tblPr>
      <w:tblGrid>
        <w:gridCol w:w="2154"/>
        <w:gridCol w:w="6917"/>
      </w:tblGrid>
      <w:tr w14:paraId="26C449A7">
        <w:tblPrEx>
          <w:tblCellMar>
            <w:top w:w="0" w:type="dxa"/>
            <w:left w:w="108" w:type="dxa"/>
            <w:bottom w:w="0" w:type="dxa"/>
            <w:right w:w="108" w:type="dxa"/>
          </w:tblCellMar>
        </w:tblPrEx>
        <w:trPr>
          <w:jc w:val="center"/>
        </w:trPr>
        <w:tc>
          <w:tcPr>
            <w:tcW w:w="2154" w:type="dxa"/>
            <w:tcBorders>
              <w:top w:val="single" w:color="D9D9D9" w:sz="6" w:space="0"/>
              <w:left w:val="single" w:color="D9D9D9" w:sz="6" w:space="0"/>
              <w:bottom w:val="single" w:color="D9D9D9" w:sz="6" w:space="0"/>
              <w:right w:val="single" w:color="D9D9D9" w:sz="6" w:space="0"/>
            </w:tcBorders>
            <w:shd w:val="clear" w:color="auto" w:fill="F5F9FC"/>
          </w:tcPr>
          <w:p w14:paraId="3DC1E0C8">
            <w:pPr>
              <w:spacing w:before="40" w:after="40" w:line="264" w:lineRule="auto"/>
              <w:jc w:val="center"/>
            </w:pPr>
            <w:r>
              <w:rPr>
                <w:rFonts w:ascii="Times New Roman" w:hAnsi="Times New Roman" w:eastAsia="Noto Serif CJK SC"/>
                <w:b/>
                <w:color w:val="1F4E79"/>
                <w:sz w:val="21"/>
              </w:rPr>
              <w:t>收敛性</w:t>
            </w:r>
          </w:p>
        </w:tc>
        <w:tc>
          <w:tcPr>
            <w:tcW w:w="6917" w:type="dxa"/>
            <w:tcBorders>
              <w:top w:val="single" w:color="D9D9D9" w:sz="6" w:space="0"/>
              <w:left w:val="single" w:color="D9D9D9" w:sz="6" w:space="0"/>
              <w:bottom w:val="single" w:color="D9D9D9" w:sz="6" w:space="0"/>
              <w:right w:val="single" w:color="D9D9D9" w:sz="6" w:space="0"/>
            </w:tcBorders>
          </w:tcPr>
          <w:p w14:paraId="11C42A91">
            <w:pPr>
              <w:spacing w:before="40" w:after="40" w:line="300" w:lineRule="auto"/>
            </w:pPr>
            <w:r>
              <w:rPr>
                <w:rFonts w:ascii="Times New Roman" w:hAnsi="Times New Roman" w:eastAsia="Noto Serif CJK SC"/>
                <w:sz w:val="21"/>
              </w:rPr>
              <w:t>模型在 80 个 epoch 内完成稳定收敛，验证损失和验证 EPE 均持续下降，未观察到明显发散或异常震荡。</w:t>
            </w:r>
          </w:p>
        </w:tc>
      </w:tr>
      <w:tr w14:paraId="288A0EA4">
        <w:tblPrEx>
          <w:tblCellMar>
            <w:top w:w="0" w:type="dxa"/>
            <w:left w:w="108" w:type="dxa"/>
            <w:bottom w:w="0" w:type="dxa"/>
            <w:right w:w="108" w:type="dxa"/>
          </w:tblCellMar>
        </w:tblPrEx>
        <w:trPr>
          <w:jc w:val="center"/>
        </w:trPr>
        <w:tc>
          <w:tcPr>
            <w:tcW w:w="2154" w:type="dxa"/>
            <w:tcBorders>
              <w:top w:val="single" w:color="D9D9D9" w:sz="6" w:space="0"/>
              <w:left w:val="single" w:color="D9D9D9" w:sz="6" w:space="0"/>
              <w:bottom w:val="single" w:color="D9D9D9" w:sz="6" w:space="0"/>
              <w:right w:val="single" w:color="D9D9D9" w:sz="6" w:space="0"/>
            </w:tcBorders>
            <w:shd w:val="clear" w:color="auto" w:fill="F5F9FC"/>
          </w:tcPr>
          <w:p w14:paraId="42EF1E32">
            <w:pPr>
              <w:spacing w:before="40" w:after="40" w:line="264" w:lineRule="auto"/>
              <w:jc w:val="center"/>
            </w:pPr>
            <w:r>
              <w:rPr>
                <w:rFonts w:ascii="Times New Roman" w:hAnsi="Times New Roman" w:eastAsia="Noto Serif CJK SC"/>
                <w:b/>
                <w:color w:val="1F4E79"/>
                <w:sz w:val="21"/>
              </w:rPr>
              <w:t>全局校正能力</w:t>
            </w:r>
          </w:p>
        </w:tc>
        <w:tc>
          <w:tcPr>
            <w:tcW w:w="6917" w:type="dxa"/>
            <w:tcBorders>
              <w:top w:val="single" w:color="D9D9D9" w:sz="6" w:space="0"/>
              <w:left w:val="single" w:color="D9D9D9" w:sz="6" w:space="0"/>
              <w:bottom w:val="single" w:color="D9D9D9" w:sz="6" w:space="0"/>
              <w:right w:val="single" w:color="D9D9D9" w:sz="6" w:space="0"/>
            </w:tcBorders>
          </w:tcPr>
          <w:p w14:paraId="19B525FD">
            <w:pPr>
              <w:spacing w:before="40" w:after="40" w:line="300" w:lineRule="auto"/>
            </w:pPr>
            <w:r>
              <w:rPr>
                <w:rFonts w:ascii="Times New Roman" w:hAnsi="Times New Roman" w:eastAsia="Noto Serif CJK SC"/>
                <w:sz w:val="21"/>
              </w:rPr>
              <w:t>预测校正图能够恢复裂缝主体的整体位置与走向，预测光流与真实光流在主导形变趋势上具有较高一致性。</w:t>
            </w:r>
          </w:p>
        </w:tc>
      </w:tr>
      <w:tr w14:paraId="79F9F774">
        <w:tblPrEx>
          <w:tblCellMar>
            <w:top w:w="0" w:type="dxa"/>
            <w:left w:w="108" w:type="dxa"/>
            <w:bottom w:w="0" w:type="dxa"/>
            <w:right w:w="108" w:type="dxa"/>
          </w:tblCellMar>
        </w:tblPrEx>
        <w:trPr>
          <w:jc w:val="center"/>
        </w:trPr>
        <w:tc>
          <w:tcPr>
            <w:tcW w:w="2154" w:type="dxa"/>
            <w:tcBorders>
              <w:top w:val="single" w:color="D9D9D9" w:sz="6" w:space="0"/>
              <w:left w:val="single" w:color="D9D9D9" w:sz="6" w:space="0"/>
              <w:bottom w:val="single" w:color="D9D9D9" w:sz="6" w:space="0"/>
              <w:right w:val="single" w:color="D9D9D9" w:sz="6" w:space="0"/>
            </w:tcBorders>
            <w:shd w:val="clear" w:color="auto" w:fill="F5F9FC"/>
          </w:tcPr>
          <w:p w14:paraId="088FE9F4">
            <w:pPr>
              <w:spacing w:before="40" w:after="40" w:line="264" w:lineRule="auto"/>
              <w:jc w:val="center"/>
            </w:pPr>
            <w:r>
              <w:rPr>
                <w:rFonts w:ascii="Times New Roman" w:hAnsi="Times New Roman" w:eastAsia="Noto Serif CJK SC"/>
                <w:b/>
                <w:color w:val="1F4E79"/>
                <w:sz w:val="21"/>
              </w:rPr>
              <w:t>局部细节恢复</w:t>
            </w:r>
          </w:p>
        </w:tc>
        <w:tc>
          <w:tcPr>
            <w:tcW w:w="6917" w:type="dxa"/>
            <w:tcBorders>
              <w:top w:val="single" w:color="D9D9D9" w:sz="6" w:space="0"/>
              <w:left w:val="single" w:color="D9D9D9" w:sz="6" w:space="0"/>
              <w:bottom w:val="single" w:color="D9D9D9" w:sz="6" w:space="0"/>
              <w:right w:val="single" w:color="D9D9D9" w:sz="6" w:space="0"/>
            </w:tcBorders>
          </w:tcPr>
          <w:p w14:paraId="7CD15B29">
            <w:pPr>
              <w:spacing w:before="40" w:after="40" w:line="300" w:lineRule="auto"/>
            </w:pPr>
            <w:r>
              <w:rPr>
                <w:rFonts w:ascii="Times New Roman" w:hAnsi="Times New Roman" w:eastAsia="Noto Serif CJK SC"/>
                <w:sz w:val="21"/>
              </w:rPr>
              <w:t>在裂缝边缘、纹理突变区和图像边界附近仍存在平滑化、局部块效应和残余误差，说明高频细节拟合仍是主要瓶颈。</w:t>
            </w:r>
          </w:p>
        </w:tc>
      </w:tr>
      <w:tr w14:paraId="7644222F">
        <w:tblPrEx>
          <w:tblCellMar>
            <w:top w:w="0" w:type="dxa"/>
            <w:left w:w="108" w:type="dxa"/>
            <w:bottom w:w="0" w:type="dxa"/>
            <w:right w:w="108" w:type="dxa"/>
          </w:tblCellMar>
        </w:tblPrEx>
        <w:trPr>
          <w:jc w:val="center"/>
        </w:trPr>
        <w:tc>
          <w:tcPr>
            <w:tcW w:w="2154" w:type="dxa"/>
            <w:tcBorders>
              <w:top w:val="single" w:color="D9D9D9" w:sz="6" w:space="0"/>
              <w:left w:val="single" w:color="D9D9D9" w:sz="6" w:space="0"/>
              <w:bottom w:val="single" w:color="D9D9D9" w:sz="6" w:space="0"/>
              <w:right w:val="single" w:color="D9D9D9" w:sz="6" w:space="0"/>
            </w:tcBorders>
            <w:shd w:val="clear" w:color="auto" w:fill="F5F9FC"/>
          </w:tcPr>
          <w:p w14:paraId="77C4D4BA">
            <w:pPr>
              <w:spacing w:before="40" w:after="40" w:line="264" w:lineRule="auto"/>
              <w:jc w:val="center"/>
            </w:pPr>
            <w:r>
              <w:rPr>
                <w:rFonts w:ascii="Times New Roman" w:hAnsi="Times New Roman" w:eastAsia="Noto Serif CJK SC"/>
                <w:b/>
                <w:color w:val="1F4E79"/>
                <w:sz w:val="21"/>
              </w:rPr>
              <w:t>工程意义</w:t>
            </w:r>
          </w:p>
        </w:tc>
        <w:tc>
          <w:tcPr>
            <w:tcW w:w="6917" w:type="dxa"/>
            <w:tcBorders>
              <w:top w:val="single" w:color="D9D9D9" w:sz="6" w:space="0"/>
              <w:left w:val="single" w:color="D9D9D9" w:sz="6" w:space="0"/>
              <w:bottom w:val="single" w:color="D9D9D9" w:sz="6" w:space="0"/>
              <w:right w:val="single" w:color="D9D9D9" w:sz="6" w:space="0"/>
            </w:tcBorders>
          </w:tcPr>
          <w:p w14:paraId="6D43C980">
            <w:pPr>
              <w:spacing w:before="40" w:after="40" w:line="300" w:lineRule="auto"/>
            </w:pPr>
            <w:r>
              <w:rPr>
                <w:rFonts w:ascii="Times New Roman" w:hAnsi="Times New Roman" w:eastAsia="Noto Serif CJK SC"/>
                <w:sz w:val="21"/>
              </w:rPr>
              <w:t>当前模型已具备较好的全局几何补偿能力，可作为水下裂缝后续检测与参数提取的前置校正模块，但仍需进一步增强局部精细恢复能力。</w:t>
            </w:r>
          </w:p>
        </w:tc>
      </w:tr>
    </w:tbl>
    <w:p w14:paraId="5E228C60">
      <w:pPr>
        <w:spacing w:before="0" w:after="140" w:line="348" w:lineRule="auto"/>
      </w:pPr>
      <w:r>
        <w:rPr>
          <w:rFonts w:ascii="Times New Roman" w:hAnsi="Times New Roman" w:eastAsia="Noto Serif CJK SC"/>
          <w:sz w:val="22"/>
        </w:rPr>
        <w:t>综上，基于训练日志生成的折线图显示该模型具有良好的训练稳定性和后期收敛特征；结合两张可视化输出图可进一步确认，该网络已能够有效学习输入图像到目标校正图像之间的主要几何映射关系，并恢复裂缝主体结构的空间一致性。后续可考虑引入裂缝区域加权监督、边缘保持损失或多尺度局部细化模块，以继续提升局部非线性扭曲的拟合能力与裂缝细节保真度。</w:t>
      </w:r>
    </w:p>
    <w:p w14:paraId="69A884BD">
      <w:pPr>
        <w:spacing w:before="240" w:after="0" w:line="288" w:lineRule="auto"/>
      </w:pPr>
      <w:r>
        <w:rPr>
          <w:rFonts w:ascii="Times New Roman" w:hAnsi="Times New Roman" w:eastAsia="Noto Serif CJK SC"/>
          <w:b/>
          <w:color w:val="646464"/>
          <w:sz w:val="19"/>
        </w:rPr>
        <w:t>说明：</w:t>
      </w:r>
      <w:r>
        <w:rPr>
          <w:rFonts w:ascii="Times New Roman" w:hAnsi="Times New Roman" w:eastAsia="Noto Serif CJK SC"/>
          <w:color w:val="646464"/>
          <w:sz w:val="19"/>
        </w:rPr>
        <w:t>本报告中的训练数据统计来自 train.log 提取结果；折线图由该日志自动生成；图3和图4来自用户提供的典型样本可视化输出。</w:t>
      </w:r>
    </w:p>
    <w:sectPr>
      <w:pgSz w:w="12240" w:h="15840"/>
      <w:pgMar w:top="1247"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erif CJK SC">
    <w:altName w:val="FFont-Family"/>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AA62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630</Words>
  <Characters>780</Characters>
  <Lines>0</Lines>
  <Paragraphs>0</Paragraphs>
  <TotalTime>3</TotalTime>
  <ScaleCrop>false</ScaleCrop>
  <LinksUpToDate>false</LinksUpToDate>
  <CharactersWithSpaces>833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勿忘</cp:lastModifiedBy>
  <dcterms:modified xsi:type="dcterms:W3CDTF">2026-03-22T04:16:17Z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eyJoZGlkIjoiYTgyODc2YzkyMjA4OTBmMTNmMmFkNzc1NmViMWYzZjkiLCJ1c2VySWQiOiI0MjgyODY0MTMifQ==</vt:lpwstr>
  </property>
  <property fmtid="{D5CDD505-2E9C-101B-9397-08002B2CF9AE}" pid="3" name="KSOProductBuildVer">
    <vt:lpwstr>2052-12.1.0.25225</vt:lpwstr>
  </property>
  <property fmtid="{D5CDD505-2E9C-101B-9397-08002B2CF9AE}" pid="4" name="ICV">
    <vt:lpwstr>FDD46890BBC64C52A5363EC274DFDA57_12</vt:lpwstr>
  </property>
</Properties>
</file>