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F6855">
      <w:pPr>
        <w:spacing w:after="80"/>
      </w:pPr>
      <w:r>
        <w:rPr>
          <w:rFonts w:eastAsia="微软雅黑"/>
          <w:b/>
          <w:color w:val="1F4D78"/>
          <w:sz w:val="48"/>
        </w:rPr>
        <w:t>水下裂缝扭曲校正实验报告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"/>
        <w:gridCol w:w="4680"/>
        <w:gridCol w:w="4640"/>
        <w:gridCol w:w="40"/>
      </w:tblGrid>
      <w:tr w14:paraId="361269E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40" w:type="dxa"/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5CDB527B">
            <w:pPr>
              <w:jc w:val="center"/>
            </w:pPr>
            <w:r>
              <w:rPr>
                <w:b/>
                <w:color w:val="1F4D78"/>
                <w:sz w:val="19"/>
              </w:rPr>
              <w:t>数据集划分</w:t>
            </w:r>
          </w:p>
        </w:tc>
        <w:tc>
          <w:tcPr>
            <w:tcW w:w="4680" w:type="dxa"/>
            <w:gridSpan w:val="2"/>
            <w:vAlign w:val="center"/>
          </w:tcPr>
          <w:p w14:paraId="5F55678F">
            <w:pPr>
              <w:spacing w:after="0"/>
            </w:pPr>
            <w:r>
              <w:rPr>
                <w:sz w:val="19"/>
              </w:rPr>
              <w:t>total=10360, train=9324, val=1036</w:t>
            </w:r>
          </w:p>
        </w:tc>
      </w:tr>
      <w:tr w14:paraId="4001C30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40" w:type="dxa"/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56652F11">
            <w:pPr>
              <w:jc w:val="center"/>
            </w:pPr>
            <w:r>
              <w:rPr>
                <w:b/>
                <w:color w:val="1F4D78"/>
                <w:sz w:val="19"/>
              </w:rPr>
              <w:t>模型规模</w:t>
            </w:r>
          </w:p>
        </w:tc>
        <w:tc>
          <w:tcPr>
            <w:tcW w:w="4680" w:type="dxa"/>
            <w:gridSpan w:val="2"/>
            <w:vAlign w:val="center"/>
          </w:tcPr>
          <w:p w14:paraId="7FAD11CD">
            <w:pPr>
              <w:spacing w:after="0"/>
            </w:pPr>
            <w:r>
              <w:rPr>
                <w:sz w:val="19"/>
              </w:rPr>
              <w:t>17.84M</w:t>
            </w:r>
          </w:p>
        </w:tc>
      </w:tr>
      <w:tr w14:paraId="7500FA1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40" w:type="dxa"/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6B7F07A7">
            <w:pPr>
              <w:jc w:val="center"/>
            </w:pPr>
            <w:r>
              <w:rPr>
                <w:b/>
                <w:color w:val="1F4D78"/>
                <w:sz w:val="19"/>
              </w:rPr>
              <w:t>训练轮次</w:t>
            </w:r>
          </w:p>
        </w:tc>
        <w:tc>
          <w:tcPr>
            <w:tcW w:w="4680" w:type="dxa"/>
            <w:gridSpan w:val="2"/>
            <w:vAlign w:val="center"/>
          </w:tcPr>
          <w:p w14:paraId="30688FE4">
            <w:pPr>
              <w:spacing w:after="0"/>
            </w:pPr>
            <w:r>
              <w:rPr>
                <w:sz w:val="19"/>
              </w:rPr>
              <w:t>1 - 50 epoch，共 50 轮</w:t>
            </w:r>
          </w:p>
        </w:tc>
      </w:tr>
      <w:tr w14:paraId="3E3A0717">
        <w:tblPrEx>
          <w:tblBorders>
            <w:top w:val="single" w:color="C9D6E8" w:sz="8" w:space="0"/>
            <w:left w:val="single" w:color="C9D6E8" w:sz="8" w:space="0"/>
            <w:bottom w:val="single" w:color="C9D6E8" w:sz="8" w:space="0"/>
            <w:right w:val="single" w:color="C9D6E8" w:sz="8" w:space="0"/>
            <w:insideH w:val="single" w:color="C9D6E8" w:sz="8" w:space="0"/>
            <w:insideV w:val="single" w:color="C9D6E8" w:sz="8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gridAfter w:val="1"/>
          <w:wAfter w:w="40" w:type="dxa"/>
          <w:jc w:val="center"/>
        </w:trPr>
        <w:tc>
          <w:tcPr>
            <w:tcW w:w="9360" w:type="dxa"/>
            <w:gridSpan w:val="3"/>
            <w:shd w:val="clear" w:color="auto" w:fill="F4F6F9"/>
          </w:tcPr>
          <w:p w14:paraId="7AACDE48">
            <w:r>
              <w:rPr>
                <w:b/>
                <w:color w:val="1F4D78"/>
                <w:sz w:val="21"/>
              </w:rPr>
              <w:t>核心结论：</w:t>
            </w:r>
            <w:r>
              <w:rPr>
                <w:sz w:val="21"/>
              </w:rPr>
              <w:t xml:space="preserve"> 模型训练过程稳定，验证损失从 1.04719 降至 0.32642，最佳验证 EPE 为 117.885 px；但 gate report 显示所有 checkpoint 均未达到预设工程门限，主要瓶颈集中在 crack EPE、裂缝 Dice、边缘保真度和 folding rate。</w:t>
            </w:r>
          </w:p>
        </w:tc>
      </w:tr>
    </w:tbl>
    <w:p w14:paraId="14932BC4">
      <w:pPr>
        <w:spacing w:after="40"/>
      </w:pPr>
    </w:p>
    <w:p w14:paraId="63024C7F">
      <w:pPr>
        <w:pStyle w:val="3"/>
      </w:pPr>
      <w:r>
        <w:t>1 实验概况</w:t>
      </w:r>
    </w:p>
    <w:p w14:paraId="1D4A1A83">
      <w:r>
        <w:t>本实验围绕水下裂缝图像的几何扭曲校正任务展开，核心目标是训练一个能够从扭曲图像预测逆映射场的网络，进而通过 cv2.remap 将输入图像恢复到更接近无扭曲状态的空间形态。与参考附件相比，本报告不仅复现训练曲线与典型样本展示，还进一步纳入 checkpoint 横向评估、逐图像误差分布、ROI 局部观察、门限失败原因和下一步优化建议。</w:t>
      </w:r>
    </w:p>
    <w:p w14:paraId="60FAB258">
      <w:r>
        <w:t>从 train.log 可知，训练使用 cuda:0 和 AMP 混合精度，数据集共 10,360 张，其中训练集 9,324 张、验证集 1,036 张；模型参数量为 17.84M。训练共进行 50 个 epoch，调度器为 CosineAnnealingWarmRestarts（T_0=25, T_mult=2），从第 30 个 epoch 起启用 mixup（prob=0.1, alpha=0.05），每 5 个 epoch 保存一次 checkpoint。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1A2BDFD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131E35FD">
            <w:pPr>
              <w:jc w:val="center"/>
            </w:pPr>
            <w:r>
              <w:rPr>
                <w:b/>
                <w:color w:val="1F4D78"/>
                <w:sz w:val="17"/>
              </w:rPr>
              <w:t>项目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49F4F47A">
            <w:pPr>
              <w:jc w:val="center"/>
            </w:pPr>
            <w:r>
              <w:rPr>
                <w:b/>
                <w:color w:val="1F4D78"/>
                <w:sz w:val="17"/>
              </w:rPr>
              <w:t>配置/结果</w:t>
            </w:r>
          </w:p>
        </w:tc>
      </w:tr>
      <w:tr w14:paraId="64067CB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84E6A7D">
            <w:pPr>
              <w:jc w:val="center"/>
            </w:pPr>
            <w:r>
              <w:rPr>
                <w:b w:val="0"/>
                <w:sz w:val="17"/>
              </w:rPr>
              <w:t>设备与精度</w:t>
            </w:r>
          </w:p>
        </w:tc>
        <w:tc>
          <w:tcPr>
            <w:tcW w:w="6912" w:type="dxa"/>
            <w:vAlign w:val="center"/>
          </w:tcPr>
          <w:p w14:paraId="7648203B">
            <w:pPr>
              <w:jc w:val="center"/>
            </w:pPr>
            <w:r>
              <w:rPr>
                <w:b w:val="0"/>
                <w:sz w:val="17"/>
              </w:rPr>
              <w:t>cuda:0，AMP=True</w:t>
            </w:r>
          </w:p>
        </w:tc>
      </w:tr>
      <w:tr w14:paraId="38B5BAD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44D19E5">
            <w:pPr>
              <w:jc w:val="center"/>
            </w:pPr>
            <w:r>
              <w:rPr>
                <w:b w:val="0"/>
                <w:sz w:val="17"/>
              </w:rPr>
              <w:t>数据集规模</w:t>
            </w:r>
          </w:p>
        </w:tc>
        <w:tc>
          <w:tcPr>
            <w:tcW w:w="6912" w:type="dxa"/>
            <w:vAlign w:val="center"/>
          </w:tcPr>
          <w:p w14:paraId="42CEB811">
            <w:pPr>
              <w:jc w:val="center"/>
            </w:pPr>
            <w:r>
              <w:rPr>
                <w:b w:val="0"/>
                <w:sz w:val="17"/>
              </w:rPr>
              <w:t>total=10360, train=9324, val=1036</w:t>
            </w:r>
          </w:p>
        </w:tc>
      </w:tr>
      <w:tr w14:paraId="0B8EA36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3C927F5">
            <w:pPr>
              <w:jc w:val="center"/>
            </w:pPr>
            <w:r>
              <w:rPr>
                <w:b w:val="0"/>
                <w:sz w:val="17"/>
              </w:rPr>
              <w:t>DataLoader</w:t>
            </w:r>
          </w:p>
        </w:tc>
        <w:tc>
          <w:tcPr>
            <w:tcW w:w="6912" w:type="dxa"/>
            <w:vAlign w:val="center"/>
          </w:tcPr>
          <w:p w14:paraId="6843F235">
            <w:pPr>
              <w:jc w:val="center"/>
            </w:pPr>
            <w:r>
              <w:rPr>
                <w:b w:val="0"/>
                <w:sz w:val="17"/>
              </w:rPr>
              <w:t>workers=8, pin_memory=True</w:t>
            </w:r>
          </w:p>
        </w:tc>
      </w:tr>
      <w:tr w14:paraId="722DA79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B821DDA">
            <w:pPr>
              <w:jc w:val="center"/>
            </w:pPr>
            <w:r>
              <w:rPr>
                <w:b w:val="0"/>
                <w:sz w:val="17"/>
              </w:rPr>
              <w:t>模型参数量</w:t>
            </w:r>
          </w:p>
        </w:tc>
        <w:tc>
          <w:tcPr>
            <w:tcW w:w="6912" w:type="dxa"/>
            <w:vAlign w:val="center"/>
          </w:tcPr>
          <w:p w14:paraId="03FAF9E7">
            <w:pPr>
              <w:jc w:val="center"/>
            </w:pPr>
            <w:r>
              <w:rPr>
                <w:b w:val="0"/>
                <w:sz w:val="17"/>
              </w:rPr>
              <w:t>17.84M</w:t>
            </w:r>
          </w:p>
        </w:tc>
      </w:tr>
      <w:tr w14:paraId="31DDC06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2ABFE4E">
            <w:pPr>
              <w:jc w:val="center"/>
            </w:pPr>
            <w:r>
              <w:rPr>
                <w:b w:val="0"/>
                <w:sz w:val="17"/>
              </w:rPr>
              <w:t>学习率策略</w:t>
            </w:r>
          </w:p>
        </w:tc>
        <w:tc>
          <w:tcPr>
            <w:tcW w:w="6912" w:type="dxa"/>
            <w:vAlign w:val="center"/>
          </w:tcPr>
          <w:p w14:paraId="7E38D0E1">
            <w:pPr>
              <w:jc w:val="center"/>
            </w:pPr>
            <w:r>
              <w:rPr>
                <w:b w:val="0"/>
                <w:sz w:val="17"/>
              </w:rPr>
              <w:t>CosineAnnealingWarmRestarts T_0=25 T_mult=2</w:t>
            </w:r>
          </w:p>
        </w:tc>
      </w:tr>
      <w:tr w14:paraId="477AC4A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9739083">
            <w:pPr>
              <w:jc w:val="center"/>
            </w:pPr>
            <w:r>
              <w:rPr>
                <w:b w:val="0"/>
                <w:sz w:val="17"/>
              </w:rPr>
              <w:t>数据增强</w:t>
            </w:r>
          </w:p>
        </w:tc>
        <w:tc>
          <w:tcPr>
            <w:tcW w:w="6912" w:type="dxa"/>
            <w:vAlign w:val="center"/>
          </w:tcPr>
          <w:p w14:paraId="3097BB3B">
            <w:pPr>
              <w:jc w:val="center"/>
            </w:pPr>
            <w:r>
              <w:rPr>
                <w:b w:val="0"/>
                <w:sz w:val="17"/>
              </w:rPr>
              <w:t>enabled from epoch 30, prob=0.1, alpha=0.05</w:t>
            </w:r>
          </w:p>
        </w:tc>
      </w:tr>
      <w:tr w14:paraId="54089C7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72DF66B">
            <w:pPr>
              <w:jc w:val="center"/>
            </w:pPr>
            <w:r>
              <w:rPr>
                <w:b w:val="0"/>
                <w:sz w:val="17"/>
              </w:rPr>
              <w:t>总训练时长</w:t>
            </w:r>
          </w:p>
        </w:tc>
        <w:tc>
          <w:tcPr>
            <w:tcW w:w="6912" w:type="dxa"/>
            <w:vAlign w:val="center"/>
          </w:tcPr>
          <w:p w14:paraId="2DEFF403">
            <w:pPr>
              <w:jc w:val="center"/>
            </w:pPr>
            <w:r>
              <w:rPr>
                <w:b w:val="0"/>
                <w:sz w:val="17"/>
              </w:rPr>
              <w:t>17.99 hours (64758s)</w:t>
            </w:r>
          </w:p>
        </w:tc>
      </w:tr>
      <w:tr w14:paraId="057582F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73C0A23">
            <w:pPr>
              <w:jc w:val="center"/>
            </w:pPr>
            <w:r>
              <w:rPr>
                <w:b w:val="0"/>
                <w:sz w:val="17"/>
              </w:rPr>
              <w:t>最优模型</w:t>
            </w:r>
          </w:p>
        </w:tc>
        <w:tc>
          <w:tcPr>
            <w:tcW w:w="6912" w:type="dxa"/>
            <w:vAlign w:val="center"/>
          </w:tcPr>
          <w:p w14:paraId="6E93753B">
            <w:pPr>
              <w:jc w:val="center"/>
            </w:pPr>
            <w:r>
              <w:rPr>
                <w:b w:val="0"/>
                <w:sz w:val="17"/>
              </w:rPr>
              <w:t>best_epe.pth；best_loss.pth；final.pth 同时保存</w:t>
            </w:r>
          </w:p>
        </w:tc>
      </w:tr>
    </w:tbl>
    <w:p w14:paraId="33763B4B">
      <w:pPr>
        <w:spacing w:before="40" w:after="160"/>
        <w:jc w:val="center"/>
      </w:pPr>
      <w:r>
        <w:rPr>
          <w:i/>
          <w:color w:val="5C6773"/>
          <w:sz w:val="18"/>
        </w:rPr>
        <w:t>表1 实验环境、数据规模与训练配置汇总</w:t>
      </w:r>
    </w:p>
    <w:p w14:paraId="478BA9E4">
      <w:pPr>
        <w:pStyle w:val="3"/>
      </w:pPr>
      <w:r>
        <w:t>2 方法与训练目标</w:t>
      </w:r>
    </w:p>
    <w:p w14:paraId="4978A1C3">
      <w:pPr>
        <w:pStyle w:val="4"/>
      </w:pPr>
      <w:r>
        <w:t>2.1 任务定义</w:t>
      </w:r>
    </w:p>
    <w:p w14:paraId="11FD228C">
      <w:r>
        <w:t>水下场景中裂缝图像会受到折射、波纹、局部扰动和成像噪声影响，裂缝边缘在空间上出现非线性偏移。本实验将校正问题表述为逆映射场学习：网络输出每个目标像素在原图中的采样坐标，推理阶段通过 corrected = cv2.remap(distorted, inv_map_x, inv_map_y) 完成恢复。</w:t>
      </w:r>
    </w:p>
    <w:p w14:paraId="09618F1B">
      <w:pPr>
        <w:pStyle w:val="4"/>
      </w:pPr>
      <w:r>
        <w:t>2.2 损失构成</w:t>
      </w:r>
    </w:p>
    <w:p w14:paraId="7B3AE797">
      <w:r>
        <w:t>训练日志记录了总损失及多个分量：coord 负责坐标回归，smooth 约束位移场平滑性，fold 控制折叠风险，photo 约束校正后图像的光度一致性，freq 关注频域结构；同时还记录裂缝区域相关的 c_coord、c_grad、c_freq 与 c_ratio，用于观察裂缝区域监督在总优化中的占比。</w:t>
      </w:r>
    </w:p>
    <w:p w14:paraId="5094C311">
      <w:r>
        <w:drawing>
          <wp:inline distT="0" distB="0" distL="114300" distR="114300">
            <wp:extent cx="5760720" cy="32639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FC49">
      <w:pPr>
        <w:spacing w:before="40" w:after="160"/>
        <w:jc w:val="center"/>
      </w:pPr>
      <w:r>
        <w:rPr>
          <w:i/>
          <w:color w:val="5C6773"/>
          <w:sz w:val="18"/>
        </w:rPr>
        <w:t>图1 训练过程中主要 batch 损失分量均值变化</w:t>
      </w:r>
    </w:p>
    <w:p w14:paraId="42D30E8F">
      <w:r>
        <w:t>图1显示 coord 分量始终是主要优化项，说明模型的核心难点仍是几何坐标场回归。photo 与 c_coord 分量在不同 epoch 有小幅波动，反映图像外观一致性和裂缝区域几何监督会随样本扰动强度变化。smooth、fold 与 freq 数值相对较小，更多承担正则化角色。</w:t>
      </w:r>
    </w:p>
    <w:p w14:paraId="38EDB8DD">
      <w:pPr>
        <w:pStyle w:val="3"/>
      </w:pPr>
      <w:r>
        <w:t>3 训练过程与收敛分析</w:t>
      </w:r>
    </w:p>
    <w:p w14:paraId="3DB7FB2E">
      <w:r>
        <w:t>50 个 epoch 内，Train Loss 从 1.89290 降至 1.01010，下降 46.64%；Val Loss 从 1.04719 降至 0.32642，下降 68.83%。Train EPE 从 344.296px 降至 152.186px，下降 55.80%；Val EPE 从 367.585px 降至 118.095px，下降 67.87%，最佳 Val EPE 为 117.885px，出现在第 48 个 epoch。</w:t>
      </w:r>
    </w:p>
    <w:p w14:paraId="01F8BA8A">
      <w:r>
        <w:drawing>
          <wp:inline distT="0" distB="0" distL="114300" distR="114300">
            <wp:extent cx="5760720" cy="32639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865">
      <w:pPr>
        <w:spacing w:before="40" w:after="160"/>
        <w:jc w:val="center"/>
      </w:pPr>
      <w:r>
        <w:rPr>
          <w:i/>
          <w:color w:val="5C6773"/>
          <w:sz w:val="18"/>
        </w:rPr>
        <w:t>图2 训练集与验证集 Loss 曲线</w:t>
      </w:r>
    </w:p>
    <w:p w14:paraId="08FD63F6">
      <w:r>
        <w:t>图2表明，损失在前 10 个 epoch 下降最快，验证损失由 1.04719 快速降至 0.47805；随后下降速度放缓，并在 40 epoch 后进入更明显的平台期。最终 epoch 50 的 Val Loss 达到 0.32642，也是日志记录中的 Best Val Loss，说明训练结束时仍有轻微改善，但改善幅度已较小。</w:t>
      </w:r>
    </w:p>
    <w:p w14:paraId="0DEFAD7E">
      <w:r>
        <w:drawing>
          <wp:inline distT="0" distB="0" distL="114300" distR="114300">
            <wp:extent cx="5760720" cy="32639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56B">
      <w:pPr>
        <w:spacing w:before="40" w:after="160"/>
        <w:jc w:val="center"/>
      </w:pPr>
      <w:r>
        <w:rPr>
          <w:i/>
          <w:color w:val="5C6773"/>
          <w:sz w:val="18"/>
        </w:rPr>
        <w:t>图3 训练集与验证集 EPE 曲线</w:t>
      </w:r>
    </w:p>
    <w:p w14:paraId="5BB24E0A">
      <w:r>
        <w:t>图3与损失曲线趋势一致，但 EPE 更直接反映几何坐标误差。验证 EPE 在第 1 到第 10 个 epoch 从 367.585px 降至 160.966px，完成主要粗配准学习；第 10 到第 30 个 epoch 继续下降至 121.306px 左右；第 40 到第 50 个 epoch 则基本维持在 118-123px 区间，说明后期主要是细节修正而非大幅收敛。</w:t>
      </w:r>
    </w:p>
    <w:p w14:paraId="3D854B12">
      <w:r>
        <w:drawing>
          <wp:inline distT="0" distB="0" distL="114300" distR="114300">
            <wp:extent cx="5760720" cy="32639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5312">
      <w:pPr>
        <w:spacing w:before="40" w:after="160"/>
        <w:jc w:val="center"/>
      </w:pPr>
      <w:r>
        <w:rPr>
          <w:i/>
          <w:color w:val="5C6773"/>
          <w:sz w:val="18"/>
        </w:rPr>
        <w:t>图4 学习率与单 epoch 耗时变化</w:t>
      </w:r>
    </w:p>
    <w:p w14:paraId="2BA74660">
      <w:r>
        <w:t>平均单轮耗时为 1294.9s，约 21.58 分钟；最短单轮 1206.2s，最长单轮 1328.2s，训练吞吐较稳定。学习率随 warm restart 策略先升后按余弦方式调整，与后期损失缓慢下降相吻合。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4A73EC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1008" w:type="dxa"/>
            <w:shd w:val="clear" w:color="auto" w:fill="E8EEF5"/>
            <w:vAlign w:val="center"/>
          </w:tcPr>
          <w:p w14:paraId="5E8933DF">
            <w:pPr>
              <w:jc w:val="center"/>
            </w:pPr>
            <w:r>
              <w:rPr>
                <w:b/>
                <w:color w:val="1F4D78"/>
                <w:sz w:val="16"/>
              </w:rPr>
              <w:t>Epoch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2D6A6875">
            <w:pPr>
              <w:jc w:val="center"/>
            </w:pPr>
            <w:r>
              <w:rPr>
                <w:b/>
                <w:color w:val="1F4D78"/>
                <w:sz w:val="16"/>
              </w:rPr>
              <w:t>Train Loss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2E168E47">
            <w:pPr>
              <w:jc w:val="center"/>
            </w:pPr>
            <w:r>
              <w:rPr>
                <w:b/>
                <w:color w:val="1F4D78"/>
                <w:sz w:val="16"/>
              </w:rPr>
              <w:t>Train EPE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70450A5D">
            <w:pPr>
              <w:jc w:val="center"/>
            </w:pPr>
            <w:r>
              <w:rPr>
                <w:b/>
                <w:color w:val="1F4D78"/>
                <w:sz w:val="16"/>
              </w:rPr>
              <w:t>Val Loss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57F9EAD3">
            <w:pPr>
              <w:jc w:val="center"/>
            </w:pPr>
            <w:r>
              <w:rPr>
                <w:b/>
                <w:color w:val="1F4D78"/>
                <w:sz w:val="16"/>
              </w:rPr>
              <w:t>Val EPE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1E457AAE">
            <w:pPr>
              <w:jc w:val="center"/>
            </w:pPr>
            <w:r>
              <w:rPr>
                <w:b/>
                <w:color w:val="1F4D78"/>
                <w:sz w:val="16"/>
              </w:rPr>
              <w:t>LR</w:t>
            </w:r>
          </w:p>
        </w:tc>
        <w:tc>
          <w:tcPr>
            <w:tcW w:w="1296" w:type="dxa"/>
            <w:shd w:val="clear" w:color="auto" w:fill="E8EEF5"/>
            <w:vAlign w:val="center"/>
          </w:tcPr>
          <w:p w14:paraId="48E38552">
            <w:pPr>
              <w:jc w:val="center"/>
            </w:pPr>
            <w:r>
              <w:rPr>
                <w:b/>
                <w:color w:val="1F4D78"/>
                <w:sz w:val="16"/>
              </w:rPr>
              <w:t>Time(s)</w:t>
            </w:r>
          </w:p>
        </w:tc>
      </w:tr>
      <w:tr w14:paraId="29C67AE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75334B8D">
            <w:pPr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1296" w:type="dxa"/>
            <w:vAlign w:val="center"/>
          </w:tcPr>
          <w:p w14:paraId="61A11BA9">
            <w:pPr>
              <w:jc w:val="center"/>
            </w:pPr>
            <w:r>
              <w:rPr>
                <w:b w:val="0"/>
                <w:sz w:val="16"/>
              </w:rPr>
              <w:t>1.89290</w:t>
            </w:r>
          </w:p>
        </w:tc>
        <w:tc>
          <w:tcPr>
            <w:tcW w:w="1296" w:type="dxa"/>
            <w:vAlign w:val="center"/>
          </w:tcPr>
          <w:p w14:paraId="32F34BAE">
            <w:pPr>
              <w:jc w:val="center"/>
            </w:pPr>
            <w:r>
              <w:rPr>
                <w:b w:val="0"/>
                <w:sz w:val="16"/>
              </w:rPr>
              <w:t>344.3</w:t>
            </w:r>
          </w:p>
        </w:tc>
        <w:tc>
          <w:tcPr>
            <w:tcW w:w="1296" w:type="dxa"/>
            <w:vAlign w:val="center"/>
          </w:tcPr>
          <w:p w14:paraId="6A6C2AF2">
            <w:pPr>
              <w:jc w:val="center"/>
            </w:pPr>
            <w:r>
              <w:rPr>
                <w:b w:val="0"/>
                <w:sz w:val="16"/>
              </w:rPr>
              <w:t>1.04719</w:t>
            </w:r>
          </w:p>
        </w:tc>
        <w:tc>
          <w:tcPr>
            <w:tcW w:w="1296" w:type="dxa"/>
            <w:vAlign w:val="center"/>
          </w:tcPr>
          <w:p w14:paraId="52F9071D">
            <w:pPr>
              <w:jc w:val="center"/>
            </w:pPr>
            <w:r>
              <w:rPr>
                <w:b w:val="0"/>
                <w:sz w:val="16"/>
              </w:rPr>
              <w:t>367.6</w:t>
            </w:r>
          </w:p>
        </w:tc>
        <w:tc>
          <w:tcPr>
            <w:tcW w:w="1296" w:type="dxa"/>
            <w:vAlign w:val="center"/>
          </w:tcPr>
          <w:p w14:paraId="4740A196">
            <w:pPr>
              <w:jc w:val="center"/>
            </w:pPr>
            <w:r>
              <w:rPr>
                <w:b w:val="0"/>
                <w:sz w:val="16"/>
              </w:rPr>
              <w:t>4.08e-06</w:t>
            </w:r>
          </w:p>
        </w:tc>
        <w:tc>
          <w:tcPr>
            <w:tcW w:w="1296" w:type="dxa"/>
            <w:vAlign w:val="center"/>
          </w:tcPr>
          <w:p w14:paraId="58AE9847">
            <w:pPr>
              <w:jc w:val="center"/>
            </w:pPr>
            <w:r>
              <w:rPr>
                <w:b w:val="0"/>
                <w:sz w:val="16"/>
              </w:rPr>
              <w:t>1294</w:t>
            </w:r>
          </w:p>
        </w:tc>
      </w:tr>
      <w:tr w14:paraId="6970544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4461286">
            <w:pPr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1296" w:type="dxa"/>
            <w:vAlign w:val="center"/>
          </w:tcPr>
          <w:p w14:paraId="6AFF0DF1">
            <w:pPr>
              <w:jc w:val="center"/>
            </w:pPr>
            <w:r>
              <w:rPr>
                <w:b w:val="0"/>
                <w:sz w:val="16"/>
              </w:rPr>
              <w:t>1.39487</w:t>
            </w:r>
          </w:p>
        </w:tc>
        <w:tc>
          <w:tcPr>
            <w:tcW w:w="1296" w:type="dxa"/>
            <w:vAlign w:val="center"/>
          </w:tcPr>
          <w:p w14:paraId="2E5826E0">
            <w:pPr>
              <w:jc w:val="center"/>
            </w:pPr>
            <w:r>
              <w:rPr>
                <w:b w:val="0"/>
                <w:sz w:val="16"/>
              </w:rPr>
              <w:t>216.1</w:t>
            </w:r>
          </w:p>
        </w:tc>
        <w:tc>
          <w:tcPr>
            <w:tcW w:w="1296" w:type="dxa"/>
            <w:vAlign w:val="center"/>
          </w:tcPr>
          <w:p w14:paraId="7028DC7B">
            <w:pPr>
              <w:jc w:val="center"/>
            </w:pPr>
            <w:r>
              <w:rPr>
                <w:b w:val="0"/>
                <w:sz w:val="16"/>
              </w:rPr>
              <w:t>0.56506</w:t>
            </w:r>
          </w:p>
        </w:tc>
        <w:tc>
          <w:tcPr>
            <w:tcW w:w="1296" w:type="dxa"/>
            <w:vAlign w:val="center"/>
          </w:tcPr>
          <w:p w14:paraId="565ABF1B">
            <w:pPr>
              <w:jc w:val="center"/>
            </w:pPr>
            <w:r>
              <w:rPr>
                <w:b w:val="0"/>
                <w:sz w:val="16"/>
              </w:rPr>
              <w:t>186.4</w:t>
            </w:r>
          </w:p>
        </w:tc>
        <w:tc>
          <w:tcPr>
            <w:tcW w:w="1296" w:type="dxa"/>
            <w:vAlign w:val="center"/>
          </w:tcPr>
          <w:p w14:paraId="4F0BAC6A">
            <w:pPr>
              <w:jc w:val="center"/>
            </w:pPr>
            <w:r>
              <w:rPr>
                <w:b w:val="0"/>
                <w:sz w:val="16"/>
              </w:rPr>
              <w:t>2.00e-05</w:t>
            </w:r>
          </w:p>
        </w:tc>
        <w:tc>
          <w:tcPr>
            <w:tcW w:w="1296" w:type="dxa"/>
            <w:vAlign w:val="center"/>
          </w:tcPr>
          <w:p w14:paraId="46AF5C05">
            <w:pPr>
              <w:jc w:val="center"/>
            </w:pPr>
            <w:r>
              <w:rPr>
                <w:b w:val="0"/>
                <w:sz w:val="16"/>
              </w:rPr>
              <w:t>1295</w:t>
            </w:r>
          </w:p>
        </w:tc>
      </w:tr>
      <w:tr w14:paraId="724B4FA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E10B302"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296" w:type="dxa"/>
            <w:vAlign w:val="center"/>
          </w:tcPr>
          <w:p w14:paraId="71E9FAF7">
            <w:pPr>
              <w:jc w:val="center"/>
            </w:pPr>
            <w:r>
              <w:rPr>
                <w:b w:val="0"/>
                <w:sz w:val="16"/>
              </w:rPr>
              <w:t>1.19965</w:t>
            </w:r>
          </w:p>
        </w:tc>
        <w:tc>
          <w:tcPr>
            <w:tcW w:w="1296" w:type="dxa"/>
            <w:vAlign w:val="center"/>
          </w:tcPr>
          <w:p w14:paraId="3FEF7DAD">
            <w:pPr>
              <w:jc w:val="center"/>
            </w:pPr>
            <w:r>
              <w:rPr>
                <w:b w:val="0"/>
                <w:sz w:val="16"/>
              </w:rPr>
              <w:t>201.1</w:t>
            </w:r>
          </w:p>
        </w:tc>
        <w:tc>
          <w:tcPr>
            <w:tcW w:w="1296" w:type="dxa"/>
            <w:vAlign w:val="center"/>
          </w:tcPr>
          <w:p w14:paraId="6A255271">
            <w:pPr>
              <w:jc w:val="center"/>
            </w:pPr>
            <w:r>
              <w:rPr>
                <w:b w:val="0"/>
                <w:sz w:val="16"/>
              </w:rPr>
              <w:t>0.47805</w:t>
            </w:r>
          </w:p>
        </w:tc>
        <w:tc>
          <w:tcPr>
            <w:tcW w:w="1296" w:type="dxa"/>
            <w:vAlign w:val="center"/>
          </w:tcPr>
          <w:p w14:paraId="15B36D33">
            <w:pPr>
              <w:jc w:val="center"/>
            </w:pPr>
            <w:r>
              <w:rPr>
                <w:b w:val="0"/>
                <w:sz w:val="16"/>
              </w:rPr>
              <w:t>161.0</w:t>
            </w:r>
          </w:p>
        </w:tc>
        <w:tc>
          <w:tcPr>
            <w:tcW w:w="1296" w:type="dxa"/>
            <w:vAlign w:val="center"/>
          </w:tcPr>
          <w:p w14:paraId="67B3532E">
            <w:pPr>
              <w:jc w:val="center"/>
            </w:pPr>
            <w:r>
              <w:rPr>
                <w:b w:val="0"/>
                <w:sz w:val="16"/>
              </w:rPr>
              <w:t>1.88e-05</w:t>
            </w:r>
          </w:p>
        </w:tc>
        <w:tc>
          <w:tcPr>
            <w:tcW w:w="1296" w:type="dxa"/>
            <w:vAlign w:val="center"/>
          </w:tcPr>
          <w:p w14:paraId="4883EE42">
            <w:pPr>
              <w:jc w:val="center"/>
            </w:pPr>
            <w:r>
              <w:rPr>
                <w:b w:val="0"/>
                <w:sz w:val="16"/>
              </w:rPr>
              <w:t>1206</w:t>
            </w:r>
          </w:p>
        </w:tc>
      </w:tr>
      <w:tr w14:paraId="5077DC8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3F97872"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w="1296" w:type="dxa"/>
            <w:vAlign w:val="center"/>
          </w:tcPr>
          <w:p w14:paraId="11D8703A">
            <w:pPr>
              <w:jc w:val="center"/>
            </w:pPr>
            <w:r>
              <w:rPr>
                <w:b w:val="0"/>
                <w:sz w:val="16"/>
              </w:rPr>
              <w:t>1.07929</w:t>
            </w:r>
          </w:p>
        </w:tc>
        <w:tc>
          <w:tcPr>
            <w:tcW w:w="1296" w:type="dxa"/>
            <w:vAlign w:val="center"/>
          </w:tcPr>
          <w:p w14:paraId="70ABA7F4">
            <w:pPr>
              <w:jc w:val="center"/>
            </w:pPr>
            <w:r>
              <w:rPr>
                <w:b w:val="0"/>
                <w:sz w:val="16"/>
              </w:rPr>
              <w:t>168.6</w:t>
            </w:r>
          </w:p>
        </w:tc>
        <w:tc>
          <w:tcPr>
            <w:tcW w:w="1296" w:type="dxa"/>
            <w:vAlign w:val="center"/>
          </w:tcPr>
          <w:p w14:paraId="4EFE6281">
            <w:pPr>
              <w:jc w:val="center"/>
            </w:pPr>
            <w:r>
              <w:rPr>
                <w:b w:val="0"/>
                <w:sz w:val="16"/>
              </w:rPr>
              <w:t>0.36955</w:t>
            </w:r>
          </w:p>
        </w:tc>
        <w:tc>
          <w:tcPr>
            <w:tcW w:w="1296" w:type="dxa"/>
            <w:vAlign w:val="center"/>
          </w:tcPr>
          <w:p w14:paraId="5EDF42DD">
            <w:pPr>
              <w:jc w:val="center"/>
            </w:pPr>
            <w:r>
              <w:rPr>
                <w:b w:val="0"/>
                <w:sz w:val="16"/>
              </w:rPr>
              <w:t>129.2</w:t>
            </w:r>
          </w:p>
        </w:tc>
        <w:tc>
          <w:tcPr>
            <w:tcW w:w="1296" w:type="dxa"/>
            <w:vAlign w:val="center"/>
          </w:tcPr>
          <w:p w14:paraId="0435FCA6">
            <w:pPr>
              <w:jc w:val="center"/>
            </w:pPr>
            <w:r>
              <w:rPr>
                <w:b w:val="0"/>
                <w:sz w:val="16"/>
              </w:rPr>
              <w:t>8.19e-06</w:t>
            </w:r>
          </w:p>
        </w:tc>
        <w:tc>
          <w:tcPr>
            <w:tcW w:w="1296" w:type="dxa"/>
            <w:vAlign w:val="center"/>
          </w:tcPr>
          <w:p w14:paraId="0A2519D5">
            <w:pPr>
              <w:jc w:val="center"/>
            </w:pPr>
            <w:r>
              <w:rPr>
                <w:b w:val="0"/>
                <w:sz w:val="16"/>
              </w:rPr>
              <w:t>1297</w:t>
            </w:r>
          </w:p>
        </w:tc>
      </w:tr>
      <w:tr w14:paraId="3BD6FC8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B327928">
            <w:pPr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w="1296" w:type="dxa"/>
            <w:vAlign w:val="center"/>
          </w:tcPr>
          <w:p w14:paraId="660AC7A9">
            <w:pPr>
              <w:jc w:val="center"/>
            </w:pPr>
            <w:r>
              <w:rPr>
                <w:b w:val="0"/>
                <w:sz w:val="16"/>
              </w:rPr>
              <w:t>1.03188</w:t>
            </w:r>
          </w:p>
        </w:tc>
        <w:tc>
          <w:tcPr>
            <w:tcW w:w="1296" w:type="dxa"/>
            <w:vAlign w:val="center"/>
          </w:tcPr>
          <w:p w14:paraId="7391633B">
            <w:pPr>
              <w:jc w:val="center"/>
            </w:pPr>
            <w:r>
              <w:rPr>
                <w:b w:val="0"/>
                <w:sz w:val="16"/>
              </w:rPr>
              <w:t>158.4</w:t>
            </w:r>
          </w:p>
        </w:tc>
        <w:tc>
          <w:tcPr>
            <w:tcW w:w="1296" w:type="dxa"/>
            <w:vAlign w:val="center"/>
          </w:tcPr>
          <w:p w14:paraId="7FD53721">
            <w:pPr>
              <w:jc w:val="center"/>
            </w:pPr>
            <w:r>
              <w:rPr>
                <w:b w:val="0"/>
                <w:sz w:val="16"/>
              </w:rPr>
              <w:t>0.35882</w:t>
            </w:r>
          </w:p>
        </w:tc>
        <w:tc>
          <w:tcPr>
            <w:tcW w:w="1296" w:type="dxa"/>
            <w:vAlign w:val="center"/>
          </w:tcPr>
          <w:p w14:paraId="128977B3">
            <w:pPr>
              <w:jc w:val="center"/>
            </w:pPr>
            <w:r>
              <w:rPr>
                <w:b w:val="0"/>
                <w:sz w:val="16"/>
              </w:rPr>
              <w:t>125.0</w:t>
            </w:r>
          </w:p>
        </w:tc>
        <w:tc>
          <w:tcPr>
            <w:tcW w:w="1296" w:type="dxa"/>
            <w:vAlign w:val="center"/>
          </w:tcPr>
          <w:p w14:paraId="4E296850">
            <w:pPr>
              <w:jc w:val="center"/>
            </w:pPr>
            <w:r>
              <w:rPr>
                <w:b w:val="0"/>
                <w:sz w:val="16"/>
              </w:rPr>
              <w:t>1.78e-07</w:t>
            </w:r>
          </w:p>
        </w:tc>
        <w:tc>
          <w:tcPr>
            <w:tcW w:w="1296" w:type="dxa"/>
            <w:vAlign w:val="center"/>
          </w:tcPr>
          <w:p w14:paraId="582D46D6">
            <w:pPr>
              <w:jc w:val="center"/>
            </w:pPr>
            <w:r>
              <w:rPr>
                <w:b w:val="0"/>
                <w:sz w:val="16"/>
              </w:rPr>
              <w:t>1316</w:t>
            </w:r>
          </w:p>
        </w:tc>
      </w:tr>
      <w:tr w14:paraId="35857D0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3AED6D47">
            <w:pPr>
              <w:jc w:val="center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w="1296" w:type="dxa"/>
            <w:vAlign w:val="center"/>
          </w:tcPr>
          <w:p w14:paraId="0B9A659F">
            <w:pPr>
              <w:jc w:val="center"/>
            </w:pPr>
            <w:r>
              <w:rPr>
                <w:b w:val="0"/>
                <w:sz w:val="16"/>
              </w:rPr>
              <w:t>1.06203</w:t>
            </w:r>
          </w:p>
        </w:tc>
        <w:tc>
          <w:tcPr>
            <w:tcW w:w="1296" w:type="dxa"/>
            <w:vAlign w:val="center"/>
          </w:tcPr>
          <w:p w14:paraId="083386E3">
            <w:pPr>
              <w:jc w:val="center"/>
            </w:pPr>
            <w:r>
              <w:rPr>
                <w:b w:val="0"/>
                <w:sz w:val="16"/>
              </w:rPr>
              <w:t>164.6</w:t>
            </w:r>
          </w:p>
        </w:tc>
        <w:tc>
          <w:tcPr>
            <w:tcW w:w="1296" w:type="dxa"/>
            <w:vAlign w:val="center"/>
          </w:tcPr>
          <w:p w14:paraId="0C3088AA">
            <w:pPr>
              <w:jc w:val="center"/>
            </w:pPr>
            <w:r>
              <w:rPr>
                <w:b w:val="0"/>
                <w:sz w:val="16"/>
              </w:rPr>
              <w:t>0.35416</w:t>
            </w:r>
          </w:p>
        </w:tc>
        <w:tc>
          <w:tcPr>
            <w:tcW w:w="1296" w:type="dxa"/>
            <w:vAlign w:val="center"/>
          </w:tcPr>
          <w:p w14:paraId="2E9BA913">
            <w:pPr>
              <w:jc w:val="center"/>
            </w:pPr>
            <w:r>
              <w:rPr>
                <w:b w:val="0"/>
                <w:sz w:val="16"/>
              </w:rPr>
              <w:t>125.2</w:t>
            </w:r>
          </w:p>
        </w:tc>
        <w:tc>
          <w:tcPr>
            <w:tcW w:w="1296" w:type="dxa"/>
            <w:vAlign w:val="center"/>
          </w:tcPr>
          <w:p w14:paraId="51B700ED">
            <w:pPr>
              <w:jc w:val="center"/>
            </w:pPr>
            <w:r>
              <w:rPr>
                <w:b w:val="0"/>
                <w:sz w:val="16"/>
              </w:rPr>
              <w:t>1.85e-05</w:t>
            </w:r>
          </w:p>
        </w:tc>
        <w:tc>
          <w:tcPr>
            <w:tcW w:w="1296" w:type="dxa"/>
            <w:vAlign w:val="center"/>
          </w:tcPr>
          <w:p w14:paraId="78266C7B">
            <w:pPr>
              <w:jc w:val="center"/>
            </w:pPr>
            <w:r>
              <w:rPr>
                <w:b w:val="0"/>
                <w:sz w:val="16"/>
              </w:rPr>
              <w:t>1300</w:t>
            </w:r>
          </w:p>
        </w:tc>
      </w:tr>
      <w:tr w14:paraId="67A36FA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2E261022">
            <w:pPr>
              <w:jc w:val="center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w="1296" w:type="dxa"/>
            <w:vAlign w:val="center"/>
          </w:tcPr>
          <w:p w14:paraId="3A9BC3B6">
            <w:pPr>
              <w:jc w:val="center"/>
            </w:pPr>
            <w:r>
              <w:rPr>
                <w:b w:val="0"/>
                <w:sz w:val="16"/>
              </w:rPr>
              <w:t>1.03463</w:t>
            </w:r>
          </w:p>
        </w:tc>
        <w:tc>
          <w:tcPr>
            <w:tcW w:w="1296" w:type="dxa"/>
            <w:vAlign w:val="center"/>
          </w:tcPr>
          <w:p w14:paraId="6BDC5AEF">
            <w:pPr>
              <w:jc w:val="center"/>
            </w:pPr>
            <w:r>
              <w:rPr>
                <w:b w:val="0"/>
                <w:sz w:val="16"/>
              </w:rPr>
              <w:t>156.9</w:t>
            </w:r>
          </w:p>
        </w:tc>
        <w:tc>
          <w:tcPr>
            <w:tcW w:w="1296" w:type="dxa"/>
            <w:vAlign w:val="center"/>
          </w:tcPr>
          <w:p w14:paraId="19C8AFEA">
            <w:pPr>
              <w:jc w:val="center"/>
            </w:pPr>
            <w:r>
              <w:rPr>
                <w:b w:val="0"/>
                <w:sz w:val="16"/>
              </w:rPr>
              <w:t>0.33548</w:t>
            </w:r>
          </w:p>
        </w:tc>
        <w:tc>
          <w:tcPr>
            <w:tcW w:w="1296" w:type="dxa"/>
            <w:vAlign w:val="center"/>
          </w:tcPr>
          <w:p w14:paraId="4DFB1E5A">
            <w:pPr>
              <w:jc w:val="center"/>
            </w:pPr>
            <w:r>
              <w:rPr>
                <w:b w:val="0"/>
                <w:sz w:val="16"/>
              </w:rPr>
              <w:t>119.8</w:t>
            </w:r>
          </w:p>
        </w:tc>
        <w:tc>
          <w:tcPr>
            <w:tcW w:w="1296" w:type="dxa"/>
            <w:vAlign w:val="center"/>
          </w:tcPr>
          <w:p w14:paraId="3E0E6D00">
            <w:pPr>
              <w:jc w:val="center"/>
            </w:pPr>
            <w:r>
              <w:rPr>
                <w:b w:val="0"/>
                <w:sz w:val="16"/>
              </w:rPr>
              <w:t>1.64e-05</w:t>
            </w:r>
          </w:p>
        </w:tc>
        <w:tc>
          <w:tcPr>
            <w:tcW w:w="1296" w:type="dxa"/>
            <w:vAlign w:val="center"/>
          </w:tcPr>
          <w:p w14:paraId="5DCCE2BD">
            <w:pPr>
              <w:jc w:val="center"/>
            </w:pPr>
            <w:r>
              <w:rPr>
                <w:b w:val="0"/>
                <w:sz w:val="16"/>
              </w:rPr>
              <w:t>1304</w:t>
            </w:r>
          </w:p>
        </w:tc>
      </w:tr>
      <w:tr w14:paraId="4AD2E9F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58CB85F6">
            <w:pPr>
              <w:jc w:val="center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w="1296" w:type="dxa"/>
            <w:vAlign w:val="center"/>
          </w:tcPr>
          <w:p w14:paraId="30BEC2CA">
            <w:pPr>
              <w:jc w:val="center"/>
            </w:pPr>
            <w:r>
              <w:rPr>
                <w:b w:val="0"/>
                <w:sz w:val="16"/>
              </w:rPr>
              <w:t>1.01780</w:t>
            </w:r>
          </w:p>
        </w:tc>
        <w:tc>
          <w:tcPr>
            <w:tcW w:w="1296" w:type="dxa"/>
            <w:vAlign w:val="center"/>
          </w:tcPr>
          <w:p w14:paraId="3043FA7C">
            <w:pPr>
              <w:jc w:val="center"/>
            </w:pPr>
            <w:r>
              <w:rPr>
                <w:b w:val="0"/>
                <w:sz w:val="16"/>
              </w:rPr>
              <w:t>152.8</w:t>
            </w:r>
          </w:p>
        </w:tc>
        <w:tc>
          <w:tcPr>
            <w:tcW w:w="1296" w:type="dxa"/>
            <w:vAlign w:val="center"/>
          </w:tcPr>
          <w:p w14:paraId="5C681D93">
            <w:pPr>
              <w:jc w:val="center"/>
            </w:pPr>
            <w:r>
              <w:rPr>
                <w:b w:val="0"/>
                <w:sz w:val="16"/>
              </w:rPr>
              <w:t>0.32778</w:t>
            </w:r>
          </w:p>
        </w:tc>
        <w:tc>
          <w:tcPr>
            <w:tcW w:w="1296" w:type="dxa"/>
            <w:vAlign w:val="center"/>
          </w:tcPr>
          <w:p w14:paraId="25E5A148">
            <w:pPr>
              <w:jc w:val="center"/>
            </w:pPr>
            <w:r>
              <w:rPr>
                <w:b w:val="0"/>
                <w:sz w:val="16"/>
              </w:rPr>
              <w:t>117.9</w:t>
            </w:r>
          </w:p>
        </w:tc>
        <w:tc>
          <w:tcPr>
            <w:tcW w:w="1296" w:type="dxa"/>
            <w:vAlign w:val="center"/>
          </w:tcPr>
          <w:p w14:paraId="279B5B59">
            <w:pPr>
              <w:jc w:val="center"/>
            </w:pPr>
            <w:r>
              <w:rPr>
                <w:b w:val="0"/>
                <w:sz w:val="16"/>
              </w:rPr>
              <w:t>1.48e-05</w:t>
            </w:r>
          </w:p>
        </w:tc>
        <w:tc>
          <w:tcPr>
            <w:tcW w:w="1296" w:type="dxa"/>
            <w:vAlign w:val="center"/>
          </w:tcPr>
          <w:p w14:paraId="67062A19">
            <w:pPr>
              <w:jc w:val="center"/>
            </w:pPr>
            <w:r>
              <w:rPr>
                <w:b w:val="0"/>
                <w:sz w:val="16"/>
              </w:rPr>
              <w:t>1306</w:t>
            </w:r>
          </w:p>
        </w:tc>
      </w:tr>
      <w:tr w14:paraId="38E1E6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30F921A">
            <w:pPr>
              <w:jc w:val="center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w="1296" w:type="dxa"/>
            <w:vAlign w:val="center"/>
          </w:tcPr>
          <w:p w14:paraId="5036F78B">
            <w:pPr>
              <w:jc w:val="center"/>
            </w:pPr>
            <w:r>
              <w:rPr>
                <w:b w:val="0"/>
                <w:sz w:val="16"/>
              </w:rPr>
              <w:t>1.01010</w:t>
            </w:r>
          </w:p>
        </w:tc>
        <w:tc>
          <w:tcPr>
            <w:tcW w:w="1296" w:type="dxa"/>
            <w:vAlign w:val="center"/>
          </w:tcPr>
          <w:p w14:paraId="41EF3A86">
            <w:pPr>
              <w:jc w:val="center"/>
            </w:pPr>
            <w:r>
              <w:rPr>
                <w:b w:val="0"/>
                <w:sz w:val="16"/>
              </w:rPr>
              <w:t>152.2</w:t>
            </w:r>
          </w:p>
        </w:tc>
        <w:tc>
          <w:tcPr>
            <w:tcW w:w="1296" w:type="dxa"/>
            <w:vAlign w:val="center"/>
          </w:tcPr>
          <w:p w14:paraId="34B04F64">
            <w:pPr>
              <w:jc w:val="center"/>
            </w:pPr>
            <w:r>
              <w:rPr>
                <w:b w:val="0"/>
                <w:sz w:val="16"/>
              </w:rPr>
              <w:t>0.32642</w:t>
            </w:r>
          </w:p>
        </w:tc>
        <w:tc>
          <w:tcPr>
            <w:tcW w:w="1296" w:type="dxa"/>
            <w:vAlign w:val="center"/>
          </w:tcPr>
          <w:p w14:paraId="754A5957">
            <w:pPr>
              <w:jc w:val="center"/>
            </w:pPr>
            <w:r>
              <w:rPr>
                <w:b w:val="0"/>
                <w:sz w:val="16"/>
              </w:rPr>
              <w:t>118.1</w:t>
            </w:r>
          </w:p>
        </w:tc>
        <w:tc>
          <w:tcPr>
            <w:tcW w:w="1296" w:type="dxa"/>
            <w:vAlign w:val="center"/>
          </w:tcPr>
          <w:p w14:paraId="3D66F562">
            <w:pPr>
              <w:jc w:val="center"/>
            </w:pPr>
            <w:r>
              <w:rPr>
                <w:b w:val="0"/>
                <w:sz w:val="16"/>
              </w:rPr>
              <w:t>1.37e-05</w:t>
            </w:r>
          </w:p>
        </w:tc>
        <w:tc>
          <w:tcPr>
            <w:tcW w:w="1296" w:type="dxa"/>
            <w:vAlign w:val="center"/>
          </w:tcPr>
          <w:p w14:paraId="490FBA37">
            <w:pPr>
              <w:jc w:val="center"/>
            </w:pPr>
            <w:r>
              <w:rPr>
                <w:b w:val="0"/>
                <w:sz w:val="16"/>
              </w:rPr>
              <w:t>1326</w:t>
            </w:r>
          </w:p>
        </w:tc>
      </w:tr>
    </w:tbl>
    <w:p w14:paraId="133B060A">
      <w:pPr>
        <w:spacing w:before="40" w:after="160"/>
        <w:jc w:val="center"/>
      </w:pPr>
      <w:r>
        <w:rPr>
          <w:i/>
          <w:color w:val="5C6773"/>
          <w:sz w:val="18"/>
        </w:rPr>
        <w:t>表2 关键 epoch 的训练与验证指标</w:t>
      </w:r>
    </w:p>
    <w:p w14:paraId="703FE114">
      <w:pPr>
        <w:pStyle w:val="3"/>
      </w:pPr>
      <w:r>
        <w:t>4 checkpoint 横向评估与门限诊断</w:t>
      </w:r>
    </w:p>
    <w:p w14:paraId="153E7930">
      <w:r>
        <w:t>训练日志只反映训练/验证集上的整体坐标误差，gate report 则进一步从裂缝优先指标、全局 EPE、边缘保真度、Dice 和 folding rate 等角度评估 checkpoint。该报告显示最佳排序 checkpoint 为 best_epe.pth，但所有候选模型均处于 below_minimum，说明当前训练已经收敛，但尚未达到预设工程准入标准。</w:t>
      </w:r>
    </w:p>
    <w:p w14:paraId="11B6C9BB">
      <w:r>
        <w:drawing>
          <wp:inline distT="0" distB="0" distL="114300" distR="114300">
            <wp:extent cx="5760720" cy="32639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916B">
      <w:pPr>
        <w:spacing w:before="40" w:after="160"/>
        <w:jc w:val="center"/>
      </w:pPr>
      <w:r>
        <w:rPr>
          <w:i/>
          <w:color w:val="5C6773"/>
          <w:sz w:val="18"/>
        </w:rPr>
        <w:t>图5 各 checkpoint 的裂缝区域 EPE 排名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1200A9C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FA20907">
            <w:pPr>
              <w:jc w:val="center"/>
            </w:pPr>
            <w:r>
              <w:rPr>
                <w:b/>
                <w:color w:val="1F4D78"/>
                <w:sz w:val="15"/>
              </w:rPr>
              <w:t>Checkpoint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520DEC1B">
            <w:pPr>
              <w:jc w:val="center"/>
            </w:pPr>
            <w:r>
              <w:rPr>
                <w:b/>
                <w:color w:val="1F4D78"/>
                <w:sz w:val="15"/>
              </w:rPr>
              <w:t>Level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66FB48B3">
            <w:pPr>
              <w:jc w:val="center"/>
            </w:pPr>
            <w:r>
              <w:rPr>
                <w:b/>
                <w:color w:val="1F4D78"/>
                <w:sz w:val="15"/>
              </w:rPr>
              <w:t>Pass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211A6B5C">
            <w:pPr>
              <w:jc w:val="center"/>
            </w:pPr>
            <w:r>
              <w:rPr>
                <w:b/>
                <w:color w:val="1F4D78"/>
                <w:sz w:val="15"/>
              </w:rPr>
              <w:t>Crack EPE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AAC8679">
            <w:pPr>
              <w:jc w:val="center"/>
            </w:pPr>
            <w:r>
              <w:rPr>
                <w:b/>
                <w:color w:val="1F4D78"/>
                <w:sz w:val="15"/>
              </w:rPr>
              <w:t>Dice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71F6362E">
            <w:pPr>
              <w:jc w:val="center"/>
            </w:pPr>
            <w:r>
              <w:rPr>
                <w:b/>
                <w:color w:val="1F4D78"/>
                <w:sz w:val="15"/>
              </w:rPr>
              <w:t>Edge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4C739B50">
            <w:pPr>
              <w:jc w:val="center"/>
            </w:pPr>
            <w:r>
              <w:rPr>
                <w:b/>
                <w:color w:val="1F4D78"/>
                <w:sz w:val="15"/>
              </w:rPr>
              <w:t>Global EPE</w:t>
            </w:r>
          </w:p>
        </w:tc>
        <w:tc>
          <w:tcPr>
            <w:tcW w:w="1008" w:type="dxa"/>
            <w:shd w:val="clear" w:color="auto" w:fill="E8EEF5"/>
            <w:vAlign w:val="center"/>
          </w:tcPr>
          <w:p w14:paraId="21E82C9B">
            <w:pPr>
              <w:jc w:val="center"/>
            </w:pPr>
            <w:r>
              <w:rPr>
                <w:b/>
                <w:color w:val="1F4D78"/>
                <w:sz w:val="15"/>
              </w:rPr>
              <w:t>Folding</w:t>
            </w:r>
          </w:p>
        </w:tc>
      </w:tr>
      <w:tr w14:paraId="04649FE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2B75D06">
            <w:pPr>
              <w:jc w:val="center"/>
            </w:pPr>
            <w:r>
              <w:rPr>
                <w:b w:val="0"/>
                <w:sz w:val="15"/>
              </w:rPr>
              <w:t>best_epe.pth</w:t>
            </w:r>
          </w:p>
        </w:tc>
        <w:tc>
          <w:tcPr>
            <w:tcW w:w="1440" w:type="dxa"/>
            <w:vAlign w:val="center"/>
          </w:tcPr>
          <w:p w14:paraId="34ED3388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4CC1F78D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26E4F374">
            <w:pPr>
              <w:jc w:val="center"/>
            </w:pPr>
            <w:r>
              <w:rPr>
                <w:b w:val="0"/>
                <w:sz w:val="15"/>
              </w:rPr>
              <w:t>112.0</w:t>
            </w:r>
          </w:p>
        </w:tc>
        <w:tc>
          <w:tcPr>
            <w:tcW w:w="936" w:type="dxa"/>
            <w:vAlign w:val="center"/>
          </w:tcPr>
          <w:p w14:paraId="55E2B647">
            <w:pPr>
              <w:jc w:val="center"/>
            </w:pPr>
            <w:r>
              <w:rPr>
                <w:b w:val="0"/>
                <w:sz w:val="15"/>
              </w:rPr>
              <w:t>0.0026</w:t>
            </w:r>
          </w:p>
        </w:tc>
        <w:tc>
          <w:tcPr>
            <w:tcW w:w="936" w:type="dxa"/>
            <w:vAlign w:val="center"/>
          </w:tcPr>
          <w:p w14:paraId="0AFA7886">
            <w:pPr>
              <w:jc w:val="center"/>
            </w:pPr>
            <w:r>
              <w:rPr>
                <w:b w:val="0"/>
                <w:sz w:val="15"/>
              </w:rPr>
              <w:t>0.295</w:t>
            </w:r>
          </w:p>
        </w:tc>
        <w:tc>
          <w:tcPr>
            <w:tcW w:w="1152" w:type="dxa"/>
            <w:vAlign w:val="center"/>
          </w:tcPr>
          <w:p w14:paraId="28D4E534">
            <w:pPr>
              <w:jc w:val="center"/>
            </w:pPr>
            <w:r>
              <w:rPr>
                <w:b w:val="0"/>
                <w:sz w:val="15"/>
              </w:rPr>
              <w:t>112.6</w:t>
            </w:r>
          </w:p>
        </w:tc>
        <w:tc>
          <w:tcPr>
            <w:tcW w:w="1008" w:type="dxa"/>
            <w:vAlign w:val="center"/>
          </w:tcPr>
          <w:p w14:paraId="03AC02AD">
            <w:pPr>
              <w:jc w:val="center"/>
            </w:pPr>
            <w:r>
              <w:rPr>
                <w:b w:val="0"/>
                <w:sz w:val="15"/>
              </w:rPr>
              <w:t>0.570</w:t>
            </w:r>
          </w:p>
        </w:tc>
      </w:tr>
      <w:tr w14:paraId="2F33FAC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082DB52">
            <w:pPr>
              <w:jc w:val="center"/>
            </w:pPr>
            <w:r>
              <w:rPr>
                <w:b w:val="0"/>
                <w:sz w:val="15"/>
              </w:rPr>
              <w:t>best_loss.pth</w:t>
            </w:r>
          </w:p>
        </w:tc>
        <w:tc>
          <w:tcPr>
            <w:tcW w:w="1440" w:type="dxa"/>
            <w:vAlign w:val="center"/>
          </w:tcPr>
          <w:p w14:paraId="3D2227A5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45A2BC0C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6522AC88">
            <w:pPr>
              <w:jc w:val="center"/>
            </w:pPr>
            <w:r>
              <w:rPr>
                <w:b w:val="0"/>
                <w:sz w:val="15"/>
              </w:rPr>
              <w:t>113.1</w:t>
            </w:r>
          </w:p>
        </w:tc>
        <w:tc>
          <w:tcPr>
            <w:tcW w:w="936" w:type="dxa"/>
            <w:vAlign w:val="center"/>
          </w:tcPr>
          <w:p w14:paraId="27B80893">
            <w:pPr>
              <w:jc w:val="center"/>
            </w:pPr>
            <w:r>
              <w:rPr>
                <w:b w:val="0"/>
                <w:sz w:val="15"/>
              </w:rPr>
              <w:t>0.0023</w:t>
            </w:r>
          </w:p>
        </w:tc>
        <w:tc>
          <w:tcPr>
            <w:tcW w:w="936" w:type="dxa"/>
            <w:vAlign w:val="center"/>
          </w:tcPr>
          <w:p w14:paraId="75B72ACA">
            <w:pPr>
              <w:jc w:val="center"/>
            </w:pPr>
            <w:r>
              <w:rPr>
                <w:b w:val="0"/>
                <w:sz w:val="15"/>
              </w:rPr>
              <w:t>0.297</w:t>
            </w:r>
          </w:p>
        </w:tc>
        <w:tc>
          <w:tcPr>
            <w:tcW w:w="1152" w:type="dxa"/>
            <w:vAlign w:val="center"/>
          </w:tcPr>
          <w:p w14:paraId="0B937D74">
            <w:pPr>
              <w:jc w:val="center"/>
            </w:pPr>
            <w:r>
              <w:rPr>
                <w:b w:val="0"/>
                <w:sz w:val="15"/>
              </w:rPr>
              <w:t>113.3</w:t>
            </w:r>
          </w:p>
        </w:tc>
        <w:tc>
          <w:tcPr>
            <w:tcW w:w="1008" w:type="dxa"/>
            <w:vAlign w:val="center"/>
          </w:tcPr>
          <w:p w14:paraId="69A5E544">
            <w:pPr>
              <w:jc w:val="center"/>
            </w:pPr>
            <w:r>
              <w:rPr>
                <w:b w:val="0"/>
                <w:sz w:val="15"/>
              </w:rPr>
              <w:t>0.569</w:t>
            </w:r>
          </w:p>
        </w:tc>
      </w:tr>
      <w:tr w14:paraId="494A8C8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0CE6620">
            <w:pPr>
              <w:jc w:val="center"/>
            </w:pPr>
            <w:r>
              <w:rPr>
                <w:b w:val="0"/>
                <w:sz w:val="15"/>
              </w:rPr>
              <w:t>final.pth</w:t>
            </w:r>
          </w:p>
        </w:tc>
        <w:tc>
          <w:tcPr>
            <w:tcW w:w="1440" w:type="dxa"/>
            <w:vAlign w:val="center"/>
          </w:tcPr>
          <w:p w14:paraId="057BF52E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0CBE0E4E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066313F1">
            <w:pPr>
              <w:jc w:val="center"/>
            </w:pPr>
            <w:r>
              <w:rPr>
                <w:b w:val="0"/>
                <w:sz w:val="15"/>
              </w:rPr>
              <w:t>113.1</w:t>
            </w:r>
          </w:p>
        </w:tc>
        <w:tc>
          <w:tcPr>
            <w:tcW w:w="936" w:type="dxa"/>
            <w:vAlign w:val="center"/>
          </w:tcPr>
          <w:p w14:paraId="46D78F10">
            <w:pPr>
              <w:jc w:val="center"/>
            </w:pPr>
            <w:r>
              <w:rPr>
                <w:b w:val="0"/>
                <w:sz w:val="15"/>
              </w:rPr>
              <w:t>0.0023</w:t>
            </w:r>
          </w:p>
        </w:tc>
        <w:tc>
          <w:tcPr>
            <w:tcW w:w="936" w:type="dxa"/>
            <w:vAlign w:val="center"/>
          </w:tcPr>
          <w:p w14:paraId="217E4EFC">
            <w:pPr>
              <w:jc w:val="center"/>
            </w:pPr>
            <w:r>
              <w:rPr>
                <w:b w:val="0"/>
                <w:sz w:val="15"/>
              </w:rPr>
              <w:t>0.297</w:t>
            </w:r>
          </w:p>
        </w:tc>
        <w:tc>
          <w:tcPr>
            <w:tcW w:w="1152" w:type="dxa"/>
            <w:vAlign w:val="center"/>
          </w:tcPr>
          <w:p w14:paraId="6577EC9B">
            <w:pPr>
              <w:jc w:val="center"/>
            </w:pPr>
            <w:r>
              <w:rPr>
                <w:b w:val="0"/>
                <w:sz w:val="15"/>
              </w:rPr>
              <w:t>113.3</w:t>
            </w:r>
          </w:p>
        </w:tc>
        <w:tc>
          <w:tcPr>
            <w:tcW w:w="1008" w:type="dxa"/>
            <w:vAlign w:val="center"/>
          </w:tcPr>
          <w:p w14:paraId="3B217BC2">
            <w:pPr>
              <w:jc w:val="center"/>
            </w:pPr>
            <w:r>
              <w:rPr>
                <w:b w:val="0"/>
                <w:sz w:val="15"/>
              </w:rPr>
              <w:t>0.569</w:t>
            </w:r>
          </w:p>
        </w:tc>
      </w:tr>
      <w:tr w14:paraId="2DA4024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27A83CA">
            <w:pPr>
              <w:jc w:val="center"/>
            </w:pPr>
            <w:r>
              <w:rPr>
                <w:b w:val="0"/>
                <w:sz w:val="15"/>
              </w:rPr>
              <w:t>epoch_50.pth</w:t>
            </w:r>
          </w:p>
        </w:tc>
        <w:tc>
          <w:tcPr>
            <w:tcW w:w="1440" w:type="dxa"/>
            <w:vAlign w:val="center"/>
          </w:tcPr>
          <w:p w14:paraId="57AB9B50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5BF33CD3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2E9B1ED8">
            <w:pPr>
              <w:jc w:val="center"/>
            </w:pPr>
            <w:r>
              <w:rPr>
                <w:b w:val="0"/>
                <w:sz w:val="15"/>
              </w:rPr>
              <w:t>113.1</w:t>
            </w:r>
          </w:p>
        </w:tc>
        <w:tc>
          <w:tcPr>
            <w:tcW w:w="936" w:type="dxa"/>
            <w:vAlign w:val="center"/>
          </w:tcPr>
          <w:p w14:paraId="0FED848C">
            <w:pPr>
              <w:jc w:val="center"/>
            </w:pPr>
            <w:r>
              <w:rPr>
                <w:b w:val="0"/>
                <w:sz w:val="15"/>
              </w:rPr>
              <w:t>0.0023</w:t>
            </w:r>
          </w:p>
        </w:tc>
        <w:tc>
          <w:tcPr>
            <w:tcW w:w="936" w:type="dxa"/>
            <w:vAlign w:val="center"/>
          </w:tcPr>
          <w:p w14:paraId="29074736">
            <w:pPr>
              <w:jc w:val="center"/>
            </w:pPr>
            <w:r>
              <w:rPr>
                <w:b w:val="0"/>
                <w:sz w:val="15"/>
              </w:rPr>
              <w:t>0.297</w:t>
            </w:r>
          </w:p>
        </w:tc>
        <w:tc>
          <w:tcPr>
            <w:tcW w:w="1152" w:type="dxa"/>
            <w:vAlign w:val="center"/>
          </w:tcPr>
          <w:p w14:paraId="5D8096BA">
            <w:pPr>
              <w:jc w:val="center"/>
            </w:pPr>
            <w:r>
              <w:rPr>
                <w:b w:val="0"/>
                <w:sz w:val="15"/>
              </w:rPr>
              <w:t>113.3</w:t>
            </w:r>
          </w:p>
        </w:tc>
        <w:tc>
          <w:tcPr>
            <w:tcW w:w="1008" w:type="dxa"/>
            <w:vAlign w:val="center"/>
          </w:tcPr>
          <w:p w14:paraId="251DBA65">
            <w:pPr>
              <w:jc w:val="center"/>
            </w:pPr>
            <w:r>
              <w:rPr>
                <w:b w:val="0"/>
                <w:sz w:val="15"/>
              </w:rPr>
              <w:t>0.569</w:t>
            </w:r>
          </w:p>
        </w:tc>
      </w:tr>
      <w:tr w14:paraId="1C5B386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B86E504">
            <w:pPr>
              <w:jc w:val="center"/>
            </w:pPr>
            <w:r>
              <w:rPr>
                <w:b w:val="0"/>
                <w:sz w:val="15"/>
              </w:rPr>
              <w:t>epoch_45.pth</w:t>
            </w:r>
          </w:p>
        </w:tc>
        <w:tc>
          <w:tcPr>
            <w:tcW w:w="1440" w:type="dxa"/>
            <w:vAlign w:val="center"/>
          </w:tcPr>
          <w:p w14:paraId="2B01E920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4676158B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0E03BD34">
            <w:pPr>
              <w:jc w:val="center"/>
            </w:pPr>
            <w:r>
              <w:rPr>
                <w:b w:val="0"/>
                <w:sz w:val="15"/>
              </w:rPr>
              <w:t>113.7</w:t>
            </w:r>
          </w:p>
        </w:tc>
        <w:tc>
          <w:tcPr>
            <w:tcW w:w="936" w:type="dxa"/>
            <w:vAlign w:val="center"/>
          </w:tcPr>
          <w:p w14:paraId="517B8474">
            <w:pPr>
              <w:jc w:val="center"/>
            </w:pPr>
            <w:r>
              <w:rPr>
                <w:b w:val="0"/>
                <w:sz w:val="15"/>
              </w:rPr>
              <w:t>0.0021</w:t>
            </w:r>
          </w:p>
        </w:tc>
        <w:tc>
          <w:tcPr>
            <w:tcW w:w="936" w:type="dxa"/>
            <w:vAlign w:val="center"/>
          </w:tcPr>
          <w:p w14:paraId="4D55271B">
            <w:pPr>
              <w:jc w:val="center"/>
            </w:pPr>
            <w:r>
              <w:rPr>
                <w:b w:val="0"/>
                <w:sz w:val="15"/>
              </w:rPr>
              <w:t>0.298</w:t>
            </w:r>
          </w:p>
        </w:tc>
        <w:tc>
          <w:tcPr>
            <w:tcW w:w="1152" w:type="dxa"/>
            <w:vAlign w:val="center"/>
          </w:tcPr>
          <w:p w14:paraId="52FD5F06">
            <w:pPr>
              <w:jc w:val="center"/>
            </w:pPr>
            <w:r>
              <w:rPr>
                <w:b w:val="0"/>
                <w:sz w:val="15"/>
              </w:rPr>
              <w:t>114.3</w:t>
            </w:r>
          </w:p>
        </w:tc>
        <w:tc>
          <w:tcPr>
            <w:tcW w:w="1008" w:type="dxa"/>
            <w:vAlign w:val="center"/>
          </w:tcPr>
          <w:p w14:paraId="4B8BAAD5">
            <w:pPr>
              <w:jc w:val="center"/>
            </w:pPr>
            <w:r>
              <w:rPr>
                <w:b w:val="0"/>
                <w:sz w:val="15"/>
              </w:rPr>
              <w:t>0.570</w:t>
            </w:r>
          </w:p>
        </w:tc>
      </w:tr>
      <w:tr w14:paraId="5F87932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BAD37E2">
            <w:pPr>
              <w:jc w:val="center"/>
            </w:pPr>
            <w:r>
              <w:rPr>
                <w:b w:val="0"/>
                <w:sz w:val="15"/>
              </w:rPr>
              <w:t>epoch_40.pth</w:t>
            </w:r>
          </w:p>
        </w:tc>
        <w:tc>
          <w:tcPr>
            <w:tcW w:w="1440" w:type="dxa"/>
            <w:vAlign w:val="center"/>
          </w:tcPr>
          <w:p w14:paraId="44E55E29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319E15BC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21E4C8C9">
            <w:pPr>
              <w:jc w:val="center"/>
            </w:pPr>
            <w:r>
              <w:rPr>
                <w:b w:val="0"/>
                <w:sz w:val="15"/>
              </w:rPr>
              <w:t>120.1</w:t>
            </w:r>
          </w:p>
        </w:tc>
        <w:tc>
          <w:tcPr>
            <w:tcW w:w="936" w:type="dxa"/>
            <w:vAlign w:val="center"/>
          </w:tcPr>
          <w:p w14:paraId="5573E725">
            <w:pPr>
              <w:jc w:val="center"/>
            </w:pPr>
            <w:r>
              <w:rPr>
                <w:b w:val="0"/>
                <w:sz w:val="15"/>
              </w:rPr>
              <w:t>0.0020</w:t>
            </w:r>
          </w:p>
        </w:tc>
        <w:tc>
          <w:tcPr>
            <w:tcW w:w="936" w:type="dxa"/>
            <w:vAlign w:val="center"/>
          </w:tcPr>
          <w:p w14:paraId="3952F193">
            <w:pPr>
              <w:jc w:val="center"/>
            </w:pPr>
            <w:r>
              <w:rPr>
                <w:b w:val="0"/>
                <w:sz w:val="15"/>
              </w:rPr>
              <w:t>0.316</w:t>
            </w:r>
          </w:p>
        </w:tc>
        <w:tc>
          <w:tcPr>
            <w:tcW w:w="1152" w:type="dxa"/>
            <w:vAlign w:val="center"/>
          </w:tcPr>
          <w:p w14:paraId="537CB6C7">
            <w:pPr>
              <w:jc w:val="center"/>
            </w:pPr>
            <w:r>
              <w:rPr>
                <w:b w:val="0"/>
                <w:sz w:val="15"/>
              </w:rPr>
              <w:t>120.0</w:t>
            </w:r>
          </w:p>
        </w:tc>
        <w:tc>
          <w:tcPr>
            <w:tcW w:w="1008" w:type="dxa"/>
            <w:vAlign w:val="center"/>
          </w:tcPr>
          <w:p w14:paraId="28CEA7FD">
            <w:pPr>
              <w:jc w:val="center"/>
            </w:pPr>
            <w:r>
              <w:rPr>
                <w:b w:val="0"/>
                <w:sz w:val="15"/>
              </w:rPr>
              <w:t>0.571</w:t>
            </w:r>
          </w:p>
        </w:tc>
      </w:tr>
      <w:tr w14:paraId="0FD38E5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3459DB3">
            <w:pPr>
              <w:jc w:val="center"/>
            </w:pPr>
            <w:r>
              <w:rPr>
                <w:b w:val="0"/>
                <w:sz w:val="15"/>
              </w:rPr>
              <w:t>epoch_30.pth</w:t>
            </w:r>
          </w:p>
        </w:tc>
        <w:tc>
          <w:tcPr>
            <w:tcW w:w="1440" w:type="dxa"/>
            <w:vAlign w:val="center"/>
          </w:tcPr>
          <w:p w14:paraId="33FAE5DC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1430B6A5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47AB1027">
            <w:pPr>
              <w:jc w:val="center"/>
            </w:pPr>
            <w:r>
              <w:rPr>
                <w:b w:val="0"/>
                <w:sz w:val="15"/>
              </w:rPr>
              <w:t>121.3</w:t>
            </w:r>
          </w:p>
        </w:tc>
        <w:tc>
          <w:tcPr>
            <w:tcW w:w="936" w:type="dxa"/>
            <w:vAlign w:val="center"/>
          </w:tcPr>
          <w:p w14:paraId="27D5FBD1">
            <w:pPr>
              <w:jc w:val="center"/>
            </w:pPr>
            <w:r>
              <w:rPr>
                <w:b w:val="0"/>
                <w:sz w:val="15"/>
              </w:rPr>
              <w:t>0.0019</w:t>
            </w:r>
          </w:p>
        </w:tc>
        <w:tc>
          <w:tcPr>
            <w:tcW w:w="936" w:type="dxa"/>
            <w:vAlign w:val="center"/>
          </w:tcPr>
          <w:p w14:paraId="6BBE616C">
            <w:pPr>
              <w:jc w:val="center"/>
            </w:pPr>
            <w:r>
              <w:rPr>
                <w:b w:val="0"/>
                <w:sz w:val="15"/>
              </w:rPr>
              <w:t>0.228</w:t>
            </w:r>
          </w:p>
        </w:tc>
        <w:tc>
          <w:tcPr>
            <w:tcW w:w="1152" w:type="dxa"/>
            <w:vAlign w:val="center"/>
          </w:tcPr>
          <w:p w14:paraId="6FB9F5A3">
            <w:pPr>
              <w:jc w:val="center"/>
            </w:pPr>
            <w:r>
              <w:rPr>
                <w:b w:val="0"/>
                <w:sz w:val="15"/>
              </w:rPr>
              <w:t>121.8</w:t>
            </w:r>
          </w:p>
        </w:tc>
        <w:tc>
          <w:tcPr>
            <w:tcW w:w="1008" w:type="dxa"/>
            <w:vAlign w:val="center"/>
          </w:tcPr>
          <w:p w14:paraId="69DF1782">
            <w:pPr>
              <w:jc w:val="center"/>
            </w:pPr>
            <w:r>
              <w:rPr>
                <w:b w:val="0"/>
                <w:sz w:val="15"/>
              </w:rPr>
              <w:t>0.555</w:t>
            </w:r>
          </w:p>
        </w:tc>
      </w:tr>
      <w:tr w14:paraId="4BF4079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7B365B1">
            <w:pPr>
              <w:jc w:val="center"/>
            </w:pPr>
            <w:r>
              <w:rPr>
                <w:b w:val="0"/>
                <w:sz w:val="15"/>
              </w:rPr>
              <w:t>epoch_25.pth</w:t>
            </w:r>
          </w:p>
        </w:tc>
        <w:tc>
          <w:tcPr>
            <w:tcW w:w="1440" w:type="dxa"/>
            <w:vAlign w:val="center"/>
          </w:tcPr>
          <w:p w14:paraId="2FD2769A">
            <w:pPr>
              <w:jc w:val="center"/>
            </w:pPr>
            <w:r>
              <w:rPr>
                <w:b w:val="0"/>
                <w:sz w:val="15"/>
              </w:rPr>
              <w:t>below_minimum</w:t>
            </w:r>
          </w:p>
        </w:tc>
        <w:tc>
          <w:tcPr>
            <w:tcW w:w="792" w:type="dxa"/>
            <w:vAlign w:val="center"/>
          </w:tcPr>
          <w:p w14:paraId="2727FD51">
            <w:pPr>
              <w:jc w:val="center"/>
            </w:pPr>
            <w:r>
              <w:rPr>
                <w:b w:val="0"/>
                <w:sz w:val="15"/>
              </w:rPr>
              <w:t>False</w:t>
            </w:r>
          </w:p>
        </w:tc>
        <w:tc>
          <w:tcPr>
            <w:tcW w:w="1152" w:type="dxa"/>
            <w:vAlign w:val="center"/>
          </w:tcPr>
          <w:p w14:paraId="62E81D5E">
            <w:pPr>
              <w:jc w:val="center"/>
            </w:pPr>
            <w:r>
              <w:rPr>
                <w:b w:val="0"/>
                <w:sz w:val="15"/>
              </w:rPr>
              <w:t>122.2</w:t>
            </w:r>
          </w:p>
        </w:tc>
        <w:tc>
          <w:tcPr>
            <w:tcW w:w="936" w:type="dxa"/>
            <w:vAlign w:val="center"/>
          </w:tcPr>
          <w:p w14:paraId="238CEAAD">
            <w:pPr>
              <w:jc w:val="center"/>
            </w:pPr>
            <w:r>
              <w:rPr>
                <w:b w:val="0"/>
                <w:sz w:val="15"/>
              </w:rPr>
              <w:t>0.0010</w:t>
            </w:r>
          </w:p>
        </w:tc>
        <w:tc>
          <w:tcPr>
            <w:tcW w:w="936" w:type="dxa"/>
            <w:vAlign w:val="center"/>
          </w:tcPr>
          <w:p w14:paraId="0A11138A">
            <w:pPr>
              <w:jc w:val="center"/>
            </w:pPr>
            <w:r>
              <w:rPr>
                <w:b w:val="0"/>
                <w:sz w:val="15"/>
              </w:rPr>
              <w:t>0.247</w:t>
            </w:r>
          </w:p>
        </w:tc>
        <w:tc>
          <w:tcPr>
            <w:tcW w:w="1152" w:type="dxa"/>
            <w:vAlign w:val="center"/>
          </w:tcPr>
          <w:p w14:paraId="02EC9475">
            <w:pPr>
              <w:jc w:val="center"/>
            </w:pPr>
            <w:r>
              <w:rPr>
                <w:b w:val="0"/>
                <w:sz w:val="15"/>
              </w:rPr>
              <w:t>122.3</w:t>
            </w:r>
          </w:p>
        </w:tc>
        <w:tc>
          <w:tcPr>
            <w:tcW w:w="1008" w:type="dxa"/>
            <w:vAlign w:val="center"/>
          </w:tcPr>
          <w:p w14:paraId="0430859D">
            <w:pPr>
              <w:jc w:val="center"/>
            </w:pPr>
            <w:r>
              <w:rPr>
                <w:b w:val="0"/>
                <w:sz w:val="15"/>
              </w:rPr>
              <w:t>0.557</w:t>
            </w:r>
          </w:p>
        </w:tc>
      </w:tr>
    </w:tbl>
    <w:p w14:paraId="70F93DAC">
      <w:pPr>
        <w:spacing w:before="40" w:after="160"/>
        <w:jc w:val="center"/>
      </w:pPr>
      <w:r>
        <w:rPr>
          <w:i/>
          <w:color w:val="5C6773"/>
          <w:sz w:val="18"/>
        </w:rPr>
        <w:t>表3 gate report 中排序靠前的 checkpoint 指标</w:t>
      </w:r>
    </w:p>
    <w:tbl>
      <w:tblPr>
        <w:tblStyle w:val="32"/>
        <w:tblW w:w="0" w:type="auto"/>
        <w:jc w:val="center"/>
        <w:tblBorders>
          <w:top w:val="single" w:color="C9D6E8" w:sz="8" w:space="0"/>
          <w:left w:val="single" w:color="C9D6E8" w:sz="8" w:space="0"/>
          <w:bottom w:val="single" w:color="C9D6E8" w:sz="8" w:space="0"/>
          <w:right w:val="single" w:color="C9D6E8" w:sz="8" w:space="0"/>
          <w:insideH w:val="single" w:color="C9D6E8" w:sz="8" w:space="0"/>
          <w:insideV w:val="single" w:color="C9D6E8" w:sz="8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415C6100">
        <w:tblPrEx>
          <w:tblBorders>
            <w:top w:val="single" w:color="C9D6E8" w:sz="8" w:space="0"/>
            <w:left w:val="single" w:color="C9D6E8" w:sz="8" w:space="0"/>
            <w:bottom w:val="single" w:color="C9D6E8" w:sz="8" w:space="0"/>
            <w:right w:val="single" w:color="C9D6E8" w:sz="8" w:space="0"/>
            <w:insideH w:val="single" w:color="C9D6E8" w:sz="8" w:space="0"/>
            <w:insideV w:val="single" w:color="C9D6E8" w:sz="8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</w:tcPr>
          <w:p w14:paraId="27573F07">
            <w:r>
              <w:rPr>
                <w:b/>
                <w:color w:val="1F4D78"/>
                <w:sz w:val="21"/>
              </w:rPr>
              <w:t>门限解释：</w:t>
            </w:r>
            <w:r>
              <w:rPr>
                <w:sz w:val="21"/>
              </w:rPr>
              <w:t xml:space="preserve"> 报告中的失败并不代表训练完全无效，而是说明当前模型距离工程门限仍有明显差距。以 best_epe.pth 为例，crack EPE 约 112.021px，高于门限 45px；global EPE 约 112.606px，高于门限 40px；folding rate 约 0.570，远高于 0.05 的目标，说明映射场存在大量局部折叠或非单调区域。</w:t>
            </w:r>
          </w:p>
        </w:tc>
      </w:tr>
    </w:tbl>
    <w:p w14:paraId="13E2A9DD">
      <w:pPr>
        <w:spacing w:after="40"/>
      </w:pP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4D4D949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05FA9187">
            <w:pPr>
              <w:jc w:val="center"/>
            </w:pPr>
            <w:r>
              <w:rPr>
                <w:b/>
                <w:color w:val="1F4D78"/>
                <w:sz w:val="15"/>
              </w:rPr>
              <w:t>评估版本</w:t>
            </w:r>
          </w:p>
        </w:tc>
        <w:tc>
          <w:tcPr>
            <w:tcW w:w="893" w:type="dxa"/>
            <w:shd w:val="clear" w:color="auto" w:fill="E8EEF5"/>
            <w:vAlign w:val="center"/>
          </w:tcPr>
          <w:p w14:paraId="2A11656E">
            <w:pPr>
              <w:jc w:val="center"/>
            </w:pPr>
            <w:r>
              <w:rPr>
                <w:b/>
                <w:color w:val="1F4D78"/>
                <w:sz w:val="15"/>
              </w:rPr>
              <w:t>样本数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0D620BB2">
            <w:pPr>
              <w:jc w:val="center"/>
            </w:pPr>
            <w:r>
              <w:rPr>
                <w:b/>
                <w:color w:val="1F4D78"/>
                <w:sz w:val="15"/>
              </w:rPr>
              <w:t>Crack EPE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12584416">
            <w:pPr>
              <w:jc w:val="center"/>
            </w:pPr>
            <w:r>
              <w:rPr>
                <w:b/>
                <w:color w:val="1F4D78"/>
                <w:sz w:val="15"/>
              </w:rPr>
              <w:t>Global EPE</w:t>
            </w:r>
          </w:p>
        </w:tc>
        <w:tc>
          <w:tcPr>
            <w:tcW w:w="1123" w:type="dxa"/>
            <w:shd w:val="clear" w:color="auto" w:fill="E8EEF5"/>
            <w:vAlign w:val="center"/>
          </w:tcPr>
          <w:p w14:paraId="49094348">
            <w:pPr>
              <w:jc w:val="center"/>
            </w:pPr>
            <w:r>
              <w:rPr>
                <w:b/>
                <w:color w:val="1F4D78"/>
                <w:sz w:val="15"/>
              </w:rPr>
              <w:t>Crack Edge</w:t>
            </w:r>
          </w:p>
        </w:tc>
        <w:tc>
          <w:tcPr>
            <w:tcW w:w="1123" w:type="dxa"/>
            <w:shd w:val="clear" w:color="auto" w:fill="E8EEF5"/>
            <w:vAlign w:val="center"/>
          </w:tcPr>
          <w:p w14:paraId="6180009C">
            <w:pPr>
              <w:jc w:val="center"/>
            </w:pPr>
            <w:r>
              <w:rPr>
                <w:b/>
                <w:color w:val="1F4D78"/>
                <w:sz w:val="15"/>
              </w:rPr>
              <w:t>Global Edge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05101E0B">
            <w:pPr>
              <w:jc w:val="center"/>
            </w:pPr>
            <w:r>
              <w:rPr>
                <w:b/>
                <w:color w:val="1F4D78"/>
                <w:sz w:val="15"/>
              </w:rPr>
              <w:t>Dice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75DD42B8">
            <w:pPr>
              <w:jc w:val="center"/>
            </w:pPr>
            <w:r>
              <w:rPr>
                <w:b/>
                <w:color w:val="1F4D78"/>
                <w:sz w:val="15"/>
              </w:rPr>
              <w:t>Folding</w:t>
            </w:r>
          </w:p>
        </w:tc>
      </w:tr>
      <w:tr w14:paraId="1FAB87B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6C06779">
            <w:pPr>
              <w:jc w:val="center"/>
            </w:pPr>
            <w:r>
              <w:rPr>
                <w:b w:val="0"/>
                <w:sz w:val="15"/>
              </w:rPr>
              <w:t>best_epe v2</w:t>
            </w:r>
          </w:p>
        </w:tc>
        <w:tc>
          <w:tcPr>
            <w:tcW w:w="893" w:type="dxa"/>
            <w:vAlign w:val="center"/>
          </w:tcPr>
          <w:p w14:paraId="57A164D0">
            <w:pPr>
              <w:jc w:val="center"/>
            </w:pPr>
            <w:r>
              <w:rPr>
                <w:b w:val="0"/>
                <w:sz w:val="15"/>
              </w:rPr>
              <w:t>120</w:t>
            </w:r>
          </w:p>
        </w:tc>
        <w:tc>
          <w:tcPr>
            <w:tcW w:w="1224" w:type="dxa"/>
            <w:vAlign w:val="center"/>
          </w:tcPr>
          <w:p w14:paraId="7D50EFE4">
            <w:pPr>
              <w:jc w:val="center"/>
            </w:pPr>
            <w:r>
              <w:rPr>
                <w:b w:val="0"/>
                <w:sz w:val="15"/>
              </w:rPr>
              <w:t>110.2</w:t>
            </w:r>
          </w:p>
        </w:tc>
        <w:tc>
          <w:tcPr>
            <w:tcW w:w="1224" w:type="dxa"/>
            <w:vAlign w:val="center"/>
          </w:tcPr>
          <w:p w14:paraId="2432DDDD">
            <w:pPr>
              <w:jc w:val="center"/>
            </w:pPr>
            <w:r>
              <w:rPr>
                <w:b w:val="0"/>
                <w:sz w:val="15"/>
              </w:rPr>
              <w:t>112.6</w:t>
            </w:r>
          </w:p>
        </w:tc>
        <w:tc>
          <w:tcPr>
            <w:tcW w:w="1123" w:type="dxa"/>
            <w:vAlign w:val="center"/>
          </w:tcPr>
          <w:p w14:paraId="58CF61C7">
            <w:pPr>
              <w:jc w:val="center"/>
            </w:pPr>
            <w:r>
              <w:rPr>
                <w:b w:val="0"/>
                <w:sz w:val="15"/>
              </w:rPr>
              <w:t>0.321</w:t>
            </w:r>
          </w:p>
        </w:tc>
        <w:tc>
          <w:tcPr>
            <w:tcW w:w="1123" w:type="dxa"/>
            <w:vAlign w:val="center"/>
          </w:tcPr>
          <w:p w14:paraId="47F73003">
            <w:pPr>
              <w:jc w:val="center"/>
            </w:pPr>
            <w:r>
              <w:rPr>
                <w:b w:val="0"/>
                <w:sz w:val="15"/>
              </w:rPr>
              <w:t>0.308</w:t>
            </w:r>
          </w:p>
        </w:tc>
        <w:tc>
          <w:tcPr>
            <w:tcW w:w="936" w:type="dxa"/>
            <w:vAlign w:val="center"/>
          </w:tcPr>
          <w:p w14:paraId="61C3CE4B">
            <w:pPr>
              <w:jc w:val="center"/>
            </w:pPr>
            <w:r>
              <w:rPr>
                <w:b w:val="0"/>
                <w:sz w:val="15"/>
              </w:rPr>
              <w:t>0.0026</w:t>
            </w:r>
          </w:p>
        </w:tc>
        <w:tc>
          <w:tcPr>
            <w:tcW w:w="936" w:type="dxa"/>
            <w:vAlign w:val="center"/>
          </w:tcPr>
          <w:p w14:paraId="03926661">
            <w:pPr>
              <w:jc w:val="center"/>
            </w:pPr>
            <w:r>
              <w:rPr>
                <w:b w:val="0"/>
                <w:sz w:val="15"/>
              </w:rPr>
              <w:t>0.570</w:t>
            </w:r>
          </w:p>
        </w:tc>
      </w:tr>
      <w:tr w14:paraId="6420728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2A3BD6E">
            <w:pPr>
              <w:jc w:val="center"/>
            </w:pPr>
            <w:r>
              <w:rPr>
                <w:b w:val="0"/>
                <w:sz w:val="15"/>
              </w:rPr>
              <w:t>best_epe 300</w:t>
            </w:r>
          </w:p>
        </w:tc>
        <w:tc>
          <w:tcPr>
            <w:tcW w:w="893" w:type="dxa"/>
            <w:vAlign w:val="center"/>
          </w:tcPr>
          <w:p w14:paraId="009E2115">
            <w:pPr>
              <w:jc w:val="center"/>
            </w:pPr>
            <w:r>
              <w:rPr>
                <w:b w:val="0"/>
                <w:sz w:val="15"/>
              </w:rPr>
              <w:t>300</w:t>
            </w:r>
          </w:p>
        </w:tc>
        <w:tc>
          <w:tcPr>
            <w:tcW w:w="1224" w:type="dxa"/>
            <w:vAlign w:val="center"/>
          </w:tcPr>
          <w:p w14:paraId="6221AD9C">
            <w:pPr>
              <w:jc w:val="center"/>
            </w:pPr>
            <w:r>
              <w:rPr>
                <w:b w:val="0"/>
                <w:sz w:val="15"/>
              </w:rPr>
              <w:t>112.3</w:t>
            </w:r>
          </w:p>
        </w:tc>
        <w:tc>
          <w:tcPr>
            <w:tcW w:w="1224" w:type="dxa"/>
            <w:vAlign w:val="center"/>
          </w:tcPr>
          <w:p w14:paraId="1B76E592">
            <w:pPr>
              <w:jc w:val="center"/>
            </w:pPr>
            <w:r>
              <w:rPr>
                <w:b w:val="0"/>
                <w:sz w:val="15"/>
              </w:rPr>
              <w:t>113.6</w:t>
            </w:r>
          </w:p>
        </w:tc>
        <w:tc>
          <w:tcPr>
            <w:tcW w:w="1123" w:type="dxa"/>
            <w:vAlign w:val="center"/>
          </w:tcPr>
          <w:p w14:paraId="7FDABCC5">
            <w:pPr>
              <w:jc w:val="center"/>
            </w:pPr>
            <w:r>
              <w:rPr>
                <w:b w:val="0"/>
                <w:sz w:val="15"/>
              </w:rPr>
              <w:t>0.277</w:t>
            </w:r>
          </w:p>
        </w:tc>
        <w:tc>
          <w:tcPr>
            <w:tcW w:w="1123" w:type="dxa"/>
            <w:vAlign w:val="center"/>
          </w:tcPr>
          <w:p w14:paraId="4CE373F8">
            <w:pPr>
              <w:jc w:val="center"/>
            </w:pPr>
            <w:r>
              <w:rPr>
                <w:b w:val="0"/>
                <w:sz w:val="15"/>
              </w:rPr>
              <w:t>0.285</w:t>
            </w:r>
          </w:p>
        </w:tc>
        <w:tc>
          <w:tcPr>
            <w:tcW w:w="936" w:type="dxa"/>
            <w:vAlign w:val="center"/>
          </w:tcPr>
          <w:p w14:paraId="3D3EEC72">
            <w:pPr>
              <w:jc w:val="center"/>
            </w:pPr>
            <w:r>
              <w:rPr>
                <w:b w:val="0"/>
                <w:sz w:val="15"/>
              </w:rPr>
              <w:t>0.0042</w:t>
            </w:r>
          </w:p>
        </w:tc>
        <w:tc>
          <w:tcPr>
            <w:tcW w:w="936" w:type="dxa"/>
            <w:vAlign w:val="center"/>
          </w:tcPr>
          <w:p w14:paraId="7C3D6B79">
            <w:pPr>
              <w:jc w:val="center"/>
            </w:pPr>
            <w:r>
              <w:rPr>
                <w:b w:val="0"/>
                <w:sz w:val="15"/>
              </w:rPr>
              <w:t>0.569</w:t>
            </w:r>
          </w:p>
        </w:tc>
      </w:tr>
      <w:tr w14:paraId="095EE0A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883432B">
            <w:pPr>
              <w:jc w:val="center"/>
            </w:pPr>
            <w:r>
              <w:rPr>
                <w:b w:val="0"/>
                <w:sz w:val="15"/>
              </w:rPr>
              <w:t>metric_align</w:t>
            </w:r>
          </w:p>
        </w:tc>
        <w:tc>
          <w:tcPr>
            <w:tcW w:w="893" w:type="dxa"/>
            <w:vAlign w:val="center"/>
          </w:tcPr>
          <w:p w14:paraId="17EA2B46">
            <w:pPr>
              <w:jc w:val="center"/>
            </w:pPr>
            <w:r>
              <w:rPr>
                <w:b w:val="0"/>
                <w:sz w:val="15"/>
              </w:rPr>
              <w:t>40</w:t>
            </w:r>
          </w:p>
        </w:tc>
        <w:tc>
          <w:tcPr>
            <w:tcW w:w="1224" w:type="dxa"/>
            <w:vAlign w:val="center"/>
          </w:tcPr>
          <w:p w14:paraId="23A05C69">
            <w:pPr>
              <w:jc w:val="center"/>
            </w:pPr>
            <w:r>
              <w:rPr>
                <w:b w:val="0"/>
                <w:sz w:val="15"/>
              </w:rPr>
              <w:t>228.9</w:t>
            </w:r>
          </w:p>
        </w:tc>
        <w:tc>
          <w:tcPr>
            <w:tcW w:w="1224" w:type="dxa"/>
            <w:vAlign w:val="center"/>
          </w:tcPr>
          <w:p w14:paraId="66FFD8E3">
            <w:pPr>
              <w:jc w:val="center"/>
            </w:pPr>
            <w:r>
              <w:rPr>
                <w:b w:val="0"/>
                <w:sz w:val="15"/>
              </w:rPr>
              <w:t>302.4</w:t>
            </w:r>
          </w:p>
        </w:tc>
        <w:tc>
          <w:tcPr>
            <w:tcW w:w="1123" w:type="dxa"/>
            <w:vAlign w:val="center"/>
          </w:tcPr>
          <w:p w14:paraId="6DD89F77">
            <w:pPr>
              <w:jc w:val="center"/>
            </w:pPr>
            <w:r>
              <w:rPr>
                <w:b w:val="0"/>
                <w:sz w:val="15"/>
              </w:rPr>
              <w:t>0.443</w:t>
            </w:r>
          </w:p>
        </w:tc>
        <w:tc>
          <w:tcPr>
            <w:tcW w:w="1123" w:type="dxa"/>
            <w:vAlign w:val="center"/>
          </w:tcPr>
          <w:p w14:paraId="0656F60A">
            <w:pPr>
              <w:jc w:val="center"/>
            </w:pPr>
            <w:r>
              <w:rPr>
                <w:b w:val="0"/>
                <w:sz w:val="15"/>
              </w:rPr>
              <w:t>0.429</w:t>
            </w:r>
          </w:p>
        </w:tc>
        <w:tc>
          <w:tcPr>
            <w:tcW w:w="936" w:type="dxa"/>
            <w:vAlign w:val="center"/>
          </w:tcPr>
          <w:p w14:paraId="5DE2ECDF">
            <w:pPr>
              <w:jc w:val="center"/>
            </w:pPr>
            <w:r>
              <w:rPr>
                <w:b w:val="0"/>
                <w:sz w:val="15"/>
              </w:rPr>
              <w:t>0.1681</w:t>
            </w:r>
          </w:p>
        </w:tc>
        <w:tc>
          <w:tcPr>
            <w:tcW w:w="936" w:type="dxa"/>
            <w:vAlign w:val="center"/>
          </w:tcPr>
          <w:p w14:paraId="5DBC950D">
            <w:pPr>
              <w:jc w:val="center"/>
            </w:pPr>
            <w:r>
              <w:rPr>
                <w:b w:val="0"/>
                <w:sz w:val="15"/>
              </w:rPr>
              <w:t>0.515</w:t>
            </w:r>
          </w:p>
        </w:tc>
      </w:tr>
    </w:tbl>
    <w:p w14:paraId="66E2535F">
      <w:pPr>
        <w:spacing w:before="40" w:after="160"/>
        <w:jc w:val="center"/>
      </w:pPr>
      <w:r>
        <w:rPr>
          <w:i/>
          <w:color w:val="5C6773"/>
          <w:sz w:val="18"/>
        </w:rPr>
        <w:t>表4 不同诊断评估版本的汇总指标</w:t>
      </w:r>
    </w:p>
    <w:p w14:paraId="260BA3BF">
      <w:pPr>
        <w:pStyle w:val="3"/>
      </w:pPr>
      <w:r>
        <w:t>5 逐图像误差分布与样本稳定性</w:t>
      </w:r>
    </w:p>
    <w:p w14:paraId="6FF1DCDA">
      <w:r>
        <w:t>diag_eval_best_epe_v2 共统计 120 个样本。逐图像 global EPE 均值为 112.61px，标准差为 11.16px；裂缝区域 EPE 均值为 110.16px，标准差为 14.91px。这说明不同样本间的整体误差波动相对有限，但裂缝区域仍存在较明显的局部困难样本。</w:t>
      </w:r>
    </w:p>
    <w:p w14:paraId="5F71A8D1">
      <w:r>
        <w:drawing>
          <wp:inline distT="0" distB="0" distL="114300" distR="114300">
            <wp:extent cx="5760720" cy="3148965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B18">
      <w:pPr>
        <w:spacing w:before="40" w:after="160"/>
        <w:jc w:val="center"/>
      </w:pPr>
      <w:r>
        <w:rPr>
          <w:i/>
          <w:color w:val="5C6773"/>
          <w:sz w:val="18"/>
        </w:rPr>
        <w:t>图6 best_epe_v2 逐图像 Global EPE 分布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06E6799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5021D70E">
            <w:pPr>
              <w:jc w:val="center"/>
            </w:pPr>
            <w:r>
              <w:rPr>
                <w:b/>
                <w:color w:val="1F4D78"/>
                <w:sz w:val="15"/>
              </w:rPr>
              <w:t>Image</w:t>
            </w:r>
          </w:p>
        </w:tc>
        <w:tc>
          <w:tcPr>
            <w:tcW w:w="1080" w:type="dxa"/>
            <w:shd w:val="clear" w:color="auto" w:fill="E8EEF5"/>
            <w:vAlign w:val="center"/>
          </w:tcPr>
          <w:p w14:paraId="576B9736">
            <w:pPr>
              <w:jc w:val="center"/>
            </w:pPr>
            <w:r>
              <w:rPr>
                <w:b/>
                <w:color w:val="1F4D78"/>
                <w:sz w:val="15"/>
              </w:rPr>
              <w:t>Crack EPE</w:t>
            </w:r>
          </w:p>
        </w:tc>
        <w:tc>
          <w:tcPr>
            <w:tcW w:w="1123" w:type="dxa"/>
            <w:shd w:val="clear" w:color="auto" w:fill="E8EEF5"/>
            <w:vAlign w:val="center"/>
          </w:tcPr>
          <w:p w14:paraId="12BF212D">
            <w:pPr>
              <w:jc w:val="center"/>
            </w:pPr>
            <w:r>
              <w:rPr>
                <w:b/>
                <w:color w:val="1F4D78"/>
                <w:sz w:val="15"/>
              </w:rPr>
              <w:t>Global EPE</w:t>
            </w:r>
          </w:p>
        </w:tc>
        <w:tc>
          <w:tcPr>
            <w:tcW w:w="1066" w:type="dxa"/>
            <w:shd w:val="clear" w:color="auto" w:fill="E8EEF5"/>
            <w:vAlign w:val="center"/>
          </w:tcPr>
          <w:p w14:paraId="165DA0C8">
            <w:pPr>
              <w:jc w:val="center"/>
            </w:pPr>
            <w:r>
              <w:rPr>
                <w:b/>
                <w:color w:val="1F4D78"/>
                <w:sz w:val="15"/>
              </w:rPr>
              <w:t>Crack Edge</w:t>
            </w:r>
          </w:p>
        </w:tc>
        <w:tc>
          <w:tcPr>
            <w:tcW w:w="1066" w:type="dxa"/>
            <w:shd w:val="clear" w:color="auto" w:fill="E8EEF5"/>
            <w:vAlign w:val="center"/>
          </w:tcPr>
          <w:p w14:paraId="60FC644D">
            <w:pPr>
              <w:jc w:val="center"/>
            </w:pPr>
            <w:r>
              <w:rPr>
                <w:b/>
                <w:color w:val="1F4D78"/>
                <w:sz w:val="15"/>
              </w:rPr>
              <w:t>Global Edge</w:t>
            </w:r>
          </w:p>
        </w:tc>
        <w:tc>
          <w:tcPr>
            <w:tcW w:w="835" w:type="dxa"/>
            <w:shd w:val="clear" w:color="auto" w:fill="E8EEF5"/>
            <w:vAlign w:val="center"/>
          </w:tcPr>
          <w:p w14:paraId="79F94326">
            <w:pPr>
              <w:jc w:val="center"/>
            </w:pPr>
            <w:r>
              <w:rPr>
                <w:b/>
                <w:color w:val="1F4D78"/>
                <w:sz w:val="15"/>
              </w:rPr>
              <w:t>Dice</w:t>
            </w:r>
          </w:p>
        </w:tc>
        <w:tc>
          <w:tcPr>
            <w:tcW w:w="893" w:type="dxa"/>
            <w:shd w:val="clear" w:color="auto" w:fill="E8EEF5"/>
            <w:vAlign w:val="center"/>
          </w:tcPr>
          <w:p w14:paraId="25C74B29">
            <w:pPr>
              <w:jc w:val="center"/>
            </w:pPr>
            <w:r>
              <w:rPr>
                <w:b/>
                <w:color w:val="1F4D78"/>
                <w:sz w:val="15"/>
              </w:rPr>
              <w:t>Folding</w:t>
            </w:r>
          </w:p>
        </w:tc>
        <w:tc>
          <w:tcPr>
            <w:tcW w:w="1037" w:type="dxa"/>
            <w:shd w:val="clear" w:color="auto" w:fill="E8EEF5"/>
            <w:vAlign w:val="center"/>
          </w:tcPr>
          <w:p w14:paraId="35F6FD82">
            <w:pPr>
              <w:jc w:val="center"/>
            </w:pPr>
            <w:r>
              <w:rPr>
                <w:b/>
                <w:color w:val="1F4D78"/>
                <w:sz w:val="15"/>
              </w:rPr>
              <w:t>Crack Ratio</w:t>
            </w:r>
          </w:p>
        </w:tc>
      </w:tr>
      <w:tr w14:paraId="0FF4F47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649CB04">
            <w:pPr>
              <w:jc w:val="center"/>
            </w:pPr>
            <w:r>
              <w:rPr>
                <w:b w:val="0"/>
                <w:sz w:val="15"/>
              </w:rPr>
              <w:t>crack0012_03.png</w:t>
            </w:r>
          </w:p>
        </w:tc>
        <w:tc>
          <w:tcPr>
            <w:tcW w:w="1080" w:type="dxa"/>
            <w:vAlign w:val="center"/>
          </w:tcPr>
          <w:p w14:paraId="53841251">
            <w:pPr>
              <w:jc w:val="center"/>
            </w:pPr>
            <w:r>
              <w:rPr>
                <w:b w:val="0"/>
                <w:sz w:val="15"/>
              </w:rPr>
              <w:t>96.47</w:t>
            </w:r>
          </w:p>
        </w:tc>
        <w:tc>
          <w:tcPr>
            <w:tcW w:w="1123" w:type="dxa"/>
            <w:vAlign w:val="center"/>
          </w:tcPr>
          <w:p w14:paraId="721BC8A1">
            <w:pPr>
              <w:jc w:val="center"/>
            </w:pPr>
            <w:r>
              <w:rPr>
                <w:b w:val="0"/>
                <w:sz w:val="15"/>
              </w:rPr>
              <w:t>101.9</w:t>
            </w:r>
          </w:p>
        </w:tc>
        <w:tc>
          <w:tcPr>
            <w:tcW w:w="1066" w:type="dxa"/>
            <w:vAlign w:val="center"/>
          </w:tcPr>
          <w:p w14:paraId="6A505066">
            <w:pPr>
              <w:jc w:val="center"/>
            </w:pPr>
            <w:r>
              <w:rPr>
                <w:b w:val="0"/>
                <w:sz w:val="15"/>
              </w:rPr>
              <w:t>0.484</w:t>
            </w:r>
          </w:p>
        </w:tc>
        <w:tc>
          <w:tcPr>
            <w:tcW w:w="1066" w:type="dxa"/>
            <w:vAlign w:val="center"/>
          </w:tcPr>
          <w:p w14:paraId="3F016CEF">
            <w:pPr>
              <w:jc w:val="center"/>
            </w:pPr>
            <w:r>
              <w:rPr>
                <w:b w:val="0"/>
                <w:sz w:val="15"/>
              </w:rPr>
              <w:t>0.452</w:t>
            </w:r>
          </w:p>
        </w:tc>
        <w:tc>
          <w:tcPr>
            <w:tcW w:w="835" w:type="dxa"/>
            <w:vAlign w:val="center"/>
          </w:tcPr>
          <w:p w14:paraId="11B194A3">
            <w:pPr>
              <w:jc w:val="center"/>
            </w:pPr>
            <w:r>
              <w:rPr>
                <w:b w:val="0"/>
                <w:sz w:val="15"/>
              </w:rPr>
              <w:t>0.0000</w:t>
            </w:r>
          </w:p>
        </w:tc>
        <w:tc>
          <w:tcPr>
            <w:tcW w:w="893" w:type="dxa"/>
            <w:vAlign w:val="center"/>
          </w:tcPr>
          <w:p w14:paraId="0C344B74">
            <w:pPr>
              <w:jc w:val="center"/>
            </w:pPr>
            <w:r>
              <w:rPr>
                <w:b w:val="0"/>
                <w:sz w:val="15"/>
              </w:rPr>
              <w:t>0.573</w:t>
            </w:r>
          </w:p>
        </w:tc>
        <w:tc>
          <w:tcPr>
            <w:tcW w:w="1037" w:type="dxa"/>
            <w:vAlign w:val="center"/>
          </w:tcPr>
          <w:p w14:paraId="70A9E232">
            <w:pPr>
              <w:jc w:val="center"/>
            </w:pPr>
            <w:r>
              <w:rPr>
                <w:b w:val="0"/>
                <w:sz w:val="15"/>
              </w:rPr>
              <w:t>0.245</w:t>
            </w:r>
          </w:p>
        </w:tc>
      </w:tr>
      <w:tr w14:paraId="2275A32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FEB1A0B">
            <w:pPr>
              <w:jc w:val="center"/>
            </w:pPr>
            <w:r>
              <w:rPr>
                <w:b w:val="0"/>
                <w:sz w:val="15"/>
              </w:rPr>
              <w:t>crack0005_08.png</w:t>
            </w:r>
          </w:p>
        </w:tc>
        <w:tc>
          <w:tcPr>
            <w:tcW w:w="1080" w:type="dxa"/>
            <w:vAlign w:val="center"/>
          </w:tcPr>
          <w:p w14:paraId="53CD26F6">
            <w:pPr>
              <w:jc w:val="center"/>
            </w:pPr>
            <w:r>
              <w:rPr>
                <w:b w:val="0"/>
                <w:sz w:val="15"/>
              </w:rPr>
              <w:t>96.44</w:t>
            </w:r>
          </w:p>
        </w:tc>
        <w:tc>
          <w:tcPr>
            <w:tcW w:w="1123" w:type="dxa"/>
            <w:vAlign w:val="center"/>
          </w:tcPr>
          <w:p w14:paraId="50E792B6">
            <w:pPr>
              <w:jc w:val="center"/>
            </w:pPr>
            <w:r>
              <w:rPr>
                <w:b w:val="0"/>
                <w:sz w:val="15"/>
              </w:rPr>
              <w:t>104.0</w:t>
            </w:r>
          </w:p>
        </w:tc>
        <w:tc>
          <w:tcPr>
            <w:tcW w:w="1066" w:type="dxa"/>
            <w:vAlign w:val="center"/>
          </w:tcPr>
          <w:p w14:paraId="00C4BF09">
            <w:pPr>
              <w:jc w:val="center"/>
            </w:pPr>
            <w:r>
              <w:rPr>
                <w:b w:val="0"/>
                <w:sz w:val="15"/>
              </w:rPr>
              <w:t>0.503</w:t>
            </w:r>
          </w:p>
        </w:tc>
        <w:tc>
          <w:tcPr>
            <w:tcW w:w="1066" w:type="dxa"/>
            <w:vAlign w:val="center"/>
          </w:tcPr>
          <w:p w14:paraId="49140088">
            <w:pPr>
              <w:jc w:val="center"/>
            </w:pPr>
            <w:r>
              <w:rPr>
                <w:b w:val="0"/>
                <w:sz w:val="15"/>
              </w:rPr>
              <w:t>0.450</w:t>
            </w:r>
          </w:p>
        </w:tc>
        <w:tc>
          <w:tcPr>
            <w:tcW w:w="835" w:type="dxa"/>
            <w:vAlign w:val="center"/>
          </w:tcPr>
          <w:p w14:paraId="6D197538">
            <w:pPr>
              <w:jc w:val="center"/>
            </w:pPr>
            <w:r>
              <w:rPr>
                <w:b w:val="0"/>
                <w:sz w:val="15"/>
              </w:rPr>
              <w:t>0.0000</w:t>
            </w:r>
          </w:p>
        </w:tc>
        <w:tc>
          <w:tcPr>
            <w:tcW w:w="893" w:type="dxa"/>
            <w:vAlign w:val="center"/>
          </w:tcPr>
          <w:p w14:paraId="34778087">
            <w:pPr>
              <w:jc w:val="center"/>
            </w:pPr>
            <w:r>
              <w:rPr>
                <w:b w:val="0"/>
                <w:sz w:val="15"/>
              </w:rPr>
              <w:t>0.570</w:t>
            </w:r>
          </w:p>
        </w:tc>
        <w:tc>
          <w:tcPr>
            <w:tcW w:w="1037" w:type="dxa"/>
            <w:vAlign w:val="center"/>
          </w:tcPr>
          <w:p w14:paraId="35A8E77D">
            <w:pPr>
              <w:jc w:val="center"/>
            </w:pPr>
            <w:r>
              <w:rPr>
                <w:b w:val="0"/>
                <w:sz w:val="15"/>
              </w:rPr>
              <w:t>0.226</w:t>
            </w:r>
          </w:p>
        </w:tc>
      </w:tr>
      <w:tr w14:paraId="4E152B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C285409">
            <w:pPr>
              <w:jc w:val="center"/>
            </w:pPr>
            <w:r>
              <w:rPr>
                <w:b w:val="0"/>
                <w:sz w:val="15"/>
              </w:rPr>
              <w:t>crack0004_03.png</w:t>
            </w:r>
          </w:p>
        </w:tc>
        <w:tc>
          <w:tcPr>
            <w:tcW w:w="1080" w:type="dxa"/>
            <w:vAlign w:val="center"/>
          </w:tcPr>
          <w:p w14:paraId="23A7E602">
            <w:pPr>
              <w:jc w:val="center"/>
            </w:pPr>
            <w:r>
              <w:rPr>
                <w:b w:val="0"/>
                <w:sz w:val="15"/>
              </w:rPr>
              <w:t>102.3</w:t>
            </w:r>
          </w:p>
        </w:tc>
        <w:tc>
          <w:tcPr>
            <w:tcW w:w="1123" w:type="dxa"/>
            <w:vAlign w:val="center"/>
          </w:tcPr>
          <w:p w14:paraId="576DE046">
            <w:pPr>
              <w:jc w:val="center"/>
            </w:pPr>
            <w:r>
              <w:rPr>
                <w:b w:val="0"/>
                <w:sz w:val="15"/>
              </w:rPr>
              <w:t>104.2</w:t>
            </w:r>
          </w:p>
        </w:tc>
        <w:tc>
          <w:tcPr>
            <w:tcW w:w="1066" w:type="dxa"/>
            <w:vAlign w:val="center"/>
          </w:tcPr>
          <w:p w14:paraId="117D4695">
            <w:pPr>
              <w:jc w:val="center"/>
            </w:pPr>
            <w:r>
              <w:rPr>
                <w:b w:val="0"/>
                <w:sz w:val="15"/>
              </w:rPr>
              <w:t>0.143</w:t>
            </w:r>
          </w:p>
        </w:tc>
        <w:tc>
          <w:tcPr>
            <w:tcW w:w="1066" w:type="dxa"/>
            <w:vAlign w:val="center"/>
          </w:tcPr>
          <w:p w14:paraId="3F679EF0">
            <w:pPr>
              <w:jc w:val="center"/>
            </w:pPr>
            <w:r>
              <w:rPr>
                <w:b w:val="0"/>
                <w:sz w:val="15"/>
              </w:rPr>
              <w:t>0.289</w:t>
            </w:r>
          </w:p>
        </w:tc>
        <w:tc>
          <w:tcPr>
            <w:tcW w:w="835" w:type="dxa"/>
            <w:vAlign w:val="center"/>
          </w:tcPr>
          <w:p w14:paraId="1F405268">
            <w:pPr>
              <w:jc w:val="center"/>
            </w:pPr>
            <w:r>
              <w:rPr>
                <w:b w:val="0"/>
                <w:sz w:val="15"/>
              </w:rPr>
              <w:t>0.0000</w:t>
            </w:r>
          </w:p>
        </w:tc>
        <w:tc>
          <w:tcPr>
            <w:tcW w:w="893" w:type="dxa"/>
            <w:vAlign w:val="center"/>
          </w:tcPr>
          <w:p w14:paraId="4CC45001">
            <w:pPr>
              <w:jc w:val="center"/>
            </w:pPr>
            <w:r>
              <w:rPr>
                <w:b w:val="0"/>
                <w:sz w:val="15"/>
              </w:rPr>
              <w:t>0.561</w:t>
            </w:r>
          </w:p>
        </w:tc>
        <w:tc>
          <w:tcPr>
            <w:tcW w:w="1037" w:type="dxa"/>
            <w:vAlign w:val="center"/>
          </w:tcPr>
          <w:p w14:paraId="03469131">
            <w:pPr>
              <w:jc w:val="center"/>
            </w:pPr>
            <w:r>
              <w:rPr>
                <w:b w:val="0"/>
                <w:sz w:val="15"/>
              </w:rPr>
              <w:t>0.111</w:t>
            </w:r>
          </w:p>
        </w:tc>
      </w:tr>
      <w:tr w14:paraId="4B0BA1E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F82DA8A">
            <w:pPr>
              <w:jc w:val="center"/>
            </w:pPr>
            <w:r>
              <w:rPr>
                <w:b w:val="0"/>
                <w:sz w:val="15"/>
              </w:rPr>
              <w:t>crack0001_07.png</w:t>
            </w:r>
          </w:p>
        </w:tc>
        <w:tc>
          <w:tcPr>
            <w:tcW w:w="1080" w:type="dxa"/>
            <w:vAlign w:val="center"/>
          </w:tcPr>
          <w:p w14:paraId="4A9082F9">
            <w:pPr>
              <w:jc w:val="center"/>
            </w:pPr>
            <w:r>
              <w:rPr>
                <w:b w:val="0"/>
                <w:sz w:val="15"/>
              </w:rPr>
              <w:t>129.2</w:t>
            </w:r>
          </w:p>
        </w:tc>
        <w:tc>
          <w:tcPr>
            <w:tcW w:w="1123" w:type="dxa"/>
            <w:vAlign w:val="center"/>
          </w:tcPr>
          <w:p w14:paraId="118FA5B3">
            <w:pPr>
              <w:jc w:val="center"/>
            </w:pPr>
            <w:r>
              <w:rPr>
                <w:b w:val="0"/>
                <w:sz w:val="15"/>
              </w:rPr>
              <w:t>138.9</w:t>
            </w:r>
          </w:p>
        </w:tc>
        <w:tc>
          <w:tcPr>
            <w:tcW w:w="1066" w:type="dxa"/>
            <w:vAlign w:val="center"/>
          </w:tcPr>
          <w:p w14:paraId="58455E4B">
            <w:pPr>
              <w:jc w:val="center"/>
            </w:pPr>
            <w:r>
              <w:rPr>
                <w:b w:val="0"/>
                <w:sz w:val="15"/>
              </w:rPr>
              <w:t>0.488</w:t>
            </w:r>
          </w:p>
        </w:tc>
        <w:tc>
          <w:tcPr>
            <w:tcW w:w="1066" w:type="dxa"/>
            <w:vAlign w:val="center"/>
          </w:tcPr>
          <w:p w14:paraId="063BB086">
            <w:pPr>
              <w:jc w:val="center"/>
            </w:pPr>
            <w:r>
              <w:rPr>
                <w:b w:val="0"/>
                <w:sz w:val="15"/>
              </w:rPr>
              <w:t>0.413</w:t>
            </w:r>
          </w:p>
        </w:tc>
        <w:tc>
          <w:tcPr>
            <w:tcW w:w="835" w:type="dxa"/>
            <w:vAlign w:val="center"/>
          </w:tcPr>
          <w:p w14:paraId="15F86A54">
            <w:pPr>
              <w:jc w:val="center"/>
            </w:pPr>
            <w:r>
              <w:rPr>
                <w:b w:val="0"/>
                <w:sz w:val="15"/>
              </w:rPr>
              <w:t>0.0000</w:t>
            </w:r>
          </w:p>
        </w:tc>
        <w:tc>
          <w:tcPr>
            <w:tcW w:w="893" w:type="dxa"/>
            <w:vAlign w:val="center"/>
          </w:tcPr>
          <w:p w14:paraId="524F013B">
            <w:pPr>
              <w:jc w:val="center"/>
            </w:pPr>
            <w:r>
              <w:rPr>
                <w:b w:val="0"/>
                <w:sz w:val="15"/>
              </w:rPr>
              <w:t>0.562</w:t>
            </w:r>
          </w:p>
        </w:tc>
        <w:tc>
          <w:tcPr>
            <w:tcW w:w="1037" w:type="dxa"/>
            <w:vAlign w:val="center"/>
          </w:tcPr>
          <w:p w14:paraId="540E7875">
            <w:pPr>
              <w:jc w:val="center"/>
            </w:pPr>
            <w:r>
              <w:rPr>
                <w:b w:val="0"/>
                <w:sz w:val="15"/>
              </w:rPr>
              <w:t>0.242</w:t>
            </w:r>
          </w:p>
        </w:tc>
      </w:tr>
      <w:tr w14:paraId="759D23F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6EF70C6">
            <w:pPr>
              <w:jc w:val="center"/>
            </w:pPr>
            <w:r>
              <w:rPr>
                <w:b w:val="0"/>
                <w:sz w:val="15"/>
              </w:rPr>
              <w:t>crack0002_06.png</w:t>
            </w:r>
          </w:p>
        </w:tc>
        <w:tc>
          <w:tcPr>
            <w:tcW w:w="1080" w:type="dxa"/>
            <w:vAlign w:val="center"/>
          </w:tcPr>
          <w:p w14:paraId="6D0FCBC4">
            <w:pPr>
              <w:jc w:val="center"/>
            </w:pPr>
            <w:r>
              <w:rPr>
                <w:b w:val="0"/>
                <w:sz w:val="15"/>
              </w:rPr>
              <w:t>163.5</w:t>
            </w:r>
          </w:p>
        </w:tc>
        <w:tc>
          <w:tcPr>
            <w:tcW w:w="1123" w:type="dxa"/>
            <w:vAlign w:val="center"/>
          </w:tcPr>
          <w:p w14:paraId="14A2AB43">
            <w:pPr>
              <w:jc w:val="center"/>
            </w:pPr>
            <w:r>
              <w:rPr>
                <w:b w:val="0"/>
                <w:sz w:val="15"/>
              </w:rPr>
              <w:t>177.9</w:t>
            </w:r>
          </w:p>
        </w:tc>
        <w:tc>
          <w:tcPr>
            <w:tcW w:w="1066" w:type="dxa"/>
            <w:vAlign w:val="center"/>
          </w:tcPr>
          <w:p w14:paraId="77551BEA">
            <w:pPr>
              <w:jc w:val="center"/>
            </w:pPr>
            <w:r>
              <w:rPr>
                <w:b w:val="0"/>
                <w:sz w:val="15"/>
              </w:rPr>
              <w:t>0.245</w:t>
            </w:r>
          </w:p>
        </w:tc>
        <w:tc>
          <w:tcPr>
            <w:tcW w:w="1066" w:type="dxa"/>
            <w:vAlign w:val="center"/>
          </w:tcPr>
          <w:p w14:paraId="010E41F0">
            <w:pPr>
              <w:jc w:val="center"/>
            </w:pPr>
            <w:r>
              <w:rPr>
                <w:b w:val="0"/>
                <w:sz w:val="15"/>
              </w:rPr>
              <w:t>0.283</w:t>
            </w:r>
          </w:p>
        </w:tc>
        <w:tc>
          <w:tcPr>
            <w:tcW w:w="835" w:type="dxa"/>
            <w:vAlign w:val="center"/>
          </w:tcPr>
          <w:p w14:paraId="5F1C32EB">
            <w:pPr>
              <w:jc w:val="center"/>
            </w:pPr>
            <w:r>
              <w:rPr>
                <w:b w:val="0"/>
                <w:sz w:val="15"/>
              </w:rPr>
              <w:t>0.0000</w:t>
            </w:r>
          </w:p>
        </w:tc>
        <w:tc>
          <w:tcPr>
            <w:tcW w:w="893" w:type="dxa"/>
            <w:vAlign w:val="center"/>
          </w:tcPr>
          <w:p w14:paraId="180A1A20">
            <w:pPr>
              <w:jc w:val="center"/>
            </w:pPr>
            <w:r>
              <w:rPr>
                <w:b w:val="0"/>
                <w:sz w:val="15"/>
              </w:rPr>
              <w:t>0.554</w:t>
            </w:r>
          </w:p>
        </w:tc>
        <w:tc>
          <w:tcPr>
            <w:tcW w:w="1037" w:type="dxa"/>
            <w:vAlign w:val="center"/>
          </w:tcPr>
          <w:p w14:paraId="42C08725">
            <w:pPr>
              <w:jc w:val="center"/>
            </w:pPr>
            <w:r>
              <w:rPr>
                <w:b w:val="0"/>
                <w:sz w:val="15"/>
              </w:rPr>
              <w:t>0.128</w:t>
            </w:r>
          </w:p>
        </w:tc>
      </w:tr>
      <w:tr w14:paraId="73DD905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436C975">
            <w:pPr>
              <w:jc w:val="center"/>
            </w:pPr>
            <w:r>
              <w:rPr>
                <w:b w:val="0"/>
                <w:sz w:val="15"/>
              </w:rPr>
              <w:t>crack0002_01.png</w:t>
            </w:r>
          </w:p>
        </w:tc>
        <w:tc>
          <w:tcPr>
            <w:tcW w:w="1080" w:type="dxa"/>
            <w:vAlign w:val="center"/>
          </w:tcPr>
          <w:p w14:paraId="304CFB31">
            <w:pPr>
              <w:jc w:val="center"/>
            </w:pPr>
            <w:r>
              <w:rPr>
                <w:b w:val="0"/>
                <w:sz w:val="15"/>
              </w:rPr>
              <w:t>188.5</w:t>
            </w:r>
          </w:p>
        </w:tc>
        <w:tc>
          <w:tcPr>
            <w:tcW w:w="1123" w:type="dxa"/>
            <w:vAlign w:val="center"/>
          </w:tcPr>
          <w:p w14:paraId="29FD565D">
            <w:pPr>
              <w:jc w:val="center"/>
            </w:pPr>
            <w:r>
              <w:rPr>
                <w:b w:val="0"/>
                <w:sz w:val="15"/>
              </w:rPr>
              <w:t>193.3</w:t>
            </w:r>
          </w:p>
        </w:tc>
        <w:tc>
          <w:tcPr>
            <w:tcW w:w="1066" w:type="dxa"/>
            <w:vAlign w:val="center"/>
          </w:tcPr>
          <w:p w14:paraId="10184E80">
            <w:pPr>
              <w:jc w:val="center"/>
            </w:pPr>
            <w:r>
              <w:rPr>
                <w:b w:val="0"/>
                <w:sz w:val="15"/>
              </w:rPr>
              <w:t>0.362</w:t>
            </w:r>
          </w:p>
        </w:tc>
        <w:tc>
          <w:tcPr>
            <w:tcW w:w="1066" w:type="dxa"/>
            <w:vAlign w:val="center"/>
          </w:tcPr>
          <w:p w14:paraId="133C23C4">
            <w:pPr>
              <w:jc w:val="center"/>
            </w:pPr>
            <w:r>
              <w:rPr>
                <w:b w:val="0"/>
                <w:sz w:val="15"/>
              </w:rPr>
              <w:t>0.389</w:t>
            </w:r>
          </w:p>
        </w:tc>
        <w:tc>
          <w:tcPr>
            <w:tcW w:w="835" w:type="dxa"/>
            <w:vAlign w:val="center"/>
          </w:tcPr>
          <w:p w14:paraId="5B35E4E3">
            <w:pPr>
              <w:jc w:val="center"/>
            </w:pPr>
            <w:r>
              <w:rPr>
                <w:b w:val="0"/>
                <w:sz w:val="15"/>
              </w:rPr>
              <w:t>0.1475</w:t>
            </w:r>
          </w:p>
        </w:tc>
        <w:tc>
          <w:tcPr>
            <w:tcW w:w="893" w:type="dxa"/>
            <w:vAlign w:val="center"/>
          </w:tcPr>
          <w:p w14:paraId="620BC9E8">
            <w:pPr>
              <w:jc w:val="center"/>
            </w:pPr>
            <w:r>
              <w:rPr>
                <w:b w:val="0"/>
                <w:sz w:val="15"/>
              </w:rPr>
              <w:t>0.555</w:t>
            </w:r>
          </w:p>
        </w:tc>
        <w:tc>
          <w:tcPr>
            <w:tcW w:w="1037" w:type="dxa"/>
            <w:vAlign w:val="center"/>
          </w:tcPr>
          <w:p w14:paraId="385A0D59">
            <w:pPr>
              <w:jc w:val="center"/>
            </w:pPr>
            <w:r>
              <w:rPr>
                <w:b w:val="0"/>
                <w:sz w:val="15"/>
              </w:rPr>
              <w:t>0.138</w:t>
            </w:r>
          </w:p>
        </w:tc>
      </w:tr>
    </w:tbl>
    <w:p w14:paraId="3837857E">
      <w:pPr>
        <w:spacing w:before="40" w:after="160"/>
        <w:jc w:val="center"/>
      </w:pPr>
      <w:r>
        <w:rPr>
          <w:i/>
          <w:color w:val="5C6773"/>
          <w:sz w:val="18"/>
        </w:rPr>
        <w:t>表5 Global EPE 最低与最高样本对照</w:t>
      </w:r>
    </w:p>
    <w:p w14:paraId="7C8456F9">
      <w:pPr>
        <w:pStyle w:val="3"/>
      </w:pPr>
      <w:r>
        <w:t>6 可视化结果分析</w:t>
      </w:r>
    </w:p>
    <w:p w14:paraId="360AC158">
      <w:pPr>
        <w:pStyle w:val="4"/>
      </w:pPr>
      <w:r>
        <w:t>6.1 多样本校正对比</w:t>
      </w:r>
    </w:p>
    <w:p w14:paraId="1825AD5B">
      <w:r>
        <w:t>diag_infer_best_epe 目录提供了多张 compare 图，通常以横向面板展示输入、预测校正结果、位移/光流相关可视化或参考结果。从可视化上看，模型能够恢复大尺度裂缝走向，减少水下扰动导致的整体几何偏移；但局部边缘仍可能出现过度平滑、错位或纹理残差。</w:t>
      </w:r>
    </w:p>
    <w:p w14:paraId="0B06C622">
      <w:r>
        <w:drawing>
          <wp:inline distT="0" distB="0" distL="114300" distR="114300">
            <wp:extent cx="5760720" cy="328549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CF05">
      <w:pPr>
        <w:spacing w:before="40" w:after="160"/>
        <w:jc w:val="center"/>
      </w:pPr>
      <w:r>
        <w:rPr>
          <w:i/>
          <w:color w:val="5C6773"/>
          <w:sz w:val="18"/>
        </w:rPr>
        <w:t>图7 best_epe checkpoint 的多样本推理对比图汇总</w:t>
      </w:r>
    </w:p>
    <w:p w14:paraId="464858C4">
      <w:r>
        <w:t>图7中的样本表明，模型对主裂缝的全局形态有一定恢复能力，尤其在整体弯曲方向和裂缝主体位置上表现稳定。不过，裂缝边界附近仍是误差高发区域：细裂缝分叉、局部高频纹理、图像边界处的插值区域更容易出现模糊或残差，和 gate report 中 edge fidelity、Dice 偏低的现象一致。</w:t>
      </w:r>
    </w:p>
    <w:p w14:paraId="1D9C4686">
      <w:pPr>
        <w:pStyle w:val="4"/>
      </w:pPr>
      <w:r>
        <w:t>6.2 ROI 局部细节观察</w:t>
      </w:r>
    </w:p>
    <w:p w14:paraId="33809AB0">
      <w:r>
        <w:t>ROI 可视化用于放大裂缝局部区域，帮助判断模型是否只恢复了全局几何趋势，还是同时保留了裂缝边缘与局部纹理。从 ROI 面板看，模型在大尺度矫正后仍容易损失细小分叉、边缘锐度和局部对齐精度，因此后续优化应更多关注裂缝区域的局部监督。</w:t>
      </w:r>
    </w:p>
    <w:p w14:paraId="775043A3">
      <w:r>
        <w:drawing>
          <wp:inline distT="0" distB="0" distL="114300" distR="114300">
            <wp:extent cx="5760720" cy="3686810"/>
            <wp:effectExtent l="0" t="0" r="508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2684">
      <w:pPr>
        <w:spacing w:before="40" w:after="160"/>
        <w:jc w:val="center"/>
      </w:pPr>
      <w:r>
        <w:rPr>
          <w:i/>
          <w:color w:val="5C6773"/>
          <w:sz w:val="18"/>
        </w:rPr>
        <w:t>图8 crack0001_00 的 ROI 框选与局部细节面板</w:t>
      </w:r>
    </w:p>
    <w:p w14:paraId="7A969984">
      <w:pPr>
        <w:pStyle w:val="3"/>
      </w:pPr>
      <w:r>
        <w:t>7 问题定位与原因分析</w:t>
      </w:r>
    </w:p>
    <w:p w14:paraId="6819AB01">
      <w:r>
        <w:t>综合训练曲线、评估指标和可视化结果，可以将当前模型状态概括为“训练已稳定收敛，但工程指标未达标”。也就是说，模型确实学习到了从扭曲图像到逆映射场的主要关系，但该关系的精度、单调性和裂缝边缘保真度仍不足以通过严格门限。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6E7D017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7BA2B13B">
            <w:pPr>
              <w:jc w:val="center"/>
            </w:pPr>
            <w:r>
              <w:rPr>
                <w:b/>
                <w:color w:val="1F4D78"/>
                <w:sz w:val="15"/>
              </w:rPr>
              <w:t>问题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0988A587">
            <w:pPr>
              <w:jc w:val="center"/>
            </w:pPr>
            <w:r>
              <w:rPr>
                <w:b/>
                <w:color w:val="1F4D78"/>
                <w:sz w:val="15"/>
              </w:rPr>
              <w:t>证据</w:t>
            </w:r>
          </w:p>
        </w:tc>
        <w:tc>
          <w:tcPr>
            <w:tcW w:w="3456" w:type="dxa"/>
            <w:shd w:val="clear" w:color="auto" w:fill="E8EEF5"/>
            <w:vAlign w:val="center"/>
          </w:tcPr>
          <w:p w14:paraId="367D2E4C">
            <w:pPr>
              <w:jc w:val="center"/>
            </w:pPr>
            <w:r>
              <w:rPr>
                <w:b/>
                <w:color w:val="1F4D78"/>
                <w:sz w:val="15"/>
              </w:rPr>
              <w:t>可能原因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68DBA166">
            <w:pPr>
              <w:jc w:val="center"/>
            </w:pPr>
            <w:r>
              <w:rPr>
                <w:b/>
                <w:color w:val="1F4D78"/>
                <w:sz w:val="15"/>
              </w:rPr>
              <w:t>影响</w:t>
            </w:r>
          </w:p>
        </w:tc>
      </w:tr>
      <w:tr w14:paraId="0DFCB7A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2724771">
            <w:pPr>
              <w:jc w:val="center"/>
            </w:pPr>
            <w:r>
              <w:rPr>
                <w:b w:val="0"/>
                <w:sz w:val="15"/>
              </w:rPr>
              <w:t>Crack EPE 偏高</w:t>
            </w:r>
          </w:p>
        </w:tc>
        <w:tc>
          <w:tcPr>
            <w:tcW w:w="2232" w:type="dxa"/>
            <w:vAlign w:val="center"/>
          </w:tcPr>
          <w:p w14:paraId="0BB27F32">
            <w:pPr>
              <w:jc w:val="center"/>
            </w:pPr>
            <w:r>
              <w:rPr>
                <w:b w:val="0"/>
                <w:sz w:val="15"/>
              </w:rPr>
              <w:t>best_epe.pth 约 112.021px，门限 45px</w:t>
            </w:r>
          </w:p>
        </w:tc>
        <w:tc>
          <w:tcPr>
            <w:tcW w:w="3456" w:type="dxa"/>
            <w:vAlign w:val="center"/>
          </w:tcPr>
          <w:p w14:paraId="4C1A5B35">
            <w:pPr>
              <w:jc w:val="center"/>
            </w:pPr>
            <w:r>
              <w:rPr>
                <w:b w:val="0"/>
                <w:sz w:val="15"/>
              </w:rPr>
              <w:t>裂缝区域监督权重或样本难度分布不足；局部大位移拟合能力不够</w:t>
            </w:r>
          </w:p>
        </w:tc>
        <w:tc>
          <w:tcPr>
            <w:tcW w:w="1800" w:type="dxa"/>
            <w:vAlign w:val="center"/>
          </w:tcPr>
          <w:p w14:paraId="26619168">
            <w:pPr>
              <w:jc w:val="center"/>
            </w:pPr>
            <w:r>
              <w:rPr>
                <w:b w:val="0"/>
                <w:sz w:val="15"/>
              </w:rPr>
              <w:t>裂缝主体位置仍有明显残差</w:t>
            </w:r>
          </w:p>
        </w:tc>
      </w:tr>
      <w:tr w14:paraId="4E1D332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9FA3C8D">
            <w:pPr>
              <w:jc w:val="center"/>
            </w:pPr>
            <w:r>
              <w:rPr>
                <w:b w:val="0"/>
                <w:sz w:val="15"/>
              </w:rPr>
              <w:t>Dice 极低</w:t>
            </w:r>
          </w:p>
        </w:tc>
        <w:tc>
          <w:tcPr>
            <w:tcW w:w="2232" w:type="dxa"/>
            <w:vAlign w:val="center"/>
          </w:tcPr>
          <w:p w14:paraId="56508741">
            <w:pPr>
              <w:jc w:val="center"/>
            </w:pPr>
            <w:r>
              <w:rPr>
                <w:b w:val="0"/>
                <w:sz w:val="15"/>
              </w:rPr>
              <w:t>best_epe_v2 Dice 约 0.0026</w:t>
            </w:r>
          </w:p>
        </w:tc>
        <w:tc>
          <w:tcPr>
            <w:tcW w:w="3456" w:type="dxa"/>
            <w:vAlign w:val="center"/>
          </w:tcPr>
          <w:p w14:paraId="54EDCA65">
            <w:pPr>
              <w:jc w:val="center"/>
            </w:pPr>
            <w:r>
              <w:rPr>
                <w:b w:val="0"/>
                <w:sz w:val="15"/>
              </w:rPr>
              <w:t>校正后裂缝掩膜与目标裂缝掩膜重合不足，可能受阈值、边缘模糊和映射折叠共同影响</w:t>
            </w:r>
          </w:p>
        </w:tc>
        <w:tc>
          <w:tcPr>
            <w:tcW w:w="1800" w:type="dxa"/>
            <w:vAlign w:val="center"/>
          </w:tcPr>
          <w:p w14:paraId="45D0D407">
            <w:pPr>
              <w:jc w:val="center"/>
            </w:pPr>
            <w:r>
              <w:rPr>
                <w:b w:val="0"/>
                <w:sz w:val="15"/>
              </w:rPr>
              <w:t>裂缝级结构一致性较弱</w:t>
            </w:r>
          </w:p>
        </w:tc>
      </w:tr>
      <w:tr w14:paraId="03442B7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4E40BD4">
            <w:pPr>
              <w:jc w:val="center"/>
            </w:pPr>
            <w:r>
              <w:rPr>
                <w:b w:val="0"/>
                <w:sz w:val="15"/>
              </w:rPr>
              <w:t>Edge fidelity 不足</w:t>
            </w:r>
          </w:p>
        </w:tc>
        <w:tc>
          <w:tcPr>
            <w:tcW w:w="2232" w:type="dxa"/>
            <w:vAlign w:val="center"/>
          </w:tcPr>
          <w:p w14:paraId="61436DEC">
            <w:pPr>
              <w:jc w:val="center"/>
            </w:pPr>
            <w:r>
              <w:rPr>
                <w:b w:val="0"/>
                <w:sz w:val="15"/>
              </w:rPr>
              <w:t>裂缝边缘保真度约 0.295-0.321</w:t>
            </w:r>
          </w:p>
        </w:tc>
        <w:tc>
          <w:tcPr>
            <w:tcW w:w="3456" w:type="dxa"/>
            <w:vAlign w:val="center"/>
          </w:tcPr>
          <w:p w14:paraId="54BC7AAD">
            <w:pPr>
              <w:jc w:val="center"/>
            </w:pPr>
            <w:r>
              <w:rPr>
                <w:b w:val="0"/>
                <w:sz w:val="15"/>
              </w:rPr>
              <w:t>高频边缘缺少显式保持，photo/coord 优先改善低频几何</w:t>
            </w:r>
          </w:p>
        </w:tc>
        <w:tc>
          <w:tcPr>
            <w:tcW w:w="1800" w:type="dxa"/>
            <w:vAlign w:val="center"/>
          </w:tcPr>
          <w:p w14:paraId="302B297E">
            <w:pPr>
              <w:jc w:val="center"/>
            </w:pPr>
            <w:r>
              <w:rPr>
                <w:b w:val="0"/>
                <w:sz w:val="15"/>
              </w:rPr>
              <w:t>边缘锐度和细小分叉恢复不稳定</w:t>
            </w:r>
          </w:p>
        </w:tc>
      </w:tr>
      <w:tr w14:paraId="306EADE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3143D62">
            <w:pPr>
              <w:jc w:val="center"/>
            </w:pPr>
            <w:r>
              <w:rPr>
                <w:b w:val="0"/>
                <w:sz w:val="15"/>
              </w:rPr>
              <w:t>Folding rate 高</w:t>
            </w:r>
          </w:p>
        </w:tc>
        <w:tc>
          <w:tcPr>
            <w:tcW w:w="2232" w:type="dxa"/>
            <w:vAlign w:val="center"/>
          </w:tcPr>
          <w:p w14:paraId="16EE9066">
            <w:pPr>
              <w:jc w:val="center"/>
            </w:pPr>
            <w:r>
              <w:rPr>
                <w:b w:val="0"/>
                <w:sz w:val="15"/>
              </w:rPr>
              <w:t>约 0.57，门限 0.05</w:t>
            </w:r>
          </w:p>
        </w:tc>
        <w:tc>
          <w:tcPr>
            <w:tcW w:w="3456" w:type="dxa"/>
            <w:vAlign w:val="center"/>
          </w:tcPr>
          <w:p w14:paraId="0570FF1C">
            <w:pPr>
              <w:jc w:val="center"/>
            </w:pPr>
            <w:r>
              <w:rPr>
                <w:b w:val="0"/>
                <w:sz w:val="15"/>
              </w:rPr>
              <w:t>位移场可逆性与雅可比约束不足，局部出现折叠或非单调采样</w:t>
            </w:r>
          </w:p>
        </w:tc>
        <w:tc>
          <w:tcPr>
            <w:tcW w:w="1800" w:type="dxa"/>
            <w:vAlign w:val="center"/>
          </w:tcPr>
          <w:p w14:paraId="7391137E">
            <w:pPr>
              <w:jc w:val="center"/>
            </w:pPr>
            <w:r>
              <w:rPr>
                <w:b w:val="0"/>
                <w:sz w:val="15"/>
              </w:rPr>
              <w:t>校正映射物理合理性不足</w:t>
            </w:r>
          </w:p>
        </w:tc>
      </w:tr>
    </w:tbl>
    <w:p w14:paraId="3119BC4B">
      <w:pPr>
        <w:spacing w:before="40" w:after="160"/>
        <w:jc w:val="center"/>
      </w:pPr>
      <w:r>
        <w:rPr>
          <w:i/>
          <w:color w:val="5C6773"/>
          <w:sz w:val="18"/>
        </w:rPr>
        <w:t>表6 当前模型主要问题与证据链</w:t>
      </w:r>
    </w:p>
    <w:p w14:paraId="09C90E57">
      <w:pPr>
        <w:pStyle w:val="3"/>
      </w:pPr>
      <w:r>
        <w:t>8 优化建议</w:t>
      </w:r>
    </w:p>
    <w:p w14:paraId="2A909778">
      <w:r>
        <w:rPr>
          <w:b/>
          <w:color w:val="1F4D78"/>
        </w:rPr>
        <w:t>增强裂缝区域监督：</w:t>
      </w:r>
      <w:r>
        <w:t>对裂缝 mask、裂缝边缘和分叉区域设置更高权重，将 crack EPE、edge fidelity 或 Dice 类指标纳入训练目标，避免模型只优化背景或低频几何。</w:t>
      </w:r>
    </w:p>
    <w:p w14:paraId="5E51263C">
      <w:r>
        <w:rPr>
          <w:b/>
          <w:color w:val="1F4D78"/>
        </w:rPr>
        <w:t>加入可逆性与折叠约束：</w:t>
      </w:r>
      <w:r>
        <w:t>显式约束位移场雅可比行列式、局部单调性或平滑可逆性，降低 folding rate，避免 remap 采样时出现局部翻折。</w:t>
      </w:r>
    </w:p>
    <w:p w14:paraId="534FAC22">
      <w:r>
        <w:rPr>
          <w:b/>
          <w:color w:val="1F4D78"/>
        </w:rPr>
        <w:t>采用多尺度局部细化：</w:t>
      </w:r>
      <w:r>
        <w:t>在主干预测全局逆映射后，引入裂缝 ROI 分支或高分辨率 refinement head，对边缘、尖端和细裂缝局部进行二阶段修正。</w:t>
      </w:r>
    </w:p>
    <w:p w14:paraId="1FF2A070">
      <w:r>
        <w:rPr>
          <w:b/>
          <w:color w:val="1F4D78"/>
        </w:rPr>
        <w:t>重检评估口径：</w:t>
      </w:r>
      <w:r>
        <w:t>metric_align 与 best_epe_v2 指标差异较大，建议固定评估样本集、裂缝 mask 提取阈值、坐标归一化方式与 EPE 计算口径，避免横向比较混入评估偏差。</w:t>
      </w:r>
    </w:p>
    <w:p w14:paraId="0B29EEF7">
      <w:r>
        <w:rPr>
          <w:b/>
          <w:color w:val="1F4D78"/>
        </w:rPr>
        <w:t>扩展真实水下扰动数据：</w:t>
      </w:r>
      <w:r>
        <w:t>当前合成扰动可能与真实水下折射、散射、照度变化存在 domain gap。可增加真实标注、半监督一致性或物理先验增强来提升泛化。</w:t>
      </w:r>
    </w:p>
    <w:p w14:paraId="5CBA98E4">
      <w:pPr>
        <w:pStyle w:val="3"/>
      </w:pPr>
      <w:r>
        <w:t>9 结论</w:t>
      </w:r>
    </w:p>
    <w:p w14:paraId="4C16A754">
      <w:r>
        <w:t>本次训练在 50 个 epoch 内完成稳定收敛，验证损失和验证 EPE 均显著下降，说明网络已经具备基本的水下裂缝扭曲校正学习能力。从训练日志看，最终 Val Loss 为 0.32642，最佳 Val EPE 为 117.885px，训练总时长约 17.99 小时。</w:t>
      </w:r>
    </w:p>
    <w:p w14:paraId="0147110B">
      <w:r>
        <w:t>然而，进一步的 gate report 与逐图像分析表明，当前模型仍未达到工程级校正门限：裂缝区域 EPE、Dice、边缘保真度和 folding rate 均存在明显短板。因此，本阶段成果更适合作为基线模型和诊断起点，而不是最终可部署模型。下一阶段应围绕裂缝区域加权监督、可逆位移场约束和局部细化模块进行定向优化。</w:t>
      </w:r>
      <w:bookmarkStart w:id="0" w:name="_GoBack"/>
      <w:bookmarkEnd w:id="0"/>
    </w:p>
    <w:p w14:paraId="421C300C">
      <w:pPr>
        <w:pStyle w:val="3"/>
      </w:pPr>
      <w:r>
        <w:t>附录 A 数据文件清单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E8123A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tcW w:w="3600" w:type="dxa"/>
            <w:shd w:val="clear" w:color="auto" w:fill="E8EEF5"/>
            <w:vAlign w:val="center"/>
          </w:tcPr>
          <w:p w14:paraId="6E3E6FB3">
            <w:pPr>
              <w:jc w:val="center"/>
            </w:pPr>
            <w:r>
              <w:rPr>
                <w:b/>
                <w:color w:val="1F4D78"/>
                <w:sz w:val="16"/>
              </w:rPr>
              <w:t>文件/目录</w:t>
            </w:r>
          </w:p>
        </w:tc>
        <w:tc>
          <w:tcPr>
            <w:tcW w:w="5760" w:type="dxa"/>
            <w:shd w:val="clear" w:color="auto" w:fill="E8EEF5"/>
            <w:vAlign w:val="center"/>
          </w:tcPr>
          <w:p w14:paraId="21F8AB8B">
            <w:pPr>
              <w:jc w:val="center"/>
            </w:pPr>
            <w:r>
              <w:rPr>
                <w:b/>
                <w:color w:val="1F4D78"/>
                <w:sz w:val="16"/>
              </w:rPr>
              <w:t>用途</w:t>
            </w:r>
          </w:p>
        </w:tc>
      </w:tr>
      <w:tr w14:paraId="77406ED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53698B7F">
            <w:pPr>
              <w:jc w:val="center"/>
            </w:pPr>
            <w:r>
              <w:rPr>
                <w:b w:val="0"/>
                <w:sz w:val="16"/>
              </w:rPr>
              <w:t>train.log</w:t>
            </w:r>
          </w:p>
        </w:tc>
        <w:tc>
          <w:tcPr>
            <w:tcW w:w="5760" w:type="dxa"/>
            <w:vAlign w:val="center"/>
          </w:tcPr>
          <w:p w14:paraId="69AA4859">
            <w:pPr>
              <w:jc w:val="center"/>
            </w:pPr>
            <w:r>
              <w:rPr>
                <w:b w:val="0"/>
                <w:sz w:val="16"/>
              </w:rPr>
              <w:t>原始训练日志，包含 batch 级损失、epoch 汇总、最优模型与总耗时</w:t>
            </w:r>
          </w:p>
        </w:tc>
      </w:tr>
      <w:tr w14:paraId="7839ADE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29C30D6D">
            <w:pPr>
              <w:jc w:val="center"/>
            </w:pPr>
            <w:r>
              <w:rPr>
                <w:b w:val="0"/>
                <w:sz w:val="16"/>
              </w:rPr>
              <w:t>epoch_summary_parsed.csv</w:t>
            </w:r>
          </w:p>
        </w:tc>
        <w:tc>
          <w:tcPr>
            <w:tcW w:w="5760" w:type="dxa"/>
            <w:vAlign w:val="center"/>
          </w:tcPr>
          <w:p w14:paraId="63A93D7D">
            <w:pPr>
              <w:jc w:val="center"/>
            </w:pPr>
            <w:r>
              <w:rPr>
                <w:b w:val="0"/>
                <w:sz w:val="16"/>
              </w:rPr>
              <w:t>从训练日志解析出的 epoch 级 Loss/EPE/LR/Time 数据</w:t>
            </w:r>
          </w:p>
        </w:tc>
      </w:tr>
      <w:tr w14:paraId="5F572B0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69C9875E">
            <w:pPr>
              <w:jc w:val="center"/>
            </w:pPr>
            <w:r>
              <w:rPr>
                <w:b w:val="0"/>
                <w:sz w:val="16"/>
              </w:rPr>
              <w:t>diag_eval_best_epe_v2/eval_summary.json</w:t>
            </w:r>
          </w:p>
        </w:tc>
        <w:tc>
          <w:tcPr>
            <w:tcW w:w="5760" w:type="dxa"/>
            <w:vAlign w:val="center"/>
          </w:tcPr>
          <w:p w14:paraId="489A9612">
            <w:pPr>
              <w:jc w:val="center"/>
            </w:pPr>
            <w:r>
              <w:rPr>
                <w:b w:val="0"/>
                <w:sz w:val="16"/>
              </w:rPr>
              <w:t>best_epe checkpoint 的 120 样本诊断评估汇总</w:t>
            </w:r>
          </w:p>
        </w:tc>
      </w:tr>
      <w:tr w14:paraId="2EA59DF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3B60714E">
            <w:pPr>
              <w:jc w:val="center"/>
            </w:pPr>
            <w:r>
              <w:rPr>
                <w:b w:val="0"/>
                <w:sz w:val="16"/>
              </w:rPr>
              <w:t>gate_report/gate_report.csv</w:t>
            </w:r>
          </w:p>
        </w:tc>
        <w:tc>
          <w:tcPr>
            <w:tcW w:w="5760" w:type="dxa"/>
            <w:vAlign w:val="center"/>
          </w:tcPr>
          <w:p w14:paraId="775548AD">
            <w:pPr>
              <w:jc w:val="center"/>
            </w:pPr>
            <w:r>
              <w:rPr>
                <w:b w:val="0"/>
                <w:sz w:val="16"/>
              </w:rPr>
              <w:t>不同 checkpoint 的门限评估结果</w:t>
            </w:r>
          </w:p>
        </w:tc>
      </w:tr>
      <w:tr w14:paraId="5D938E9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1D25C58C">
            <w:pPr>
              <w:jc w:val="center"/>
            </w:pPr>
            <w:r>
              <w:rPr>
                <w:b w:val="0"/>
                <w:sz w:val="16"/>
              </w:rPr>
              <w:t>diag_infer_best_epe/*.png</w:t>
            </w:r>
          </w:p>
        </w:tc>
        <w:tc>
          <w:tcPr>
            <w:tcW w:w="5760" w:type="dxa"/>
            <w:vAlign w:val="center"/>
          </w:tcPr>
          <w:p w14:paraId="1489444D">
            <w:pPr>
              <w:jc w:val="center"/>
            </w:pPr>
            <w:r>
              <w:rPr>
                <w:b w:val="0"/>
                <w:sz w:val="16"/>
              </w:rPr>
              <w:t>典型样本推理与校正对比图</w:t>
            </w:r>
          </w:p>
        </w:tc>
      </w:tr>
      <w:tr w14:paraId="0326577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3600" w:type="dxa"/>
            <w:vAlign w:val="center"/>
          </w:tcPr>
          <w:p w14:paraId="4F75B94F">
            <w:pPr>
              <w:jc w:val="center"/>
            </w:pPr>
            <w:r>
              <w:rPr>
                <w:b w:val="0"/>
                <w:sz w:val="16"/>
              </w:rPr>
              <w:t>crack_roi_visuals/*.png</w:t>
            </w:r>
          </w:p>
        </w:tc>
        <w:tc>
          <w:tcPr>
            <w:tcW w:w="5760" w:type="dxa"/>
            <w:vAlign w:val="center"/>
          </w:tcPr>
          <w:p w14:paraId="2DA4A22D">
            <w:pPr>
              <w:jc w:val="center"/>
            </w:pPr>
            <w:r>
              <w:rPr>
                <w:b w:val="0"/>
                <w:sz w:val="16"/>
              </w:rPr>
              <w:t>裂缝 ROI 局部细节可视化</w:t>
            </w:r>
          </w:p>
        </w:tc>
      </w:tr>
    </w:tbl>
    <w:p w14:paraId="752216D0"/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FC757">
    <w:pPr>
      <w:pStyle w:val="24"/>
      <w:jc w:val="center"/>
    </w:pPr>
    <w:r>
      <w:rPr>
        <w:color w:val="5C6773"/>
        <w:sz w:val="18"/>
      </w:rPr>
      <w:t>水下裂缝扭曲校正实验报告 - 由 output_crackwarp 数据自动生成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D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1622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500</Words>
  <Characters>1015</Characters>
  <Lines>0</Lines>
  <Paragraphs>0</Paragraphs>
  <TotalTime>2</TotalTime>
  <ScaleCrop>false</ScaleCrop>
  <LinksUpToDate>false</LinksUpToDate>
  <CharactersWithSpaces>1092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勿忘</cp:lastModifiedBy>
  <dcterms:modified xsi:type="dcterms:W3CDTF">2026-06-04T16:42:18Z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eyJoZGlkIjoiYTgyODc2YzkyMjA4OTBmMTNmMmFkNzc1NmViMWYzZjkiLCJ1c2VySWQiOiI0MjgyODY0MTMifQ==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9962A4EA0CD446A4A7D760665DDF68AC_12</vt:lpwstr>
  </property>
</Properties>
</file>