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eastAsia="Microsoft YaHei"/>
          <w:b/>
          <w:color w:val="1F4E79"/>
          <w:sz w:val="40"/>
        </w:rPr>
        <w:t>水下裂缝扭曲校正项目工作内容与工作量说明</w:t>
      </w:r>
    </w:p>
    <w:p>
      <w:pPr>
        <w:spacing w:after="240"/>
        <w:jc w:val="center"/>
      </w:pPr>
      <w:r>
        <w:rPr>
          <w:rFonts w:ascii="Arial" w:hAnsi="Arial" w:eastAsia="Microsoft YaHei"/>
          <w:b w:val="0"/>
          <w:color w:val="666666"/>
          <w:sz w:val="22"/>
        </w:rPr>
        <w:t>对外报价与项目排期参考稿</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Borders>
              <w:top w:val="single" w:sz="6" w:space="0" w:color="B7C6D5"/>
              <w:left w:val="single" w:sz="6" w:space="0" w:color="B7C6D5"/>
              <w:bottom w:val="single" w:sz="6" w:space="0" w:color="B7C6D5"/>
              <w:right w:val="single" w:sz="6" w:space="0" w:color="B7C6D5"/>
            </w:tcBorders>
            <w:tcMar>
              <w:top w:w="110" w:type="dxa"/>
              <w:start w:w="120" w:type="dxa"/>
              <w:bottom w:w="110" w:type="dxa"/>
              <w:end w:w="120" w:type="dxa"/>
            </w:tcMar>
            <w:shd w:fill="D9EAF7"/>
          </w:tcPr>
          <w:p>
            <w:pPr>
              <w:spacing w:after="0"/>
            </w:pPr>
            <w:r/>
            <w:r>
              <w:rPr>
                <w:rFonts w:ascii="Arial" w:hAnsi="Arial" w:eastAsia="Microsoft YaHei"/>
                <w:b/>
                <w:color w:val="222222"/>
                <w:sz w:val="19"/>
              </w:rPr>
              <w:t>适用口径</w:t>
            </w:r>
          </w:p>
        </w:tc>
        <w:tc>
          <w:tcPr>
            <w:tcW w:type="dxa" w:w="7460"/>
            <w:tcBorders>
              <w:top w:val="single" w:sz="6" w:space="0" w:color="B7C6D5"/>
              <w:left w:val="single" w:sz="6" w:space="0" w:color="B7C6D5"/>
              <w:bottom w:val="single" w:sz="6" w:space="0" w:color="B7C6D5"/>
              <w:right w:val="single" w:sz="6" w:space="0" w:color="B7C6D5"/>
            </w:tcBorders>
            <w:tcMar>
              <w:top w:w="110" w:type="dxa"/>
              <w:start w:w="120" w:type="dxa"/>
              <w:bottom w:w="110" w:type="dxa"/>
              <w:end w:w="120" w:type="dxa"/>
            </w:tcMar>
            <w:shd w:fill="F3F7FA"/>
          </w:tcPr>
          <w:p>
            <w:pPr>
              <w:spacing w:after="0"/>
            </w:pPr>
            <w:r/>
            <w:r>
              <w:rPr>
                <w:rFonts w:ascii="Arial" w:hAnsi="Arial" w:eastAsia="Microsoft YaHei"/>
                <w:b w:val="0"/>
                <w:color w:val="222222"/>
                <w:sz w:val="19"/>
              </w:rPr>
              <w:t>对外报价、项目排期和交付范围说明</w:t>
            </w:r>
          </w:p>
        </w:tc>
      </w:tr>
      <w:tr>
        <w:tc>
          <w:tcPr>
            <w:tcW w:type="dxa" w:w="1900"/>
            <w:tcBorders>
              <w:top w:val="single" w:sz="6" w:space="0" w:color="B7C6D5"/>
              <w:left w:val="single" w:sz="6" w:space="0" w:color="B7C6D5"/>
              <w:bottom w:val="single" w:sz="6" w:space="0" w:color="B7C6D5"/>
              <w:right w:val="single" w:sz="6" w:space="0" w:color="B7C6D5"/>
            </w:tcBorders>
            <w:tcMar>
              <w:top w:w="110" w:type="dxa"/>
              <w:start w:w="120" w:type="dxa"/>
              <w:bottom w:w="110" w:type="dxa"/>
              <w:end w:w="120" w:type="dxa"/>
            </w:tcMar>
            <w:shd w:fill="D9EAF7"/>
          </w:tcPr>
          <w:p>
            <w:pPr>
              <w:spacing w:after="0"/>
            </w:pPr>
            <w:r/>
            <w:r>
              <w:rPr>
                <w:rFonts w:ascii="Arial" w:hAnsi="Arial" w:eastAsia="Microsoft YaHei"/>
                <w:b/>
                <w:color w:val="222222"/>
                <w:sz w:val="19"/>
              </w:rPr>
              <w:t>总工作量</w:t>
            </w:r>
          </w:p>
        </w:tc>
        <w:tc>
          <w:tcPr>
            <w:tcW w:type="dxa" w:w="7460"/>
            <w:tcBorders>
              <w:top w:val="single" w:sz="6" w:space="0" w:color="B7C6D5"/>
              <w:left w:val="single" w:sz="6" w:space="0" w:color="B7C6D5"/>
              <w:bottom w:val="single" w:sz="6" w:space="0" w:color="B7C6D5"/>
              <w:right w:val="single" w:sz="6" w:space="0" w:color="B7C6D5"/>
            </w:tcBorders>
            <w:tcMar>
              <w:top w:w="110" w:type="dxa"/>
              <w:start w:w="120" w:type="dxa"/>
              <w:bottom w:w="110" w:type="dxa"/>
              <w:end w:w="120" w:type="dxa"/>
            </w:tcMar>
            <w:shd w:fill="F3F7FA"/>
          </w:tcPr>
          <w:p>
            <w:pPr>
              <w:spacing w:after="0"/>
            </w:pPr>
            <w:r/>
            <w:r>
              <w:rPr>
                <w:rFonts w:ascii="Arial" w:hAnsi="Arial" w:eastAsia="Microsoft YaHei"/>
                <w:b w:val="0"/>
                <w:color w:val="222222"/>
                <w:sz w:val="19"/>
              </w:rPr>
              <w:t>稳妥完整估算 57-86 人天，建议 2 人并行约 6-9 周</w:t>
            </w:r>
          </w:p>
        </w:tc>
      </w:tr>
      <w:tr>
        <w:tc>
          <w:tcPr>
            <w:tcW w:type="dxa" w:w="1900"/>
            <w:tcBorders>
              <w:top w:val="single" w:sz="6" w:space="0" w:color="B7C6D5"/>
              <w:left w:val="single" w:sz="6" w:space="0" w:color="B7C6D5"/>
              <w:bottom w:val="single" w:sz="6" w:space="0" w:color="B7C6D5"/>
              <w:right w:val="single" w:sz="6" w:space="0" w:color="B7C6D5"/>
            </w:tcBorders>
            <w:tcMar>
              <w:top w:w="110" w:type="dxa"/>
              <w:start w:w="120" w:type="dxa"/>
              <w:bottom w:w="110" w:type="dxa"/>
              <w:end w:w="120" w:type="dxa"/>
            </w:tcMar>
            <w:shd w:fill="D9EAF7"/>
          </w:tcPr>
          <w:p>
            <w:pPr>
              <w:spacing w:after="0"/>
            </w:pPr>
            <w:r/>
            <w:r>
              <w:rPr>
                <w:rFonts w:ascii="Arial" w:hAnsi="Arial" w:eastAsia="Microsoft YaHei"/>
                <w:b/>
                <w:color w:val="222222"/>
                <w:sz w:val="19"/>
              </w:rPr>
              <w:t>重要前提</w:t>
            </w:r>
          </w:p>
        </w:tc>
        <w:tc>
          <w:tcPr>
            <w:tcW w:type="dxa" w:w="7460"/>
            <w:tcBorders>
              <w:top w:val="single" w:sz="6" w:space="0" w:color="B7C6D5"/>
              <w:left w:val="single" w:sz="6" w:space="0" w:color="B7C6D5"/>
              <w:bottom w:val="single" w:sz="6" w:space="0" w:color="B7C6D5"/>
              <w:right w:val="single" w:sz="6" w:space="0" w:color="B7C6D5"/>
            </w:tcBorders>
            <w:tcMar>
              <w:top w:w="110" w:type="dxa"/>
              <w:start w:w="120" w:type="dxa"/>
              <w:bottom w:w="110" w:type="dxa"/>
              <w:end w:w="120" w:type="dxa"/>
            </w:tcMar>
            <w:shd w:fill="F3F7FA"/>
          </w:tcPr>
          <w:p>
            <w:pPr>
              <w:spacing w:after="0"/>
            </w:pPr>
            <w:r/>
            <w:r>
              <w:rPr>
                <w:rFonts w:ascii="Arial" w:hAnsi="Arial" w:eastAsia="Microsoft YaHei"/>
                <w:b w:val="0"/>
                <w:color w:val="222222"/>
                <w:sz w:val="19"/>
              </w:rPr>
              <w:t>默认用户能提供完整代码、真实数据、日志、现有权重和原始可视化文件</w:t>
            </w:r>
          </w:p>
        </w:tc>
      </w:tr>
    </w:tbl>
    <w:p>
      <w:pPr>
        <w:spacing w:after="60"/>
      </w:pPr>
    </w:p>
    <w:p>
      <w:pPr>
        <w:spacing w:before="280" w:after="120"/>
      </w:pPr>
      <w:r>
        <w:rPr>
          <w:rFonts w:ascii="Arial" w:hAnsi="Arial" w:eastAsia="Microsoft YaHei"/>
          <w:b/>
          <w:color w:val="1F4E79"/>
          <w:sz w:val="32"/>
        </w:rPr>
        <w:t>1. 项目背景与目标</w:t>
      </w:r>
    </w:p>
    <w:p>
      <w:pPr>
        <w:spacing w:after="120" w:line="300" w:lineRule="auto"/>
      </w:pPr>
      <w:r>
        <w:rPr>
          <w:rFonts w:ascii="Arial" w:hAnsi="Arial" w:eastAsia="Microsoft YaHei"/>
          <w:b w:val="0"/>
          <w:color w:val="222222"/>
          <w:sz w:val="21"/>
        </w:rPr>
        <w:t>根据现有两份用户报告和沟通记录，当前项目已完成过基于真实水下裂缝扭曲数据的初步算法训练，但现阶段结果仍存在明显问题：可视化效果不好，裂缝复原不足，预测校正幅度偏小，整体效果尚不足以支撑三区及以上论文或项目验收所需的完整实验质量。</w:t>
      </w:r>
    </w:p>
    <w:p>
      <w:pPr>
        <w:spacing w:after="120" w:line="300" w:lineRule="auto"/>
      </w:pPr>
      <w:r>
        <w:rPr>
          <w:rFonts w:ascii="Arial" w:hAnsi="Arial" w:eastAsia="Microsoft YaHei"/>
          <w:b w:val="0"/>
          <w:color w:val="222222"/>
          <w:sz w:val="21"/>
        </w:rPr>
        <w:t>本阶段工作的目标不是只简单补几张图，而是需要从代码、训练、评估、实验和报告五个层面系统补齐。需要特别说明：三区及以上水平是本项目的实验完整度和结果质量目标，不等同于无条件保证论文录用。最终能否达到目标，仍取决于数据质量、真实扭曲难度、现有代码基础、算力资源和模型可优化空间。</w:t>
      </w:r>
    </w:p>
    <w:p>
      <w:pPr>
        <w:pStyle w:val="ListBullet"/>
        <w:spacing w:after="60" w:line="283" w:lineRule="auto"/>
      </w:pPr>
      <w:r>
        <w:rPr>
          <w:rFonts w:ascii="Arial" w:hAnsi="Arial" w:eastAsia="Microsoft YaHei"/>
          <w:b w:val="0"/>
          <w:color w:val="222222"/>
          <w:sz w:val="20"/>
        </w:rPr>
        <w:t>将现有代码完整调通，形成稳定可复现的训练、评估、推理和可视化流程。</w:t>
      </w:r>
    </w:p>
    <w:p>
      <w:pPr>
        <w:pStyle w:val="ListBullet"/>
        <w:spacing w:after="60" w:line="283" w:lineRule="auto"/>
      </w:pPr>
      <w:r>
        <w:rPr>
          <w:rFonts w:ascii="Arial" w:hAnsi="Arial" w:eastAsia="Microsoft YaHei"/>
          <w:b w:val="0"/>
          <w:color w:val="222222"/>
          <w:sz w:val="20"/>
        </w:rPr>
        <w:t>完成主模型整体训练与调参，使裂缝区域复原效果相比当前报告结果有明显提升。</w:t>
      </w:r>
    </w:p>
    <w:p>
      <w:pPr>
        <w:pStyle w:val="ListBullet"/>
        <w:spacing w:after="60" w:line="283" w:lineRule="auto"/>
      </w:pPr>
      <w:r>
        <w:rPr>
          <w:rFonts w:ascii="Arial" w:hAnsi="Arial" w:eastAsia="Microsoft YaHei"/>
          <w:b w:val="0"/>
          <w:color w:val="222222"/>
          <w:sz w:val="20"/>
        </w:rPr>
        <w:t>补齐三区及以上论文通常需要的主实验、定量指标、可视化结果、对比实验和消融实验。</w:t>
      </w:r>
    </w:p>
    <w:p>
      <w:pPr>
        <w:pStyle w:val="ListBullet"/>
        <w:spacing w:after="60" w:line="283" w:lineRule="auto"/>
      </w:pPr>
      <w:r>
        <w:rPr>
          <w:rFonts w:ascii="Arial" w:hAnsi="Arial" w:eastAsia="Microsoft YaHei"/>
          <w:b w:val="0"/>
          <w:color w:val="222222"/>
          <w:sz w:val="20"/>
        </w:rPr>
        <w:t>将实验数据、图表和文字分析整理成可用于报告、论文实验部分或项目验收的材料。</w:t>
      </w:r>
    </w:p>
    <w:p>
      <w:pPr>
        <w:spacing w:before="280" w:after="120"/>
      </w:pPr>
      <w:r>
        <w:rPr>
          <w:rFonts w:ascii="Arial" w:hAnsi="Arial" w:eastAsia="Microsoft YaHei"/>
          <w:b/>
          <w:color w:val="1F4E79"/>
          <w:sz w:val="32"/>
        </w:rPr>
        <w:t>2. 当前问题判断</w:t>
      </w:r>
    </w:p>
    <w:p>
      <w:pPr>
        <w:spacing w:after="120" w:line="300" w:lineRule="auto"/>
      </w:pPr>
      <w:r>
        <w:rPr>
          <w:rFonts w:ascii="Arial" w:hAnsi="Arial" w:eastAsia="Microsoft YaHei"/>
          <w:b w:val="0"/>
          <w:color w:val="222222"/>
          <w:sz w:val="21"/>
        </w:rPr>
        <w:t>从现有报告可见，模型训练过程本身已经能收敛，但工程指标和视觉效果还不理想。需要优先排查以下问题：</w:t>
      </w:r>
    </w:p>
    <w:p>
      <w:pPr>
        <w:pStyle w:val="ListBullet"/>
        <w:spacing w:after="60" w:line="283" w:lineRule="auto"/>
      </w:pPr>
      <w:r>
        <w:rPr>
          <w:rFonts w:ascii="Arial" w:hAnsi="Arial" w:eastAsia="Microsoft YaHei"/>
          <w:b w:val="0"/>
          <w:color w:val="222222"/>
          <w:sz w:val="20"/>
        </w:rPr>
        <w:t>恢复量偏小：检查坐标归一化、flow/map 单位、位移尺度、cv2.remap 输入坐标范围和逆映射方向是否一致。</w:t>
      </w:r>
    </w:p>
    <w:p>
      <w:pPr>
        <w:pStyle w:val="ListBullet"/>
        <w:spacing w:after="60" w:line="283" w:lineRule="auto"/>
      </w:pPr>
      <w:r>
        <w:rPr>
          <w:rFonts w:ascii="Arial" w:hAnsi="Arial" w:eastAsia="Microsoft YaHei"/>
          <w:b w:val="0"/>
          <w:color w:val="222222"/>
          <w:sz w:val="20"/>
        </w:rPr>
        <w:t>裂缝复原不行：检查裂缝 mask 是否对齐，裂缝区域损失权重是否过低，模型是否主要优化背景和低频几何。</w:t>
      </w:r>
    </w:p>
    <w:p>
      <w:pPr>
        <w:pStyle w:val="ListBullet"/>
        <w:spacing w:after="60" w:line="283" w:lineRule="auto"/>
      </w:pPr>
      <w:r>
        <w:rPr>
          <w:rFonts w:ascii="Arial" w:hAnsi="Arial" w:eastAsia="Microsoft YaHei"/>
          <w:b w:val="0"/>
          <w:color w:val="222222"/>
          <w:sz w:val="20"/>
        </w:rPr>
        <w:t>可视化效果不好：检查推理后处理、色彩显示、位移场可视化、ROI 裁剪和误差热图是否统一。</w:t>
      </w:r>
    </w:p>
    <w:p>
      <w:pPr>
        <w:pStyle w:val="ListBullet"/>
        <w:spacing w:after="60" w:line="283" w:lineRule="auto"/>
      </w:pPr>
      <w:r>
        <w:rPr>
          <w:rFonts w:ascii="Arial" w:hAnsi="Arial" w:eastAsia="Microsoft YaHei"/>
          <w:b w:val="0"/>
          <w:color w:val="222222"/>
          <w:sz w:val="20"/>
        </w:rPr>
        <w:t>指标未达标：重点关注 Crack EPE、Global EPE、Dice/IoU、Edge fidelity、Folding rate 等指标。</w:t>
      </w:r>
    </w:p>
    <w:p>
      <w:pPr>
        <w:pStyle w:val="ListBullet"/>
        <w:spacing w:after="60" w:line="283" w:lineRule="auto"/>
      </w:pPr>
      <w:r>
        <w:rPr>
          <w:rFonts w:ascii="Arial" w:hAnsi="Arial" w:eastAsia="Microsoft YaHei"/>
          <w:b w:val="0"/>
          <w:color w:val="222222"/>
          <w:sz w:val="20"/>
        </w:rPr>
        <w:t>对比和消融实验不足：缺少近年相关方法对比，以及关键模块贡献证明。</w:t>
      </w:r>
    </w:p>
    <w:p>
      <w:pPr>
        <w:spacing w:before="280" w:after="120"/>
      </w:pPr>
      <w:r>
        <w:rPr>
          <w:rFonts w:ascii="Arial" w:hAnsi="Arial" w:eastAsia="Microsoft YaHei"/>
          <w:b/>
          <w:color w:val="1F4E79"/>
          <w:sz w:val="32"/>
        </w:rPr>
        <w:t>3. 工作内容与工作量估算</w:t>
      </w:r>
    </w:p>
    <w:p>
      <w:pPr>
        <w:spacing w:after="120" w:line="300" w:lineRule="auto"/>
      </w:pPr>
      <w:r>
        <w:rPr>
          <w:rFonts w:ascii="Arial" w:hAnsi="Arial" w:eastAsia="Microsoft YaHei"/>
          <w:b w:val="0"/>
          <w:color w:val="222222"/>
          <w:sz w:val="21"/>
        </w:rPr>
        <w:t>以下估算默认用户后续能够完整提供代码、真实数据、训练日志、现有模型权重、原始可视化结果和运行环境说明。</w:t>
      </w:r>
    </w:p>
    <w:tbl>
      <w:tblPr>
        <w:tblW w:type="dxa" w:w="9360"/>
        <w:jc w:val="left"/>
        <w:tblLayout w:type="fixed"/>
        <w:tblLook w:firstColumn="1" w:firstRow="1" w:lastColumn="0" w:lastRow="0" w:noHBand="0" w:noVBand="1" w:val="04A0"/>
        <w:tblInd w:w="120" w:type="dxa"/>
      </w:tblPr>
      <w:tblGrid>
        <w:gridCol w:w="2100"/>
        <w:gridCol w:w="5800"/>
        <w:gridCol w:w="1460"/>
      </w:tblGrid>
      <w:tr>
        <w:tc>
          <w:tcPr>
            <w:tcW w:type="dxa" w:w="21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D9EAF7"/>
          </w:tcPr>
          <w:p>
            <w:pPr>
              <w:spacing w:after="0" w:line="276" w:lineRule="auto"/>
              <w:jc w:val="left"/>
            </w:pPr>
            <w:r/>
            <w:r>
              <w:rPr>
                <w:rFonts w:ascii="Arial" w:hAnsi="Arial" w:eastAsia="Microsoft YaHei"/>
                <w:b/>
                <w:color w:val="222222"/>
                <w:sz w:val="18"/>
              </w:rPr>
              <w:t>阶段</w:t>
            </w:r>
          </w:p>
        </w:tc>
        <w:tc>
          <w:tcPr>
            <w:tcW w:type="dxa" w:w="58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D9EAF7"/>
          </w:tcPr>
          <w:p>
            <w:pPr>
              <w:spacing w:after="0" w:line="276" w:lineRule="auto"/>
              <w:jc w:val="left"/>
            </w:pPr>
            <w:r/>
            <w:r>
              <w:rPr>
                <w:rFonts w:ascii="Arial" w:hAnsi="Arial" w:eastAsia="Microsoft YaHei"/>
                <w:b/>
                <w:color w:val="222222"/>
                <w:sz w:val="18"/>
              </w:rPr>
              <w:t>工作内容</w:t>
            </w:r>
          </w:p>
        </w:tc>
        <w:tc>
          <w:tcPr>
            <w:tcW w:type="dxa" w:w="1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D9EAF7"/>
          </w:tcPr>
          <w:p>
            <w:pPr>
              <w:spacing w:after="0" w:line="276" w:lineRule="auto"/>
              <w:jc w:val="center"/>
            </w:pPr>
            <w:r/>
            <w:r>
              <w:rPr>
                <w:rFonts w:ascii="Arial" w:hAnsi="Arial" w:eastAsia="Microsoft YaHei"/>
                <w:b/>
                <w:color w:val="222222"/>
                <w:sz w:val="18"/>
              </w:rPr>
              <w:t>预计工作量</w:t>
            </w:r>
          </w:p>
        </w:tc>
      </w:tr>
      <w:tr>
        <w:tc>
          <w:tcPr>
            <w:tcW w:type="dxa" w:w="21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8"/>
              </w:rPr>
              <w:t>阶段 1：资料交接与复现诊断</w:t>
            </w:r>
          </w:p>
        </w:tc>
        <w:tc>
          <w:tcPr>
            <w:tcW w:type="dxa" w:w="58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8"/>
              </w:rPr>
              <w:t>接收代码、数据、权重、日志和现有结果；整理运行环境；复现当前 50/80 epoch 报告结果；确认训练、验证、推理、可视化和指标脚本是否一致。</w:t>
            </w:r>
          </w:p>
        </w:tc>
        <w:tc>
          <w:tcPr>
            <w:tcW w:type="dxa" w:w="1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center"/>
            </w:pPr>
            <w:r/>
            <w:r>
              <w:rPr>
                <w:rFonts w:ascii="Arial" w:hAnsi="Arial" w:eastAsia="Microsoft YaHei"/>
                <w:b w:val="0"/>
                <w:color w:val="222222"/>
                <w:sz w:val="18"/>
              </w:rPr>
              <w:t>3-5 人天</w:t>
            </w:r>
          </w:p>
        </w:tc>
      </w:tr>
      <w:tr>
        <w:tc>
          <w:tcPr>
            <w:tcW w:type="dxa" w:w="21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8"/>
              </w:rPr>
              <w:t>阶段 2：代码调通与工程整理</w:t>
            </w:r>
          </w:p>
        </w:tc>
        <w:tc>
          <w:tcPr>
            <w:tcW w:type="dxa" w:w="58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8"/>
              </w:rPr>
              <w:t>修复依赖、路径、数据读取、checkpoint、训练恢复、评估和可视化流程；统一配置文件、输出目录、日志格式；补齐一键训练、一键评估、一键出图脚本。</w:t>
            </w:r>
          </w:p>
        </w:tc>
        <w:tc>
          <w:tcPr>
            <w:tcW w:type="dxa" w:w="1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center"/>
            </w:pPr>
            <w:r/>
            <w:r>
              <w:rPr>
                <w:rFonts w:ascii="Arial" w:hAnsi="Arial" w:eastAsia="Microsoft YaHei"/>
                <w:b w:val="0"/>
                <w:color w:val="222222"/>
                <w:sz w:val="18"/>
              </w:rPr>
              <w:t>6-9 人天</w:t>
            </w:r>
          </w:p>
        </w:tc>
      </w:tr>
      <w:tr>
        <w:tc>
          <w:tcPr>
            <w:tcW w:type="dxa" w:w="21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8"/>
              </w:rPr>
              <w:t>阶段 3：核心效果优化</w:t>
            </w:r>
          </w:p>
        </w:tc>
        <w:tc>
          <w:tcPr>
            <w:tcW w:type="dxa" w:w="58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8"/>
              </w:rPr>
              <w:t>针对恢复量太小和裂缝复原不行的问题，检查坐标尺度、逆变换方向、flow/map 单位、边界采样、mask 对齐；增加裂缝区域加权损失、边缘保持损失、Jacobian/folding 约束、多尺度或 ROI 局部细化模块。</w:t>
            </w:r>
          </w:p>
        </w:tc>
        <w:tc>
          <w:tcPr>
            <w:tcW w:type="dxa" w:w="1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center"/>
            </w:pPr>
            <w:r/>
            <w:r>
              <w:rPr>
                <w:rFonts w:ascii="Arial" w:hAnsi="Arial" w:eastAsia="Microsoft YaHei"/>
                <w:b w:val="0"/>
                <w:color w:val="222222"/>
                <w:sz w:val="18"/>
              </w:rPr>
              <w:t>12-18 人天</w:t>
            </w:r>
          </w:p>
        </w:tc>
      </w:tr>
      <w:tr>
        <w:tc>
          <w:tcPr>
            <w:tcW w:type="dxa" w:w="21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8"/>
              </w:rPr>
              <w:t>阶段 4：完整训练与调参</w:t>
            </w:r>
          </w:p>
        </w:tc>
        <w:tc>
          <w:tcPr>
            <w:tcW w:type="dxa" w:w="58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8"/>
              </w:rPr>
              <w:t>完成主模型全量训练，多组学习率、损失权重、数据增强、checkpoint 策略调参；输出最优权重、训练曲线、验证曲线、失败样本和最佳样本。</w:t>
            </w:r>
          </w:p>
        </w:tc>
        <w:tc>
          <w:tcPr>
            <w:tcW w:type="dxa" w:w="1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center"/>
            </w:pPr>
            <w:r/>
            <w:r>
              <w:rPr>
                <w:rFonts w:ascii="Arial" w:hAnsi="Arial" w:eastAsia="Microsoft YaHei"/>
                <w:b w:val="0"/>
                <w:color w:val="222222"/>
                <w:sz w:val="18"/>
              </w:rPr>
              <w:t>10-15 人天</w:t>
            </w:r>
          </w:p>
        </w:tc>
      </w:tr>
      <w:tr>
        <w:tc>
          <w:tcPr>
            <w:tcW w:type="dxa" w:w="21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8"/>
              </w:rPr>
              <w:t>阶段 5：对比实验</w:t>
            </w:r>
          </w:p>
        </w:tc>
        <w:tc>
          <w:tcPr>
            <w:tcW w:type="dxa" w:w="58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8"/>
              </w:rPr>
              <w:t>完成 5-7 个对比方法，覆盖当前原始模型、传统/变分水下畸变校正、近期水下非刚性校正、近期水下局部失真恢复、GMFlow/UniMatch/FlowFormer 类光流或稠密匹配方法。</w:t>
            </w:r>
          </w:p>
        </w:tc>
        <w:tc>
          <w:tcPr>
            <w:tcW w:type="dxa" w:w="1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center"/>
            </w:pPr>
            <w:r/>
            <w:r>
              <w:rPr>
                <w:rFonts w:ascii="Arial" w:hAnsi="Arial" w:eastAsia="Microsoft YaHei"/>
                <w:b w:val="0"/>
                <w:color w:val="222222"/>
                <w:sz w:val="18"/>
              </w:rPr>
              <w:t>12-18 人天</w:t>
            </w:r>
          </w:p>
        </w:tc>
      </w:tr>
      <w:tr>
        <w:tc>
          <w:tcPr>
            <w:tcW w:type="dxa" w:w="21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8"/>
              </w:rPr>
              <w:t>阶段 6：消融实验</w:t>
            </w:r>
          </w:p>
        </w:tc>
        <w:tc>
          <w:tcPr>
            <w:tcW w:type="dxa" w:w="58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8"/>
              </w:rPr>
              <w:t>补齐裂缝区域损失、边缘损失、folding/Jacobian 约束、ROI/refinement、多尺度结构、数据增强或 mixup、模型轻量化/恢复量约束等模块消融。</w:t>
            </w:r>
          </w:p>
        </w:tc>
        <w:tc>
          <w:tcPr>
            <w:tcW w:type="dxa" w:w="1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center"/>
            </w:pPr>
            <w:r/>
            <w:r>
              <w:rPr>
                <w:rFonts w:ascii="Arial" w:hAnsi="Arial" w:eastAsia="Microsoft YaHei"/>
                <w:b w:val="0"/>
                <w:color w:val="222222"/>
                <w:sz w:val="18"/>
              </w:rPr>
              <w:t>8-12 人天</w:t>
            </w:r>
          </w:p>
        </w:tc>
      </w:tr>
      <w:tr>
        <w:tc>
          <w:tcPr>
            <w:tcW w:type="dxa" w:w="21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8"/>
              </w:rPr>
              <w:t>阶段 7：论文级结果整理</w:t>
            </w:r>
          </w:p>
        </w:tc>
        <w:tc>
          <w:tcPr>
            <w:tcW w:type="dxa" w:w="58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8"/>
              </w:rPr>
              <w:t>输出定量表、对比表、消融表、训练曲线、EPE/Dice/Edge/Folding 分布图、ROI 局部放大图、失败案例图和综合分析文字。</w:t>
            </w:r>
          </w:p>
        </w:tc>
        <w:tc>
          <w:tcPr>
            <w:tcW w:type="dxa" w:w="1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center"/>
            </w:pPr>
            <w:r/>
            <w:r>
              <w:rPr>
                <w:rFonts w:ascii="Arial" w:hAnsi="Arial" w:eastAsia="Microsoft YaHei"/>
                <w:b w:val="0"/>
                <w:color w:val="222222"/>
                <w:sz w:val="18"/>
              </w:rPr>
              <w:t>6-9 人天</w:t>
            </w:r>
          </w:p>
        </w:tc>
      </w:tr>
    </w:tbl>
    <w:p>
      <w:pPr>
        <w:spacing w:after="40"/>
      </w:pPr>
    </w:p>
    <w:p>
      <w:pPr>
        <w:spacing w:after="120" w:line="300" w:lineRule="auto"/>
      </w:pPr>
      <w:r>
        <w:rPr>
          <w:rFonts w:ascii="Arial" w:hAnsi="Arial" w:eastAsia="Microsoft YaHei"/>
          <w:b w:val="0"/>
          <w:color w:val="222222"/>
          <w:sz w:val="21"/>
        </w:rPr>
        <w:t>稳妥完整总工作量：57-86 人天。建议排期：2 人并行约 6-9 周。GPU 训练、排队、失败重训和大规模对比实验的等待时间另计。按当前任务复杂度，预计需要 20-40 次训练/评估任务；如果算力可并行，整体周期可以缩短。</w:t>
      </w:r>
    </w:p>
    <w:p>
      <w:pPr>
        <w:spacing w:before="280" w:after="120"/>
      </w:pPr>
      <w:r>
        <w:rPr>
          <w:rFonts w:ascii="Arial" w:hAnsi="Arial" w:eastAsia="Microsoft YaHei"/>
          <w:b/>
          <w:color w:val="1F4E79"/>
          <w:sz w:val="32"/>
        </w:rPr>
        <w:t>4. 阶段交付物</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D9EAF7"/>
          </w:tcPr>
          <w:p>
            <w:pPr>
              <w:spacing w:after="0" w:line="276" w:lineRule="auto"/>
              <w:jc w:val="left"/>
            </w:pPr>
            <w:r/>
            <w:r>
              <w:rPr>
                <w:rFonts w:ascii="Arial" w:hAnsi="Arial" w:eastAsia="Microsoft YaHei"/>
                <w:b/>
                <w:color w:val="222222"/>
                <w:sz w:val="19"/>
              </w:rPr>
              <w:t>类别</w:t>
            </w:r>
          </w:p>
        </w:tc>
        <w:tc>
          <w:tcPr>
            <w:tcW w:type="dxa" w:w="76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D9EAF7"/>
          </w:tcPr>
          <w:p>
            <w:pPr>
              <w:spacing w:after="0" w:line="276" w:lineRule="auto"/>
              <w:jc w:val="left"/>
            </w:pPr>
            <w:r/>
            <w:r>
              <w:rPr>
                <w:rFonts w:ascii="Arial" w:hAnsi="Arial" w:eastAsia="Microsoft YaHei"/>
                <w:b/>
                <w:color w:val="222222"/>
                <w:sz w:val="19"/>
              </w:rPr>
              <w:t>交付内容</w:t>
            </w:r>
          </w:p>
        </w:tc>
      </w:tr>
      <w:tr>
        <w:tc>
          <w:tcPr>
            <w:tcW w:type="dxa" w:w="17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可运行代码</w:t>
            </w:r>
          </w:p>
        </w:tc>
        <w:tc>
          <w:tcPr>
            <w:tcW w:type="dxa" w:w="76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训练、恢复训练、评估、推理、批量可视化脚本全部调通；提供必要配置文件和运行说明。</w:t>
            </w:r>
          </w:p>
        </w:tc>
      </w:tr>
      <w:tr>
        <w:tc>
          <w:tcPr>
            <w:tcW w:type="dxa" w:w="17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9"/>
              </w:rPr>
              <w:t>模型结果</w:t>
            </w:r>
          </w:p>
        </w:tc>
        <w:tc>
          <w:tcPr>
            <w:tcW w:type="dxa" w:w="76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9"/>
              </w:rPr>
              <w:t>最优 checkpoint、完整训练日志、指标 CSV/JSON、训练曲线、验证曲线、最佳样本和失败样本。</w:t>
            </w:r>
          </w:p>
        </w:tc>
      </w:tr>
      <w:tr>
        <w:tc>
          <w:tcPr>
            <w:tcW w:type="dxa" w:w="17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实验数据</w:t>
            </w:r>
          </w:p>
        </w:tc>
        <w:tc>
          <w:tcPr>
            <w:tcW w:type="dxa" w:w="76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主实验、对比实验、消融实验的统一指标表，保证不同方法在同一数据划分和同一评估口径下比较。</w:t>
            </w:r>
          </w:p>
        </w:tc>
      </w:tr>
      <w:tr>
        <w:tc>
          <w:tcPr>
            <w:tcW w:type="dxa" w:w="17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9"/>
              </w:rPr>
              <w:t>可视化材料</w:t>
            </w:r>
          </w:p>
        </w:tc>
        <w:tc>
          <w:tcPr>
            <w:tcW w:type="dxa" w:w="76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9"/>
              </w:rPr>
              <w:t>整体校正图、裂缝 ROI 放大图、误差热图、预测位移场、真实/预测光流对比、失败案例分析图。</w:t>
            </w:r>
          </w:p>
        </w:tc>
      </w:tr>
      <w:tr>
        <w:tc>
          <w:tcPr>
            <w:tcW w:type="dxa" w:w="17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文档材料</w:t>
            </w:r>
          </w:p>
        </w:tc>
        <w:tc>
          <w:tcPr>
            <w:tcW w:type="dxa" w:w="76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实验说明、运行说明、指标说明、阶段总结、最终报告或论文实验部分草稿。</w:t>
            </w:r>
          </w:p>
        </w:tc>
      </w:tr>
    </w:tbl>
    <w:p>
      <w:pPr>
        <w:spacing w:after="40"/>
      </w:pPr>
    </w:p>
    <w:p>
      <w:pPr>
        <w:spacing w:before="280" w:after="120"/>
      </w:pPr>
      <w:r>
        <w:rPr>
          <w:rFonts w:ascii="Arial" w:hAnsi="Arial" w:eastAsia="Microsoft YaHei"/>
          <w:b/>
          <w:color w:val="1F4E79"/>
          <w:sz w:val="32"/>
        </w:rPr>
        <w:t>5. 对比实验建议</w:t>
      </w:r>
    </w:p>
    <w:p>
      <w:pPr>
        <w:spacing w:after="120" w:line="300" w:lineRule="auto"/>
      </w:pPr>
      <w:r>
        <w:rPr>
          <w:rFonts w:ascii="Arial" w:hAnsi="Arial" w:eastAsia="Microsoft YaHei"/>
          <w:b w:val="0"/>
          <w:color w:val="222222"/>
          <w:sz w:val="21"/>
        </w:rPr>
        <w:t>对比实验不能只选择过旧或弱相关算法，否则难以体现三区及以上论文的实验说服力。建议建立三类对比池，并根据代码可获得性、适配成本和显存需求筛选 5-7 个最终方法。</w:t>
      </w:r>
    </w:p>
    <w:p>
      <w:pPr>
        <w:spacing w:before="200" w:after="120"/>
      </w:pPr>
      <w:r>
        <w:rPr>
          <w:rFonts w:ascii="Arial" w:hAnsi="Arial" w:eastAsia="Microsoft YaHei"/>
          <w:b/>
          <w:color w:val="1F4E79"/>
          <w:sz w:val="26"/>
        </w:rPr>
        <w:t>5.1 当前模型与内部基线</w:t>
      </w:r>
    </w:p>
    <w:p>
      <w:pPr>
        <w:pStyle w:val="ListBullet"/>
        <w:spacing w:after="60" w:line="283" w:lineRule="auto"/>
      </w:pPr>
      <w:r>
        <w:rPr>
          <w:rFonts w:ascii="Arial" w:hAnsi="Arial" w:eastAsia="Microsoft YaHei"/>
          <w:b w:val="0"/>
          <w:color w:val="222222"/>
          <w:sz w:val="20"/>
        </w:rPr>
        <w:t>当前原始模型：作为必须保留的 baseline，用于证明优化后的提升幅度。</w:t>
      </w:r>
    </w:p>
    <w:p>
      <w:pPr>
        <w:pStyle w:val="ListBullet"/>
        <w:spacing w:after="60" w:line="283" w:lineRule="auto"/>
      </w:pPr>
      <w:r>
        <w:rPr>
          <w:rFonts w:ascii="Arial" w:hAnsi="Arial" w:eastAsia="Microsoft YaHei"/>
          <w:b w:val="0"/>
          <w:color w:val="222222"/>
          <w:sz w:val="20"/>
        </w:rPr>
        <w:t>仅全局几何校正版本：用于证明局部裂缝监督和 ROI 细化的必要性。</w:t>
      </w:r>
    </w:p>
    <w:p>
      <w:pPr>
        <w:pStyle w:val="ListBullet"/>
        <w:spacing w:after="60" w:line="283" w:lineRule="auto"/>
      </w:pPr>
      <w:r>
        <w:rPr>
          <w:rFonts w:ascii="Arial" w:hAnsi="Arial" w:eastAsia="Microsoft YaHei"/>
          <w:b w:val="0"/>
          <w:color w:val="222222"/>
          <w:sz w:val="20"/>
        </w:rPr>
        <w:t>不使用裂缝区域权重版本：用于观察背景区域和裂缝区域之间的优化偏置。</w:t>
      </w:r>
    </w:p>
    <w:p>
      <w:pPr>
        <w:spacing w:before="200" w:after="120"/>
      </w:pPr>
      <w:r>
        <w:rPr>
          <w:rFonts w:ascii="Arial" w:hAnsi="Arial" w:eastAsia="Microsoft YaHei"/>
          <w:b/>
          <w:color w:val="1F4E79"/>
          <w:sz w:val="26"/>
        </w:rPr>
        <w:t>5.2 水下畸变/恢复相关方法</w:t>
      </w:r>
    </w:p>
    <w:p>
      <w:pPr>
        <w:pStyle w:val="ListBullet"/>
        <w:spacing w:after="60" w:line="283" w:lineRule="auto"/>
      </w:pPr>
      <w:r>
        <w:rPr>
          <w:rFonts w:ascii="Arial" w:hAnsi="Arial" w:eastAsia="Microsoft YaHei"/>
          <w:b w:val="0"/>
          <w:color w:val="222222"/>
          <w:sz w:val="20"/>
        </w:rPr>
        <w:t>2024 年水下非刚性畸变校正方法：直接针对水下折射和湍流导致的非刚性几何畸变，适合作为强相关对比。</w:t>
      </w:r>
    </w:p>
    <w:p>
      <w:pPr>
        <w:pStyle w:val="ListBullet"/>
        <w:spacing w:after="60" w:line="283" w:lineRule="auto"/>
      </w:pPr>
      <w:r>
        <w:rPr>
          <w:rFonts w:ascii="Arial" w:hAnsi="Arial" w:eastAsia="Microsoft YaHei"/>
          <w:b w:val="0"/>
          <w:color w:val="222222"/>
          <w:sz w:val="20"/>
        </w:rPr>
        <w:t>2025 年 fast centroid + Wasserstein regularization 水下图像校正方法：适合验证恢复量偏小问题。</w:t>
      </w:r>
    </w:p>
    <w:p>
      <w:pPr>
        <w:pStyle w:val="ListBullet"/>
        <w:spacing w:after="60" w:line="283" w:lineRule="auto"/>
      </w:pPr>
      <w:r>
        <w:rPr>
          <w:rFonts w:ascii="Arial" w:hAnsi="Arial" w:eastAsia="Microsoft YaHei"/>
          <w:b w:val="0"/>
          <w:color w:val="222222"/>
          <w:sz w:val="20"/>
        </w:rPr>
        <w:t>2024 年 progressive guidance 水下局部失真恢复方法：强调先定位局部失真再恢复，可作为水下局部失真恢复类对比。</w:t>
      </w:r>
    </w:p>
    <w:p>
      <w:pPr>
        <w:pStyle w:val="ListBullet"/>
        <w:spacing w:after="60" w:line="283" w:lineRule="auto"/>
      </w:pPr>
      <w:r>
        <w:rPr>
          <w:rFonts w:ascii="Arial" w:hAnsi="Arial" w:eastAsia="Microsoft YaHei"/>
          <w:b w:val="0"/>
          <w:color w:val="222222"/>
          <w:sz w:val="20"/>
        </w:rPr>
        <w:t>2024/2025 年 NeuroPump：同时处理水下几何和颜色校正，可作为扩展对比或相关工作分析。</w:t>
      </w:r>
    </w:p>
    <w:p>
      <w:pPr>
        <w:spacing w:before="200" w:after="120"/>
      </w:pPr>
      <w:r>
        <w:rPr>
          <w:rFonts w:ascii="Arial" w:hAnsi="Arial" w:eastAsia="Microsoft YaHei"/>
          <w:b/>
          <w:color w:val="1F4E79"/>
          <w:sz w:val="26"/>
        </w:rPr>
        <w:t>5.3 稠密匹配/光流类方法</w:t>
      </w:r>
    </w:p>
    <w:p>
      <w:pPr>
        <w:pStyle w:val="ListBullet"/>
        <w:spacing w:after="60" w:line="283" w:lineRule="auto"/>
      </w:pPr>
      <w:r>
        <w:rPr>
          <w:rFonts w:ascii="Arial" w:hAnsi="Arial" w:eastAsia="Microsoft YaHei"/>
          <w:b w:val="0"/>
          <w:color w:val="222222"/>
          <w:sz w:val="20"/>
        </w:rPr>
        <w:t>GMFlow：将光流估计重新表述为全局匹配问题，适合验证大位移恢复能力。</w:t>
      </w:r>
    </w:p>
    <w:p>
      <w:pPr>
        <w:pStyle w:val="ListBullet"/>
        <w:spacing w:after="60" w:line="283" w:lineRule="auto"/>
      </w:pPr>
      <w:r>
        <w:rPr>
          <w:rFonts w:ascii="Arial" w:hAnsi="Arial" w:eastAsia="Microsoft YaHei"/>
          <w:b w:val="0"/>
          <w:color w:val="222222"/>
          <w:sz w:val="20"/>
        </w:rPr>
        <w:t>UniMatch：统一光流、立体匹配和深度估计的稠密对应方法，可作为较新的通用稠密匹配基线。</w:t>
      </w:r>
    </w:p>
    <w:p>
      <w:pPr>
        <w:pStyle w:val="ListBullet"/>
        <w:spacing w:after="60" w:line="283" w:lineRule="auto"/>
      </w:pPr>
      <w:r>
        <w:rPr>
          <w:rFonts w:ascii="Arial" w:hAnsi="Arial" w:eastAsia="Microsoft YaHei"/>
          <w:b w:val="0"/>
          <w:color w:val="222222"/>
          <w:sz w:val="20"/>
        </w:rPr>
        <w:t>FlowFormer：Transformer 光流方法，可作为高精度光流类对比。</w:t>
      </w:r>
    </w:p>
    <w:p>
      <w:pPr>
        <w:pStyle w:val="ListBullet"/>
        <w:spacing w:after="60" w:line="283" w:lineRule="auto"/>
      </w:pPr>
      <w:r>
        <w:rPr>
          <w:rFonts w:ascii="Arial" w:hAnsi="Arial" w:eastAsia="Microsoft YaHei"/>
          <w:b w:val="0"/>
          <w:color w:val="222222"/>
          <w:sz w:val="20"/>
        </w:rPr>
        <w:t>DiffMatch：扩散模型 dense matching 方向，可作为可选增强对比；若实现成本过高，可不列入最终主表。</w:t>
      </w:r>
    </w:p>
    <w:p>
      <w:pPr>
        <w:spacing w:before="280" w:after="120"/>
      </w:pPr>
      <w:r>
        <w:rPr>
          <w:rFonts w:ascii="Arial" w:hAnsi="Arial" w:eastAsia="Microsoft YaHei"/>
          <w:b/>
          <w:color w:val="1F4E79"/>
          <w:sz w:val="32"/>
        </w:rPr>
        <w:t>6. 消融实验建议</w:t>
      </w:r>
    </w:p>
    <w:p>
      <w:pPr>
        <w:spacing w:after="120" w:line="300" w:lineRule="auto"/>
      </w:pPr>
      <w:r>
        <w:rPr>
          <w:rFonts w:ascii="Arial" w:hAnsi="Arial" w:eastAsia="Microsoft YaHei"/>
          <w:b w:val="0"/>
          <w:color w:val="222222"/>
          <w:sz w:val="21"/>
        </w:rPr>
        <w:t>消融实验应围绕当前最关键问题设计，即裂缝复原不足、恢复量偏小和位移场不稳定。</w:t>
      </w:r>
    </w:p>
    <w:tbl>
      <w:tblPr>
        <w:tblW w:type="dxa" w:w="9360"/>
        <w:jc w:val="left"/>
        <w:tblLayout w:type="fixed"/>
        <w:tblLook w:firstColumn="1" w:firstRow="1" w:lastColumn="0" w:lastRow="0" w:noHBand="0" w:noVBand="1" w:val="04A0"/>
        <w:tblInd w:w="120" w:type="dxa"/>
      </w:tblPr>
      <w:tblGrid>
        <w:gridCol w:w="2900"/>
        <w:gridCol w:w="6460"/>
      </w:tblGrid>
      <w:tr>
        <w:tc>
          <w:tcPr>
            <w:tcW w:type="dxa" w:w="29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D9EAF7"/>
          </w:tcPr>
          <w:p>
            <w:pPr>
              <w:spacing w:after="0" w:line="276" w:lineRule="auto"/>
              <w:jc w:val="left"/>
            </w:pPr>
            <w:r/>
            <w:r>
              <w:rPr>
                <w:rFonts w:ascii="Arial" w:hAnsi="Arial" w:eastAsia="Microsoft YaHei"/>
                <w:b/>
                <w:color w:val="222222"/>
                <w:sz w:val="19"/>
              </w:rPr>
              <w:t>消融项</w:t>
            </w:r>
          </w:p>
        </w:tc>
        <w:tc>
          <w:tcPr>
            <w:tcW w:type="dxa" w:w="6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D9EAF7"/>
          </w:tcPr>
          <w:p>
            <w:pPr>
              <w:spacing w:after="0" w:line="276" w:lineRule="auto"/>
              <w:jc w:val="left"/>
            </w:pPr>
            <w:r/>
            <w:r>
              <w:rPr>
                <w:rFonts w:ascii="Arial" w:hAnsi="Arial" w:eastAsia="Microsoft YaHei"/>
                <w:b/>
                <w:color w:val="222222"/>
                <w:sz w:val="19"/>
              </w:rPr>
              <w:t>目的</w:t>
            </w:r>
          </w:p>
        </w:tc>
      </w:tr>
      <w:tr>
        <w:tc>
          <w:tcPr>
            <w:tcW w:type="dxa" w:w="29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去掉裂缝区域加权损失</w:t>
            </w:r>
          </w:p>
        </w:tc>
        <w:tc>
          <w:tcPr>
            <w:tcW w:type="dxa" w:w="6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验证 crack mask 监督对裂缝区域 EPE、Dice/IoU 和视觉复原的贡献。</w:t>
            </w:r>
          </w:p>
        </w:tc>
      </w:tr>
      <w:tr>
        <w:tc>
          <w:tcPr>
            <w:tcW w:type="dxa" w:w="29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9"/>
              </w:rPr>
              <w:t>去掉边缘保持损失</w:t>
            </w:r>
          </w:p>
        </w:tc>
        <w:tc>
          <w:tcPr>
            <w:tcW w:type="dxa" w:w="6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9"/>
              </w:rPr>
              <w:t>验证裂缝边缘锐度、细小分叉和局部高频结构是否依赖边缘约束。</w:t>
            </w:r>
          </w:p>
        </w:tc>
      </w:tr>
      <w:tr>
        <w:tc>
          <w:tcPr>
            <w:tcW w:type="dxa" w:w="29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去掉 folding/Jacobian 约束</w:t>
            </w:r>
          </w:p>
        </w:tc>
        <w:tc>
          <w:tcPr>
            <w:tcW w:type="dxa" w:w="6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验证位移场可逆性、局部折叠率和 remap 物理合理性。</w:t>
            </w:r>
          </w:p>
        </w:tc>
      </w:tr>
      <w:tr>
        <w:tc>
          <w:tcPr>
            <w:tcW w:type="dxa" w:w="29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9"/>
              </w:rPr>
              <w:t>去掉 ROI/refinement 分支</w:t>
            </w:r>
          </w:p>
        </w:tc>
        <w:tc>
          <w:tcPr>
            <w:tcW w:type="dxa" w:w="6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9"/>
              </w:rPr>
              <w:t>验证局部细化模块对裂缝边缘和小裂缝复原的贡献。</w:t>
            </w:r>
          </w:p>
        </w:tc>
      </w:tr>
      <w:tr>
        <w:tc>
          <w:tcPr>
            <w:tcW w:type="dxa" w:w="29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去掉多尺度结构</w:t>
            </w:r>
          </w:p>
        </w:tc>
        <w:tc>
          <w:tcPr>
            <w:tcW w:type="dxa" w:w="6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验证模型对大尺度弯曲和局部细节的联合建模能力。</w:t>
            </w:r>
          </w:p>
        </w:tc>
      </w:tr>
      <w:tr>
        <w:tc>
          <w:tcPr>
            <w:tcW w:type="dxa" w:w="29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9"/>
              </w:rPr>
              <w:t>去掉 mixup 或关键数据增强</w:t>
            </w:r>
          </w:p>
        </w:tc>
        <w:tc>
          <w:tcPr>
            <w:tcW w:type="dxa" w:w="6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shd w:fill="F3F7FA"/>
          </w:tcPr>
          <w:p>
            <w:pPr>
              <w:spacing w:after="0" w:line="276" w:lineRule="auto"/>
              <w:jc w:val="left"/>
            </w:pPr>
            <w:r/>
            <w:r>
              <w:rPr>
                <w:rFonts w:ascii="Arial" w:hAnsi="Arial" w:eastAsia="Microsoft YaHei"/>
                <w:b w:val="0"/>
                <w:color w:val="222222"/>
                <w:sz w:val="19"/>
              </w:rPr>
              <w:t>验证增强策略对泛化和困难样本稳定性的影响。</w:t>
            </w:r>
          </w:p>
        </w:tc>
      </w:tr>
      <w:tr>
        <w:tc>
          <w:tcPr>
            <w:tcW w:type="dxa" w:w="290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调整恢复量约束或尺度监督</w:t>
            </w:r>
          </w:p>
        </w:tc>
        <w:tc>
          <w:tcPr>
            <w:tcW w:type="dxa" w:w="6460"/>
            <w:vAlign w:val="center"/>
            <w:tcMar>
              <w:top w:w="90" w:type="dxa"/>
              <w:start w:w="120" w:type="dxa"/>
              <w:bottom w:w="90" w:type="dxa"/>
              <w:end w:w="120" w:type="dxa"/>
            </w:tcMar>
            <w:tcBorders>
              <w:top w:val="single" w:sz="6" w:space="0" w:color="B7C6D5"/>
              <w:left w:val="single" w:sz="6" w:space="0" w:color="B7C6D5"/>
              <w:bottom w:val="single" w:sz="6" w:space="0" w:color="B7C6D5"/>
              <w:right w:val="single" w:sz="6" w:space="0" w:color="B7C6D5"/>
            </w:tcBorders>
          </w:tcPr>
          <w:p>
            <w:pPr>
              <w:spacing w:after="0" w:line="276" w:lineRule="auto"/>
              <w:jc w:val="left"/>
            </w:pPr>
            <w:r/>
            <w:r>
              <w:rPr>
                <w:rFonts w:ascii="Arial" w:hAnsi="Arial" w:eastAsia="Microsoft YaHei"/>
                <w:b w:val="0"/>
                <w:color w:val="222222"/>
                <w:sz w:val="19"/>
              </w:rPr>
              <w:t>验证预测位移幅度是否被损失、归一化或正则项过度压制。</w:t>
            </w:r>
          </w:p>
        </w:tc>
      </w:tr>
    </w:tbl>
    <w:p>
      <w:pPr>
        <w:spacing w:after="40"/>
      </w:pPr>
    </w:p>
    <w:p>
      <w:pPr>
        <w:spacing w:before="280" w:after="120"/>
      </w:pPr>
      <w:r>
        <w:rPr>
          <w:rFonts w:ascii="Arial" w:hAnsi="Arial" w:eastAsia="Microsoft YaHei"/>
          <w:b/>
          <w:color w:val="1F4E79"/>
          <w:sz w:val="32"/>
        </w:rPr>
        <w:t>7. 验收标准</w:t>
      </w:r>
    </w:p>
    <w:p>
      <w:pPr>
        <w:spacing w:after="120" w:line="300" w:lineRule="auto"/>
      </w:pPr>
      <w:r>
        <w:rPr>
          <w:rFonts w:ascii="Arial" w:hAnsi="Arial" w:eastAsia="Microsoft YaHei"/>
          <w:b w:val="0"/>
          <w:color w:val="222222"/>
          <w:sz w:val="21"/>
        </w:rPr>
        <w:t>建议按“工程可复现 + 指标提升 + 论文实验完整度”三类标准验收。</w:t>
      </w:r>
    </w:p>
    <w:p>
      <w:pPr>
        <w:spacing w:before="200" w:after="120"/>
      </w:pPr>
      <w:r>
        <w:rPr>
          <w:rFonts w:ascii="Arial" w:hAnsi="Arial" w:eastAsia="Microsoft YaHei"/>
          <w:b/>
          <w:color w:val="1F4E79"/>
          <w:sz w:val="26"/>
        </w:rPr>
        <w:t>7.1 工程可复现</w:t>
      </w:r>
    </w:p>
    <w:p>
      <w:pPr>
        <w:pStyle w:val="ListBullet"/>
        <w:spacing w:after="60" w:line="283" w:lineRule="auto"/>
      </w:pPr>
      <w:r>
        <w:rPr>
          <w:rFonts w:ascii="Arial" w:hAnsi="Arial" w:eastAsia="Microsoft YaHei"/>
          <w:b w:val="0"/>
          <w:color w:val="222222"/>
          <w:sz w:val="20"/>
        </w:rPr>
        <w:t>从环境安装到训练、恢复训练、评估、推理和出图能完整跑通。</w:t>
      </w:r>
    </w:p>
    <w:p>
      <w:pPr>
        <w:pStyle w:val="ListBullet"/>
        <w:spacing w:after="60" w:line="283" w:lineRule="auto"/>
      </w:pPr>
      <w:r>
        <w:rPr>
          <w:rFonts w:ascii="Arial" w:hAnsi="Arial" w:eastAsia="Microsoft YaHei"/>
          <w:b w:val="0"/>
          <w:color w:val="222222"/>
          <w:sz w:val="20"/>
        </w:rPr>
        <w:t>所有实验结果都有配置、日志、checkpoint、指标文件和可视化输出。</w:t>
      </w:r>
    </w:p>
    <w:p>
      <w:pPr>
        <w:pStyle w:val="ListBullet"/>
        <w:spacing w:after="60" w:line="283" w:lineRule="auto"/>
      </w:pPr>
      <w:r>
        <w:rPr>
          <w:rFonts w:ascii="Arial" w:hAnsi="Arial" w:eastAsia="Microsoft YaHei"/>
          <w:b w:val="0"/>
          <w:color w:val="222222"/>
          <w:sz w:val="20"/>
        </w:rPr>
        <w:t>主实验、对比实验和消融实验使用统一数据划分和统一评估脚本。</w:t>
      </w:r>
    </w:p>
    <w:p>
      <w:pPr>
        <w:spacing w:before="200" w:after="120"/>
      </w:pPr>
      <w:r>
        <w:rPr>
          <w:rFonts w:ascii="Arial" w:hAnsi="Arial" w:eastAsia="Microsoft YaHei"/>
          <w:b/>
          <w:color w:val="1F4E79"/>
          <w:sz w:val="26"/>
        </w:rPr>
        <w:t>7.2 效果提升</w:t>
      </w:r>
    </w:p>
    <w:p>
      <w:pPr>
        <w:pStyle w:val="ListBullet"/>
        <w:spacing w:after="60" w:line="283" w:lineRule="auto"/>
      </w:pPr>
      <w:r>
        <w:rPr>
          <w:rFonts w:ascii="Arial" w:hAnsi="Arial" w:eastAsia="Microsoft YaHei"/>
          <w:b w:val="0"/>
          <w:color w:val="222222"/>
          <w:sz w:val="20"/>
        </w:rPr>
        <w:t>主模型相比当前报告结果有明确提升，重点看 Crack EPE、Global EPE、Dice/IoU、Edge fidelity 和 Folding rate。</w:t>
      </w:r>
    </w:p>
    <w:p>
      <w:pPr>
        <w:pStyle w:val="ListBullet"/>
        <w:spacing w:after="60" w:line="283" w:lineRule="auto"/>
      </w:pPr>
      <w:r>
        <w:rPr>
          <w:rFonts w:ascii="Arial" w:hAnsi="Arial" w:eastAsia="Microsoft YaHei"/>
          <w:b w:val="0"/>
          <w:color w:val="222222"/>
          <w:sz w:val="20"/>
        </w:rPr>
        <w:t>可视化结果中裂缝主体位置、裂缝边缘、细小分叉和局部 ROI 有可观察改善。</w:t>
      </w:r>
    </w:p>
    <w:p>
      <w:pPr>
        <w:pStyle w:val="ListBullet"/>
        <w:spacing w:after="60" w:line="283" w:lineRule="auto"/>
      </w:pPr>
      <w:r>
        <w:rPr>
          <w:rFonts w:ascii="Arial" w:hAnsi="Arial" w:eastAsia="Microsoft YaHei"/>
          <w:b w:val="0"/>
          <w:color w:val="222222"/>
          <w:sz w:val="20"/>
        </w:rPr>
        <w:t>恢复量偏小问题得到解释和缓解，位移场尺度与真实校正目标保持一致。</w:t>
      </w:r>
    </w:p>
    <w:p>
      <w:pPr>
        <w:spacing w:before="200" w:after="120"/>
      </w:pPr>
      <w:r>
        <w:rPr>
          <w:rFonts w:ascii="Arial" w:hAnsi="Arial" w:eastAsia="Microsoft YaHei"/>
          <w:b/>
          <w:color w:val="1F4E79"/>
          <w:sz w:val="26"/>
        </w:rPr>
        <w:t>7.3 论文实验完整度</w:t>
      </w:r>
    </w:p>
    <w:p>
      <w:pPr>
        <w:pStyle w:val="ListBullet"/>
        <w:spacing w:after="60" w:line="283" w:lineRule="auto"/>
      </w:pPr>
      <w:r>
        <w:rPr>
          <w:rFonts w:ascii="Arial" w:hAnsi="Arial" w:eastAsia="Microsoft YaHei"/>
          <w:b w:val="0"/>
          <w:color w:val="222222"/>
          <w:sz w:val="20"/>
        </w:rPr>
        <w:t>至少包含主实验、对比实验、消融实验、指标分布、ROI 局部图、失败案例和运行效率分析。</w:t>
      </w:r>
    </w:p>
    <w:p>
      <w:pPr>
        <w:pStyle w:val="ListBullet"/>
        <w:spacing w:after="60" w:line="283" w:lineRule="auto"/>
      </w:pPr>
      <w:r>
        <w:rPr>
          <w:rFonts w:ascii="Arial" w:hAnsi="Arial" w:eastAsia="Microsoft YaHei"/>
          <w:b w:val="0"/>
          <w:color w:val="222222"/>
          <w:sz w:val="20"/>
        </w:rPr>
        <w:t>对比方法包含近年水下恢复/畸变校正或稠密匹配方法，不能只使用过旧弱基线。</w:t>
      </w:r>
    </w:p>
    <w:p>
      <w:pPr>
        <w:pStyle w:val="ListBullet"/>
        <w:spacing w:after="60" w:line="283" w:lineRule="auto"/>
      </w:pPr>
      <w:r>
        <w:rPr>
          <w:rFonts w:ascii="Arial" w:hAnsi="Arial" w:eastAsia="Microsoft YaHei"/>
          <w:b w:val="0"/>
          <w:color w:val="222222"/>
          <w:sz w:val="20"/>
        </w:rPr>
        <w:t>消融实验能够清楚说明各核心模块对裂缝复原、恢复幅度和位移场稳定性的贡献。</w:t>
      </w:r>
    </w:p>
    <w:p>
      <w:pPr>
        <w:spacing w:before="280" w:after="120"/>
      </w:pPr>
      <w:r>
        <w:rPr>
          <w:rFonts w:ascii="Arial" w:hAnsi="Arial" w:eastAsia="Microsoft YaHei"/>
          <w:b/>
          <w:color w:val="1F4E79"/>
          <w:sz w:val="32"/>
        </w:rPr>
        <w:t>8. 前置条件与风险</w:t>
      </w:r>
    </w:p>
    <w:p>
      <w:pPr>
        <w:spacing w:before="200" w:after="120"/>
      </w:pPr>
      <w:r>
        <w:rPr>
          <w:rFonts w:ascii="Arial" w:hAnsi="Arial" w:eastAsia="Microsoft YaHei"/>
          <w:b/>
          <w:color w:val="1F4E79"/>
          <w:sz w:val="26"/>
        </w:rPr>
        <w:t>8.1 需要用户提供的资料</w:t>
      </w:r>
    </w:p>
    <w:p>
      <w:pPr>
        <w:pStyle w:val="ListBullet"/>
        <w:spacing w:after="60" w:line="283" w:lineRule="auto"/>
      </w:pPr>
      <w:r>
        <w:rPr>
          <w:rFonts w:ascii="Arial" w:hAnsi="Arial" w:eastAsia="Microsoft YaHei"/>
          <w:b w:val="0"/>
          <w:color w:val="222222"/>
          <w:sz w:val="20"/>
        </w:rPr>
        <w:t>完整项目代码和依赖说明。</w:t>
      </w:r>
    </w:p>
    <w:p>
      <w:pPr>
        <w:pStyle w:val="ListBullet"/>
        <w:spacing w:after="60" w:line="283" w:lineRule="auto"/>
      </w:pPr>
      <w:r>
        <w:rPr>
          <w:rFonts w:ascii="Arial" w:hAnsi="Arial" w:eastAsia="Microsoft YaHei"/>
          <w:b w:val="0"/>
          <w:color w:val="222222"/>
          <w:sz w:val="20"/>
        </w:rPr>
        <w:t>真实训练集、验证集、测试集及数据划分方式。</w:t>
      </w:r>
    </w:p>
    <w:p>
      <w:pPr>
        <w:pStyle w:val="ListBullet"/>
        <w:spacing w:after="60" w:line="283" w:lineRule="auto"/>
      </w:pPr>
      <w:r>
        <w:rPr>
          <w:rFonts w:ascii="Arial" w:hAnsi="Arial" w:eastAsia="Microsoft YaHei"/>
          <w:b w:val="0"/>
          <w:color w:val="222222"/>
          <w:sz w:val="20"/>
        </w:rPr>
        <w:t>现有训练日志、模型权重和可视化结果源文件。</w:t>
      </w:r>
    </w:p>
    <w:p>
      <w:pPr>
        <w:pStyle w:val="ListBullet"/>
        <w:spacing w:after="60" w:line="283" w:lineRule="auto"/>
      </w:pPr>
      <w:r>
        <w:rPr>
          <w:rFonts w:ascii="Arial" w:hAnsi="Arial" w:eastAsia="Microsoft YaHei"/>
          <w:b w:val="0"/>
          <w:color w:val="222222"/>
          <w:sz w:val="20"/>
        </w:rPr>
        <w:t>数据标注说明，包括裂缝 mask、真实校正图、真实位移场或其他监督信号来源。</w:t>
      </w:r>
    </w:p>
    <w:p>
      <w:pPr>
        <w:pStyle w:val="ListBullet"/>
        <w:spacing w:after="60" w:line="283" w:lineRule="auto"/>
      </w:pPr>
      <w:r>
        <w:rPr>
          <w:rFonts w:ascii="Arial" w:hAnsi="Arial" w:eastAsia="Microsoft YaHei"/>
          <w:b w:val="0"/>
          <w:color w:val="222222"/>
          <w:sz w:val="20"/>
        </w:rPr>
        <w:t>当前报告中涉及的 train.log、评估 CSV/JSON、gate report、diag_eval、diag_infer 等目录。</w:t>
      </w:r>
    </w:p>
    <w:p>
      <w:pPr>
        <w:spacing w:before="200" w:after="120"/>
      </w:pPr>
      <w:r>
        <w:rPr>
          <w:rFonts w:ascii="Arial" w:hAnsi="Arial" w:eastAsia="Microsoft YaHei"/>
          <w:b/>
          <w:color w:val="1F4E79"/>
          <w:sz w:val="26"/>
        </w:rPr>
        <w:t>8.2 主要风险</w:t>
      </w:r>
    </w:p>
    <w:p>
      <w:pPr>
        <w:pStyle w:val="ListBullet"/>
        <w:spacing w:after="60" w:line="283" w:lineRule="auto"/>
      </w:pPr>
      <w:r>
        <w:rPr>
          <w:rFonts w:ascii="Arial" w:hAnsi="Arial" w:eastAsia="Microsoft YaHei"/>
          <w:b w:val="0"/>
          <w:color w:val="222222"/>
          <w:sz w:val="20"/>
        </w:rPr>
        <w:t>如果现有数据标注质量不足，模型上限可能受限，需要额外清洗或补标。</w:t>
      </w:r>
    </w:p>
    <w:p>
      <w:pPr>
        <w:pStyle w:val="ListBullet"/>
        <w:spacing w:after="60" w:line="283" w:lineRule="auto"/>
      </w:pPr>
      <w:r>
        <w:rPr>
          <w:rFonts w:ascii="Arial" w:hAnsi="Arial" w:eastAsia="Microsoft YaHei"/>
          <w:b w:val="0"/>
          <w:color w:val="222222"/>
          <w:sz w:val="20"/>
        </w:rPr>
        <w:t>如果真实扭曲和合成扭曲差异较大，可能需要额外做 domain gap 诊断和数据增强。</w:t>
      </w:r>
    </w:p>
    <w:p>
      <w:pPr>
        <w:pStyle w:val="ListBullet"/>
        <w:spacing w:after="60" w:line="283" w:lineRule="auto"/>
      </w:pPr>
      <w:r>
        <w:rPr>
          <w:rFonts w:ascii="Arial" w:hAnsi="Arial" w:eastAsia="Microsoft YaHei"/>
          <w:b w:val="0"/>
          <w:color w:val="222222"/>
          <w:sz w:val="20"/>
        </w:rPr>
        <w:t>如果现有代码问题集中在坐标定义或逆映射方向，前期复现与排查时间可能增加。</w:t>
      </w:r>
    </w:p>
    <w:p>
      <w:pPr>
        <w:pStyle w:val="ListBullet"/>
        <w:spacing w:after="60" w:line="283" w:lineRule="auto"/>
      </w:pPr>
      <w:r>
        <w:rPr>
          <w:rFonts w:ascii="Arial" w:hAnsi="Arial" w:eastAsia="Microsoft YaHei"/>
          <w:b w:val="0"/>
          <w:color w:val="222222"/>
          <w:sz w:val="20"/>
        </w:rPr>
        <w:t>如果对比算法缺少开源实现或与当前数据格式差异较大，适配成本可能上升。</w:t>
      </w:r>
    </w:p>
    <w:p>
      <w:pPr>
        <w:pStyle w:val="ListBullet"/>
        <w:spacing w:after="60" w:line="283" w:lineRule="auto"/>
      </w:pPr>
      <w:r>
        <w:rPr>
          <w:rFonts w:ascii="Arial" w:hAnsi="Arial" w:eastAsia="Microsoft YaHei"/>
          <w:b w:val="0"/>
          <w:color w:val="222222"/>
          <w:sz w:val="20"/>
        </w:rPr>
        <w:t>如果算力不足或 GPU 排队时间较长，实际自然周期会超过纯人天估算。</w:t>
      </w:r>
    </w:p>
    <w:p>
      <w:pPr>
        <w:spacing w:before="280" w:after="120"/>
      </w:pPr>
      <w:r>
        <w:rPr>
          <w:rFonts w:ascii="Arial" w:hAnsi="Arial" w:eastAsia="Microsoft YaHei"/>
          <w:b/>
          <w:color w:val="1F4E79"/>
          <w:sz w:val="32"/>
        </w:rPr>
        <w:t>9. 建议报价口径</w:t>
      </w:r>
    </w:p>
    <w:p>
      <w:pPr>
        <w:spacing w:after="120" w:line="300" w:lineRule="auto"/>
      </w:pPr>
      <w:r>
        <w:rPr>
          <w:rFonts w:ascii="Arial" w:hAnsi="Arial" w:eastAsia="Microsoft YaHei"/>
          <w:b w:val="0"/>
          <w:color w:val="222222"/>
          <w:sz w:val="21"/>
        </w:rPr>
        <w:t>如果按稳妥完整交付执行，建议按 57-86 人天估算，其中核心研发与训练优化约占 28-42 人天，对比与消融实验约占 20-30 人天，结果整理与报告撰写约占 6-9 人天。</w:t>
      </w:r>
    </w:p>
    <w:p>
      <w:pPr>
        <w:spacing w:after="120" w:line="300" w:lineRule="auto"/>
      </w:pPr>
      <w:r>
        <w:rPr>
          <w:rFonts w:ascii="Arial" w:hAnsi="Arial" w:eastAsia="Microsoft YaHei"/>
          <w:b w:val="0"/>
          <w:color w:val="222222"/>
          <w:sz w:val="21"/>
        </w:rPr>
        <w:t>若客户要求压缩周期，可以优先保证代码调通、主模型优化、核心对比实验和关键消融实验，工作量可压缩到约 35-50 人天，但需要明确写入风险：对比实验覆盖度、调参轮数和论文级图表完整度会下降，且三区及以上效果的不确定性会增加。</w:t>
      </w:r>
    </w:p>
    <w:p>
      <w:pPr>
        <w:spacing w:after="120" w:line="300" w:lineRule="auto"/>
      </w:pPr>
      <w:r>
        <w:rPr>
          <w:rFonts w:ascii="Arial" w:hAnsi="Arial" w:eastAsia="Microsoft YaHei"/>
          <w:b w:val="0"/>
          <w:color w:val="222222"/>
          <w:sz w:val="21"/>
        </w:rPr>
        <w:t>若客户当前只能提供报告，不能提供完整代码和数据，则只能先做技术方案、实验清单和论文补强计划，不能承诺完成真实训练优化和指标提升。</w:t>
      </w:r>
    </w:p>
    <w:p>
      <w:pPr>
        <w:spacing w:before="280" w:after="120"/>
      </w:pPr>
      <w:r>
        <w:rPr>
          <w:rFonts w:ascii="Arial" w:hAnsi="Arial" w:eastAsia="Microsoft YaHei"/>
          <w:b/>
          <w:color w:val="1F4E79"/>
          <w:sz w:val="32"/>
        </w:rPr>
        <w:t>10. 参考方向</w:t>
      </w:r>
    </w:p>
    <w:p>
      <w:pPr>
        <w:spacing w:after="120" w:line="300" w:lineRule="auto"/>
      </w:pPr>
      <w:r>
        <w:rPr>
          <w:rFonts w:ascii="Arial" w:hAnsi="Arial" w:eastAsia="Microsoft YaHei"/>
          <w:b w:val="0"/>
          <w:color w:val="222222"/>
          <w:sz w:val="21"/>
        </w:rPr>
        <w:t>以下来源用于确定对比实验候选方向，正式实施时仍需根据代码可获得性、许可证、数据适配成本和显存需求筛选。</w:t>
      </w:r>
    </w:p>
    <w:p>
      <w:pPr>
        <w:pStyle w:val="ListBullet"/>
        <w:spacing w:after="60" w:line="276" w:lineRule="auto"/>
      </w:pPr>
      <w:hyperlink r:id="rId9">
        <w:r>
          <w:rPr>
            <w:color w:val="1F4E79"/>
            <w:u w:val="single"/>
          </w:rPr>
          <w:t>Non-rigid distortion correction for underwater images</w:t>
        </w:r>
      </w:hyperlink>
    </w:p>
    <w:p>
      <w:pPr>
        <w:pStyle w:val="ListBullet"/>
        <w:spacing w:after="60" w:line="276" w:lineRule="auto"/>
      </w:pPr>
      <w:hyperlink r:id="rId10">
        <w:r>
          <w:rPr>
            <w:color w:val="1F4E79"/>
            <w:u w:val="single"/>
          </w:rPr>
          <w:t>Correction of underwater images via fast centroid method and Wasserstein regularization</w:t>
        </w:r>
      </w:hyperlink>
    </w:p>
    <w:p>
      <w:pPr>
        <w:pStyle w:val="ListBullet"/>
        <w:spacing w:after="60" w:line="276" w:lineRule="auto"/>
      </w:pPr>
      <w:hyperlink r:id="rId11">
        <w:r>
          <w:rPr>
            <w:color w:val="1F4E79"/>
            <w:u w:val="single"/>
          </w:rPr>
          <w:t>Underwater image restoration based on progressive guidance</w:t>
        </w:r>
      </w:hyperlink>
    </w:p>
    <w:p>
      <w:pPr>
        <w:pStyle w:val="ListBullet"/>
        <w:spacing w:after="60" w:line="276" w:lineRule="auto"/>
      </w:pPr>
      <w:hyperlink r:id="rId12">
        <w:r>
          <w:rPr>
            <w:color w:val="1F4E79"/>
            <w:u w:val="single"/>
          </w:rPr>
          <w:t>NeuroPump: Simultaneous Geometric and Color Rectification for Underwater Images</w:t>
        </w:r>
      </w:hyperlink>
    </w:p>
    <w:p>
      <w:pPr>
        <w:pStyle w:val="ListBullet"/>
        <w:spacing w:after="60" w:line="276" w:lineRule="auto"/>
      </w:pPr>
      <w:hyperlink r:id="rId13">
        <w:r>
          <w:rPr>
            <w:color w:val="1F4E79"/>
            <w:u w:val="single"/>
          </w:rPr>
          <w:t>GMFlow: Learning Optical Flow via Global Matching</w:t>
        </w:r>
      </w:hyperlink>
    </w:p>
    <w:p>
      <w:pPr>
        <w:pStyle w:val="ListBullet"/>
        <w:spacing w:after="60" w:line="276" w:lineRule="auto"/>
      </w:pPr>
      <w:hyperlink r:id="rId14">
        <w:r>
          <w:rPr>
            <w:color w:val="1F4E79"/>
            <w:u w:val="single"/>
          </w:rPr>
          <w:t>UniMatch: Unifying Flow, Stereo and Depth Estimation</w:t>
        </w:r>
      </w:hyperlink>
    </w:p>
    <w:p>
      <w:pPr>
        <w:pStyle w:val="ListBullet"/>
        <w:spacing w:after="60" w:line="276" w:lineRule="auto"/>
      </w:pPr>
      <w:hyperlink r:id="rId15">
        <w:r>
          <w:rPr>
            <w:color w:val="1F4E79"/>
            <w:u w:val="single"/>
          </w:rPr>
          <w:t>FlowFormer: A Transformer Architecture for Optical Flow</w:t>
        </w:r>
      </w:hyperlink>
    </w:p>
    <w:p>
      <w:pPr>
        <w:pStyle w:val="ListBullet"/>
        <w:spacing w:after="60" w:line="276" w:lineRule="auto"/>
      </w:pPr>
      <w:hyperlink r:id="rId16">
        <w:r>
          <w:rPr>
            <w:color w:val="1F4E79"/>
            <w:u w:val="single"/>
          </w:rPr>
          <w:t>DiffMatch: Diffusion Model for Dense Matching</w:t>
        </w:r>
      </w:hyperlink>
    </w:p>
    <w:sectPr w:rsidR="00FC693F" w:rsidRPr="0006063C" w:rsidSect="00034616">
      <w:footerReference w:type="default" r:id="rId17"/>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pPr>
    <w:r>
      <w:rPr>
        <w:rFonts w:ascii="Arial" w:hAnsi="Arial" w:eastAsia="Microsoft YaHei"/>
        <w:b w:val="0"/>
        <w:color w:val="666666"/>
        <w:sz w:val="17"/>
      </w:rPr>
      <w:t>水下裂缝扭曲校正项目工作内容与工作量说明</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030399224004699" TargetMode="External"/><Relationship Id="rId10" Type="http://schemas.openxmlformats.org/officeDocument/2006/relationships/hyperlink" Target="https://www.sciencedirect.com/science/article/abs/pii/S0165168424004997" TargetMode="External"/><Relationship Id="rId11" Type="http://schemas.openxmlformats.org/officeDocument/2006/relationships/hyperlink" Target="https://www.sciencedirect.com/science/article/abs/pii/S0165168424001889" TargetMode="External"/><Relationship Id="rId12" Type="http://schemas.openxmlformats.org/officeDocument/2006/relationships/hyperlink" Target="https://arxiv.org/abs/2412.15890" TargetMode="External"/><Relationship Id="rId13" Type="http://schemas.openxmlformats.org/officeDocument/2006/relationships/hyperlink" Target="https://openaccess.thecvf.com/content/CVPR2022/html/Xu_GMFlow_Learning_Optical_Flow_via_Global_Matching_CVPR_2022_paper.html" TargetMode="External"/><Relationship Id="rId14" Type="http://schemas.openxmlformats.org/officeDocument/2006/relationships/hyperlink" Target="https://github.com/autonomousvision/unimatch" TargetMode="External"/><Relationship Id="rId15" Type="http://schemas.openxmlformats.org/officeDocument/2006/relationships/hyperlink" Target="https://arxiv.org/abs/2203.16194" TargetMode="External"/><Relationship Id="rId16" Type="http://schemas.openxmlformats.org/officeDocument/2006/relationships/hyperlink" Target="https://ku-cvlab.github.io/DiffMatch/"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