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E9834">
      <w:pPr>
        <w:numPr>
          <w:ilvl w:val="0"/>
          <w:numId w:val="1"/>
        </w:numPr>
        <w:ind w:firstLine="420"/>
        <w:rPr>
          <w:rFonts w:hint="eastAsia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主观评价</w:t>
      </w:r>
    </w:p>
    <w:p w14:paraId="695766C1">
      <w:pPr>
        <w:numPr>
          <w:ilvl w:val="0"/>
          <w:numId w:val="0"/>
        </w:numPr>
        <w:ind w:firstLine="630" w:firstLineChars="300"/>
        <w:rPr>
          <w:rFonts w:hint="eastAsia"/>
          <w:lang w:eastAsia="zh-CN"/>
        </w:rPr>
      </w:pPr>
      <w:r>
        <w:t>使用Roboflow underwater crack、Roboflow concrete/blue crack的部分数据集作为测试数据集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本文训练集作为主训练集，</w:t>
      </w:r>
      <w:r>
        <w:t>并将结果与</w:t>
      </w:r>
      <w:r>
        <w:rPr>
          <w:rFonts w:hint="eastAsia"/>
          <w:lang w:val="en-US" w:eastAsia="zh-CN"/>
        </w:rPr>
        <w:t>五</w:t>
      </w:r>
      <w:r>
        <w:t>种先进算法进行比较，包括：</w:t>
      </w:r>
      <w:r>
        <w:rPr>
          <w:rFonts w:hint="eastAsia"/>
        </w:rPr>
        <w:t>RAFT</w:t>
      </w:r>
      <w:r>
        <w:t>算法</w:t>
      </w:r>
      <w:r>
        <w:rPr>
          <w:rFonts w:hint="eastAsia"/>
        </w:rPr>
        <w:t>、UniMatch</w:t>
      </w:r>
      <w:r>
        <w:t>算法</w:t>
      </w:r>
      <w:r>
        <w:rPr>
          <w:rFonts w:hint="eastAsia"/>
        </w:rPr>
        <w:t>、SEA-RAFT</w:t>
      </w:r>
      <w:r>
        <w:t>算法</w:t>
      </w:r>
      <w:r>
        <w:rPr>
          <w:rFonts w:hint="eastAsia"/>
        </w:rPr>
        <w:t>、GMA/RAFT-small fallback</w:t>
      </w:r>
      <w:r>
        <w:t>算法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V107算法（our network）</w:t>
      </w:r>
      <w:r>
        <w:rPr>
          <w:rFonts w:hint="eastAsia"/>
          <w:lang w:eastAsia="zh-CN"/>
        </w:rPr>
        <w:t>。</w:t>
      </w:r>
    </w:p>
    <w:p w14:paraId="7F28D048">
      <w:pPr>
        <w:ind w:firstLine="420"/>
        <w:jc w:val="center"/>
        <w:rPr>
          <w:rFonts w:hint="eastAsia"/>
          <w:color w:val="auto"/>
          <w:highlight w:val="red"/>
          <w:lang w:val="en-US" w:eastAsia="zh-CN"/>
        </w:rPr>
      </w:pPr>
      <w:r>
        <w:rPr>
          <w:rFonts w:hint="eastAsia"/>
          <w:color w:val="auto"/>
          <w:highlight w:val="red"/>
          <w:lang w:val="en-US" w:eastAsia="zh-CN"/>
        </w:rPr>
        <w:t>可视化结果</w:t>
      </w:r>
    </w:p>
    <w:tbl>
      <w:tblPr>
        <w:tblStyle w:val="4"/>
        <w:tblW w:w="91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2226"/>
        <w:gridCol w:w="2308"/>
        <w:gridCol w:w="2668"/>
      </w:tblGrid>
      <w:tr w14:paraId="22673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7" w:type="dxa"/>
          </w:tcPr>
          <w:p w14:paraId="0EDC5120">
            <w:pPr>
              <w:jc w:val="center"/>
              <w:rPr>
                <w:rFonts w:hint="default"/>
                <w:color w:val="auto"/>
                <w:highlight w:val="red"/>
                <w:vertAlign w:val="baseline"/>
                <w:lang w:val="en-US" w:eastAsia="zh-CN"/>
              </w:rPr>
            </w:pPr>
          </w:p>
        </w:tc>
        <w:tc>
          <w:tcPr>
            <w:tcW w:w="2226" w:type="dxa"/>
          </w:tcPr>
          <w:p w14:paraId="24500D76">
            <w:pPr>
              <w:ind w:left="0" w:leftChars="0" w:firstLine="0" w:firstLineChars="0"/>
              <w:jc w:val="center"/>
              <w:rPr>
                <w:rFonts w:hint="default"/>
                <w:color w:val="auto"/>
                <w:highlight w:val="red"/>
                <w:vertAlign w:val="baseline"/>
                <w:lang w:val="en-US" w:eastAsia="zh-CN"/>
              </w:rPr>
            </w:pPr>
            <w:r>
              <w:t>Roboflow underwater crack</w:t>
            </w:r>
          </w:p>
        </w:tc>
        <w:tc>
          <w:tcPr>
            <w:tcW w:w="2308" w:type="dxa"/>
          </w:tcPr>
          <w:p w14:paraId="6F3D2E34">
            <w:pPr>
              <w:ind w:left="0" w:leftChars="0" w:firstLine="0" w:firstLineChars="0"/>
              <w:jc w:val="center"/>
              <w:rPr>
                <w:rFonts w:hint="default"/>
                <w:color w:val="auto"/>
                <w:highlight w:val="red"/>
                <w:vertAlign w:val="baseline"/>
                <w:lang w:val="en-US" w:eastAsia="zh-CN"/>
              </w:rPr>
            </w:pPr>
            <w:r>
              <w:t>Roboflow concrete/blue crack</w:t>
            </w:r>
          </w:p>
        </w:tc>
        <w:tc>
          <w:tcPr>
            <w:tcW w:w="2668" w:type="dxa"/>
          </w:tcPr>
          <w:p w14:paraId="753D11CE">
            <w:pPr>
              <w:ind w:left="0" w:lef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本文数据集</w:t>
            </w:r>
            <w:r>
              <w:rPr>
                <w:rFonts w:hint="eastAsia"/>
                <w:lang w:val="en-US" w:eastAsia="zh-CN"/>
              </w:rPr>
              <w:br w:type="textWrapping"/>
            </w:r>
          </w:p>
        </w:tc>
      </w:tr>
      <w:tr w14:paraId="0959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7" w:type="dxa"/>
          </w:tcPr>
          <w:p w14:paraId="353763F5">
            <w:pPr>
              <w:ind w:left="0" w:leftChars="0" w:firstLine="0" w:firstLineChars="0"/>
              <w:jc w:val="center"/>
              <w:rPr>
                <w:rFonts w:hint="default"/>
                <w:color w:val="auto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RAFT</w:t>
            </w:r>
          </w:p>
        </w:tc>
        <w:tc>
          <w:tcPr>
            <w:tcW w:w="2226" w:type="dxa"/>
          </w:tcPr>
          <w:p>
            <w:r>
              <w:rPr>
                <w:rFonts w:ascii="Microsoft YaHei" w:hAnsi="Microsoft YaHei"/>
                <w:sz w:val="16"/>
              </w:rPr>
              <w:t>已补160样本；Crack EPE 3.2916，整体几何较稳</w:t>
            </w:r>
          </w:p>
        </w:tc>
        <w:tc>
          <w:tcPr>
            <w:tcW w:w="2308" w:type="dxa"/>
          </w:tcPr>
          <w:p>
            <w:r>
              <w:rPr>
                <w:rFonts w:ascii="Microsoft YaHei" w:hAnsi="Microsoft YaHei"/>
                <w:sz w:val="16"/>
              </w:rPr>
              <w:t>已补48样本；Crack EPE 0.9561，指标较强</w:t>
            </w:r>
          </w:p>
        </w:tc>
        <w:tc>
          <w:tcPr>
            <w:tcW w:w="2668" w:type="dxa"/>
          </w:tcPr>
          <w:p>
            <w:r>
              <w:rPr>
                <w:rFonts w:ascii="Microsoft YaHei" w:hAnsi="Microsoft YaHei"/>
                <w:sz w:val="16"/>
              </w:rPr>
              <w:t>外部参考/上界；几何校正强，1000样本指标稳定</w:t>
            </w:r>
          </w:p>
        </w:tc>
      </w:tr>
      <w:tr w14:paraId="796CD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7" w:type="dxa"/>
          </w:tcPr>
          <w:p w14:paraId="57AA8F33">
            <w:pPr>
              <w:ind w:left="0" w:leftChars="0" w:firstLine="0" w:firstLineChars="0"/>
              <w:jc w:val="center"/>
              <w:rPr>
                <w:rFonts w:hint="default"/>
                <w:color w:val="auto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UniMatch</w:t>
            </w:r>
          </w:p>
        </w:tc>
        <w:tc>
          <w:tcPr>
            <w:tcW w:w="2226" w:type="dxa"/>
          </w:tcPr>
          <w:p>
            <w:r>
              <w:rPr>
                <w:rFonts w:ascii="Microsoft YaHei" w:hAnsi="Microsoft YaHei"/>
                <w:sz w:val="16"/>
              </w:rPr>
              <w:t>已补160样本；Crack EPE 2.8643，Roboflow水下集最优</w:t>
            </w:r>
          </w:p>
        </w:tc>
        <w:tc>
          <w:tcPr>
            <w:tcW w:w="2308" w:type="dxa"/>
          </w:tcPr>
          <w:p>
            <w:r>
              <w:rPr>
                <w:rFonts w:ascii="Microsoft YaHei" w:hAnsi="Microsoft YaHei"/>
                <w:sz w:val="16"/>
              </w:rPr>
              <w:t>已补48样本；Crack EPE 0.6130，该集最优</w:t>
            </w:r>
          </w:p>
        </w:tc>
        <w:tc>
          <w:tcPr>
            <w:tcW w:w="2668" w:type="dxa"/>
          </w:tcPr>
          <w:p>
            <w:r>
              <w:rPr>
                <w:rFonts w:ascii="Microsoft YaHei" w:hAnsi="Microsoft YaHei"/>
                <w:sz w:val="16"/>
              </w:rPr>
              <w:t>外部参考/上界；整体稳定，裂缝区域 EPE 略高于 RAFT</w:t>
            </w:r>
          </w:p>
        </w:tc>
      </w:tr>
      <w:tr w14:paraId="1D191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7" w:type="dxa"/>
          </w:tcPr>
          <w:p w14:paraId="56A715D3">
            <w:pPr>
              <w:ind w:left="0" w:leftChars="0" w:firstLine="0" w:firstLineChars="0"/>
              <w:jc w:val="center"/>
              <w:rPr>
                <w:rFonts w:hint="default"/>
                <w:color w:val="auto"/>
                <w:highlight w:val="red"/>
                <w:vertAlign w:val="baseline"/>
                <w:lang w:val="en-US" w:eastAsia="zh-CN"/>
              </w:rPr>
            </w:pPr>
            <w:r>
              <w:rPr>
                <w:rFonts w:hint="eastAsia"/>
              </w:rPr>
              <w:t>SEA-RAFT</w:t>
            </w:r>
          </w:p>
        </w:tc>
        <w:tc>
          <w:tcPr>
            <w:tcW w:w="2226" w:type="dxa"/>
          </w:tcPr>
          <w:p>
            <w:r>
              <w:rPr>
                <w:rFonts w:ascii="Microsoft YaHei" w:hAnsi="Microsoft YaHei"/>
                <w:sz w:val="16"/>
              </w:rPr>
              <w:t>已补160样本；Crack EPE 4.4366，Dice 较高</w:t>
            </w:r>
          </w:p>
        </w:tc>
        <w:tc>
          <w:tcPr>
            <w:tcW w:w="2308" w:type="dxa"/>
          </w:tcPr>
          <w:p>
            <w:r>
              <w:rPr>
                <w:rFonts w:ascii="Microsoft YaHei" w:hAnsi="Microsoft YaHei"/>
                <w:sz w:val="16"/>
              </w:rPr>
              <w:t>已补48样本；Crack EPE 1.6084，可作参考</w:t>
            </w:r>
          </w:p>
        </w:tc>
        <w:tc>
          <w:tcPr>
            <w:tcW w:w="2668" w:type="dxa"/>
          </w:tcPr>
          <w:p>
            <w:r>
              <w:rPr>
                <w:rFonts w:ascii="Microsoft YaHei" w:hAnsi="Microsoft YaHei"/>
                <w:sz w:val="16"/>
              </w:rPr>
              <w:t>外部参考/上界；可作为主流 baseline 参考</w:t>
            </w:r>
          </w:p>
        </w:tc>
      </w:tr>
      <w:tr w14:paraId="20E19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" w:hRule="atLeast"/>
        </w:trPr>
        <w:tc>
          <w:tcPr>
            <w:tcW w:w="1957" w:type="dxa"/>
          </w:tcPr>
          <w:p>
            <w:r>
              <w:rPr>
                <w:rFonts w:ascii="Microsoft YaHei" w:hAnsi="Microsoft YaHei"/>
                <w:sz w:val="16"/>
              </w:rPr>
              <w:t>GMA/RAFT-small fallback</w:t>
            </w:r>
          </w:p>
        </w:tc>
        <w:tc>
          <w:tcPr>
            <w:tcW w:w="2226" w:type="dxa"/>
          </w:tcPr>
          <w:p>
            <w:r>
              <w:rPr>
                <w:rFonts w:ascii="Microsoft YaHei" w:hAnsi="Microsoft YaHei"/>
                <w:sz w:val="16"/>
              </w:rPr>
              <w:t>已补160样本；Crack EPE 3.8990，采用 fallback</w:t>
            </w:r>
          </w:p>
        </w:tc>
        <w:tc>
          <w:tcPr>
            <w:tcW w:w="2308" w:type="dxa"/>
          </w:tcPr>
          <w:p>
            <w:r>
              <w:rPr>
                <w:rFonts w:ascii="Microsoft YaHei" w:hAnsi="Microsoft YaHei"/>
                <w:sz w:val="16"/>
              </w:rPr>
              <w:t>已补48样本；Crack EPE 1.5967，采用 fallback</w:t>
            </w:r>
          </w:p>
        </w:tc>
        <w:tc>
          <w:tcPr>
            <w:tcW w:w="2668" w:type="dxa"/>
          </w:tcPr>
          <w:p>
            <w:r>
              <w:rPr>
                <w:rFonts w:ascii="Microsoft YaHei" w:hAnsi="Microsoft YaHei"/>
                <w:sz w:val="16"/>
              </w:rPr>
              <w:t>GMA checkpoint 缺失，采用 RAFT-small fallback</w:t>
            </w:r>
          </w:p>
        </w:tc>
      </w:tr>
      <w:tr w14:paraId="1184F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1957" w:type="dxa"/>
          </w:tcPr>
          <w:p w14:paraId="7AAFC843">
            <w:pPr>
              <w:ind w:left="0" w:leftChars="0" w:firstLine="0" w:firstLineChars="0"/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V107（our network）</w:t>
            </w:r>
          </w:p>
        </w:tc>
        <w:tc>
          <w:tcPr>
            <w:tcW w:w="2226" w:type="dxa"/>
          </w:tcPr>
          <w:p>
            <w:r>
              <w:rPr>
                <w:rFonts w:ascii="Microsoft YaHei" w:hAnsi="Microsoft YaHei"/>
                <w:sz w:val="16"/>
              </w:rPr>
              <w:t>v107补评160样本；单图模型，Crack EPE 14.2060</w:t>
            </w:r>
          </w:p>
        </w:tc>
        <w:tc>
          <w:tcPr>
            <w:tcW w:w="2308" w:type="dxa"/>
          </w:tcPr>
          <w:p>
            <w:r>
              <w:rPr>
                <w:rFonts w:ascii="Microsoft YaHei" w:hAnsi="Microsoft YaHei"/>
                <w:sz w:val="16"/>
              </w:rPr>
              <w:t>v107补评48样本；单图模型，Crack EPE 16.7925</w:t>
            </w:r>
          </w:p>
        </w:tc>
        <w:tc>
          <w:tcPr>
            <w:tcW w:w="2668" w:type="dxa"/>
          </w:tcPr>
          <w:p>
            <w:r>
              <w:rPr>
                <w:rFonts w:ascii="Microsoft YaHei" w:hAnsi="Microsoft YaHei"/>
                <w:sz w:val="16"/>
              </w:rPr>
              <w:t>本文主模型；100 epoch 长训练；几何校正稳定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3147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ack0001_00_visual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C94BE55">
      <w:pPr>
        <w:ind w:firstLine="420"/>
        <w:jc w:val="center"/>
        <w:rPr>
          <w:rFonts w:hint="eastAsia"/>
          <w:sz w:val="18"/>
          <w:szCs w:val="21"/>
        </w:rPr>
      </w:pPr>
      <w:r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  <w:lang w:val="en-US" w:eastAsia="zh-CN"/>
        </w:rPr>
        <w:t>1</w:t>
      </w:r>
      <w:r>
        <w:rPr>
          <w:rFonts w:hint="eastAsia"/>
          <w:sz w:val="18"/>
          <w:szCs w:val="21"/>
        </w:rPr>
        <w:t xml:space="preserve"> 各种水下裂缝图像复原算法的结果对比</w:t>
      </w:r>
    </w:p>
    <w:p w14:paraId="40213ED4">
      <w:pPr>
        <w:numPr>
          <w:ilvl w:val="0"/>
          <w:numId w:val="1"/>
        </w:numPr>
        <w:ind w:firstLine="420"/>
        <w:rPr>
          <w:rFonts w:hint="eastAsia" w:eastAsia="宋体"/>
          <w:sz w:val="24"/>
          <w:szCs w:val="32"/>
          <w:lang w:eastAsia="zh-CN"/>
        </w:rPr>
      </w:pPr>
      <w:r>
        <w:rPr>
          <w:rFonts w:hint="eastAsia"/>
          <w:sz w:val="32"/>
          <w:szCs w:val="40"/>
          <w:lang w:val="en-US" w:eastAsia="zh-CN"/>
        </w:rPr>
        <w:t>客观评价</w:t>
      </w:r>
    </w:p>
    <w:p w14:paraId="7CA423AA">
      <w:pPr>
        <w:numPr>
          <w:ilvl w:val="0"/>
          <w:numId w:val="0"/>
        </w:numPr>
        <w:rPr>
          <w:rFonts w:hint="eastAsia" w:eastAsia="宋体"/>
          <w:sz w:val="18"/>
          <w:szCs w:val="21"/>
          <w:lang w:eastAsia="zh-CN"/>
        </w:rPr>
      </w:pPr>
      <w:r>
        <w:rPr>
          <w:rFonts w:ascii="Times New Roman" w:hAnsi="Times New Roman" w:cs="Times New Roman"/>
          <w:szCs w:val="21"/>
        </w:rPr>
        <w:t>设计算法与其他算法的性能差异</w:t>
      </w:r>
      <w:r>
        <w:rPr>
          <w:rFonts w:hint="eastAsia" w:cs="Times New Roman"/>
          <w:szCs w:val="21"/>
          <w:lang w:eastAsia="zh-CN"/>
        </w:rPr>
        <w:t>，</w:t>
      </w:r>
      <w:r>
        <w:rPr>
          <w:rFonts w:hint="eastAsia"/>
          <w:szCs w:val="21"/>
        </w:rPr>
        <w:t>不同处理方法后的图像质量指标比较</w:t>
      </w:r>
    </w:p>
    <w:tbl>
      <w:tblPr>
        <w:tblStyle w:val="4"/>
        <w:tblW w:w="94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904"/>
        <w:gridCol w:w="1302"/>
        <w:gridCol w:w="1060"/>
        <w:gridCol w:w="638"/>
        <w:gridCol w:w="1052"/>
        <w:gridCol w:w="1068"/>
        <w:gridCol w:w="949"/>
      </w:tblGrid>
      <w:tr w14:paraId="49FFD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1435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193C91BD">
            <w:pPr>
              <w:ind w:firstLine="0" w:firstLineChars="0"/>
              <w:jc w:val="center"/>
              <w:textAlignment w:val="center"/>
            </w:pPr>
            <w:r>
              <w:rPr>
                <w:rFonts w:hint="eastAsia"/>
              </w:rPr>
              <w:t>Data</w:t>
            </w:r>
            <w:r>
              <w:t xml:space="preserve"> S</w:t>
            </w:r>
            <w:r>
              <w:rPr>
                <w:rFonts w:hint="eastAsia"/>
              </w:rPr>
              <w:t>ets</w:t>
            </w:r>
          </w:p>
        </w:tc>
        <w:tc>
          <w:tcPr>
            <w:tcW w:w="19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</w:tcPr>
          <w:p w14:paraId="43AFC066">
            <w:pPr>
              <w:ind w:firstLine="0" w:firstLineChars="0"/>
              <w:jc w:val="center"/>
              <w:textAlignment w:val="center"/>
            </w:pPr>
            <w:r>
              <w:rPr>
                <w:rFonts w:hint="eastAsia"/>
              </w:rPr>
              <w:t>Methods</w:t>
            </w:r>
          </w:p>
        </w:tc>
        <w:tc>
          <w:tcPr>
            <w:tcW w:w="130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4874E07F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Crack EPE </w:t>
            </w:r>
          </w:p>
        </w:tc>
        <w:tc>
          <w:tcPr>
            <w:tcW w:w="1060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46D54100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Global EPE </w:t>
            </w:r>
          </w:p>
        </w:tc>
        <w:tc>
          <w:tcPr>
            <w:tcW w:w="63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7E2B872B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Dice </w:t>
            </w:r>
          </w:p>
        </w:tc>
        <w:tc>
          <w:tcPr>
            <w:tcW w:w="1052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66ED8B95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Crack Edge </w:t>
            </w:r>
          </w:p>
        </w:tc>
        <w:tc>
          <w:tcPr>
            <w:tcW w:w="1068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53EE8533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Global Edge </w:t>
            </w:r>
          </w:p>
        </w:tc>
        <w:tc>
          <w:tcPr>
            <w:tcW w:w="949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vAlign w:val="top"/>
          </w:tcPr>
          <w:p w14:paraId="4E08DD02">
            <w:pPr>
              <w:keepNext w:val="0"/>
              <w:keepLines w:val="0"/>
              <w:widowControl/>
              <w:suppressLineNumbers w:val="0"/>
              <w:ind w:left="0" w:leftChars="0" w:firstLine="0" w:firstLineChars="0"/>
              <w:jc w:val="left"/>
              <w:textAlignment w:val="top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172033"/>
                <w:spacing w:val="0"/>
                <w:kern w:val="0"/>
                <w:sz w:val="14"/>
                <w:szCs w:val="14"/>
                <w:lang w:val="en-US" w:eastAsia="zh-CN" w:bidi="ar"/>
                <w14:ligatures w14:val="standardContextual"/>
              </w:rPr>
              <w:t xml:space="preserve">Folding </w:t>
            </w:r>
          </w:p>
        </w:tc>
      </w:tr>
      <w:tr w14:paraId="00924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4" w:hRule="atLeast"/>
          <w:jc w:val="center"/>
        </w:trPr>
        <w:tc>
          <w:tcPr>
            <w:tcW w:w="1435" w:type="dxa"/>
            <w:tcBorders>
              <w:top w:val="single" w:color="auto" w:sz="6" w:space="0"/>
              <w:left w:val="nil"/>
              <w:bottom w:val="nil"/>
              <w:right w:val="nil"/>
            </w:tcBorders>
            <w:vAlign w:val="center"/>
          </w:tcPr>
          <w:p w14:paraId="31F83BAB">
            <w:pPr>
              <w:ind w:firstLine="0" w:firstLineChars="0"/>
              <w:jc w:val="center"/>
              <w:textAlignment w:val="center"/>
            </w:pPr>
            <w:r>
              <w:t>Roboflow underwater crack</w:t>
            </w:r>
          </w:p>
        </w:tc>
        <w:tc>
          <w:tcPr>
            <w:tcW w:w="1904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RAFT</w:t>
              <w:br/>
              <w:t>UniMatch</w:t>
              <w:br/>
              <w:t>SEA-RAFT</w:t>
              <w:br/>
              <w:t>GMA/RAFT-small fallback</w:t>
              <w:br/>
              <w:t>V107算法（our network）</w:t>
            </w:r>
          </w:p>
        </w:tc>
        <w:tc>
          <w:tcPr>
            <w:tcW w:w="1302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3.2916</w:t>
              <w:br/>
              <w:t>2.8643</w:t>
              <w:br/>
              <w:t>4.4366</w:t>
              <w:br/>
              <w:t>3.8990</w:t>
              <w:br/>
              <w:t>14.2060</w:t>
            </w:r>
          </w:p>
        </w:tc>
        <w:tc>
          <w:tcPr>
            <w:tcW w:w="1060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0.8855</w:t>
              <w:br/>
              <w:t>1.1682</w:t>
              <w:br/>
              <w:t>1.6008</w:t>
              <w:br/>
              <w:t>1.4530</w:t>
              <w:br/>
              <w:t>14.8905</w:t>
            </w:r>
          </w:p>
        </w:tc>
        <w:tc>
          <w:tcPr>
            <w:tcW w:w="638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0.6827</w:t>
              <w:br/>
              <w:t>0.6837</w:t>
              <w:br/>
              <w:t>0.6980</w:t>
              <w:br/>
              <w:t>0.6899</w:t>
              <w:br/>
              <w:t>0.5739</w:t>
            </w:r>
          </w:p>
        </w:tc>
        <w:tc>
          <w:tcPr>
            <w:tcW w:w="1052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0.5646</w:t>
              <w:br/>
              <w:t>0.6390</w:t>
              <w:br/>
              <w:t>0.4676</w:t>
              <w:br/>
              <w:t>0.4692</w:t>
              <w:br/>
              <w:t>0.0297</w:t>
            </w:r>
          </w:p>
        </w:tc>
        <w:tc>
          <w:tcPr>
            <w:tcW w:w="1068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0.7417</w:t>
              <w:br/>
              <w:t>0.7661</w:t>
              <w:br/>
              <w:t>0.6214</w:t>
              <w:br/>
              <w:t>0.6178</w:t>
              <w:br/>
              <w:t>0.1880</w:t>
            </w:r>
          </w:p>
        </w:tc>
        <w:tc>
          <w:tcPr>
            <w:tcW w:w="949" w:type="dxa"/>
            <w:tcBorders>
              <w:top w:val="single" w:color="auto" w:sz="6" w:space="0"/>
              <w:left w:val="nil"/>
              <w:bottom w:val="nil"/>
              <w:right w:val="nil"/>
            </w:tcBorders>
          </w:tcPr>
          <w:p>
            <w:r>
              <w:rPr>
                <w:rFonts w:ascii="Microsoft YaHei" w:hAnsi="Microsoft YaHei"/>
                <w:sz w:val="16"/>
              </w:rPr>
              <w:t>0.0214</w:t>
              <w:br/>
              <w:t>0.0229</w:t>
              <w:br/>
              <w:t>0.0224</w:t>
              <w:br/>
              <w:t>0.0205</w:t>
              <w:br/>
              <w:t>0.0319</w:t>
            </w:r>
          </w:p>
        </w:tc>
      </w:tr>
      <w:tr w14:paraId="68BEB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3" w:hRule="atLeast"/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1FE33D">
            <w:pPr>
              <w:ind w:firstLine="0" w:firstLineChars="0"/>
              <w:jc w:val="center"/>
              <w:textAlignment w:val="center"/>
            </w:pPr>
          </w:p>
          <w:p w14:paraId="3E5D6244">
            <w:pPr>
              <w:ind w:firstLine="0" w:firstLineChars="0"/>
              <w:jc w:val="center"/>
              <w:textAlignment w:val="center"/>
            </w:pPr>
            <w:r>
              <w:t>Roboflow concrete/blue crack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Microsoft YaHei" w:hAnsi="Microsoft YaHei"/>
                <w:sz w:val="16"/>
              </w:rPr>
              <w:t>RAFT</w:t>
              <w:br/>
              <w:t>UniMatch</w:t>
              <w:br/>
              <w:t>SEA-RAFT</w:t>
              <w:br/>
              <w:t>GMA/RAFT-small fallback</w:t>
              <w:br/>
              <w:t>V107算法（our network）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r>
              <w:rPr>
                <w:rFonts w:ascii="Microsoft YaHei" w:hAnsi="Microsoft YaHei"/>
                <w:sz w:val="16"/>
              </w:rPr>
              <w:t>0.9561</w:t>
              <w:br/>
              <w:t>0.6130</w:t>
              <w:br/>
              <w:t>1.6084</w:t>
              <w:br/>
              <w:t>1.5967</w:t>
              <w:br/>
              <w:t>16.7925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r>
              <w:rPr>
                <w:rFonts w:ascii="Microsoft YaHei" w:hAnsi="Microsoft YaHei"/>
                <w:sz w:val="16"/>
              </w:rPr>
              <w:t>0.6614</w:t>
              <w:br/>
              <w:t>0.4191</w:t>
              <w:br/>
              <w:t>1.1450</w:t>
              <w:br/>
              <w:t>1.1505</w:t>
              <w:br/>
              <w:t>17.5651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r>
              <w:rPr>
                <w:rFonts w:ascii="Microsoft YaHei" w:hAnsi="Microsoft YaHei"/>
                <w:sz w:val="16"/>
              </w:rPr>
              <w:t>0.5454</w:t>
              <w:br/>
              <w:t>0.5489</w:t>
              <w:br/>
              <w:t>0.5378</w:t>
              <w:br/>
              <w:t>0.5369</w:t>
              <w:br/>
              <w:t>0.4147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r>
              <w:rPr>
                <w:rFonts w:ascii="Microsoft YaHei" w:hAnsi="Microsoft YaHei"/>
                <w:sz w:val="16"/>
              </w:rPr>
              <w:t>0.8106</w:t>
              <w:br/>
              <w:t>0.8724</w:t>
              <w:br/>
              <w:t>0.7147</w:t>
              <w:br/>
              <w:t>0.6921</w:t>
              <w:br/>
              <w:t>0.2749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r>
              <w:rPr>
                <w:rFonts w:ascii="Microsoft YaHei" w:hAnsi="Microsoft YaHei"/>
                <w:sz w:val="16"/>
              </w:rPr>
              <w:t>0.8425</w:t>
              <w:br/>
              <w:t>0.8939</w:t>
              <w:br/>
              <w:t>0.7577</w:t>
              <w:br/>
              <w:t>0.7306</w:t>
              <w:br/>
              <w:t>0.3006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shd w:val="clear"/>
            <w:vAlign w:val="top"/>
          </w:tcPr>
          <w:p>
            <w:r>
              <w:rPr>
                <w:rFonts w:ascii="Microsoft YaHei" w:hAnsi="Microsoft YaHei"/>
                <w:sz w:val="16"/>
              </w:rPr>
              <w:t>0.0279</w:t>
              <w:br/>
              <w:t>0.0295</w:t>
              <w:br/>
              <w:t>0.0281</w:t>
              <w:br/>
              <w:t>0.0286</w:t>
              <w:br/>
              <w:t>0.0329</w:t>
            </w:r>
          </w:p>
        </w:tc>
      </w:tr>
      <w:tr w14:paraId="16E2E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33" w:hRule="atLeast"/>
          <w:jc w:val="center"/>
        </w:trPr>
        <w:tc>
          <w:tcPr>
            <w:tcW w:w="1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449EDB">
            <w:pPr>
              <w:ind w:firstLine="0" w:firstLineChars="0"/>
              <w:jc w:val="center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本文数据集</w:t>
            </w:r>
          </w:p>
        </w:tc>
        <w:tc>
          <w:tcPr>
            <w:tcW w:w="19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rPr>
                <w:rFonts w:ascii="Microsoft YaHei" w:hAnsi="Microsoft YaHei"/>
                <w:sz w:val="16"/>
              </w:rPr>
              <w:t>RAFT</w:t>
              <w:br/>
              <w:t>UniMatch</w:t>
              <w:br/>
              <w:t>SEA-RAFT</w:t>
              <w:br/>
              <w:t>GMA/RAFT-small fallback</w:t>
              <w:br/>
              <w:t>V107算法（our network）</w:t>
            </w:r>
          </w:p>
        </w:tc>
        <w:tc>
          <w:tcPr>
            <w:tcW w:w="130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ascii="Microsoft YaHei" w:hAnsi="Microsoft YaHei"/>
                <w:sz w:val="16"/>
              </w:rPr>
              <w:t>1.6220</w:t>
              <w:br/>
              <w:t>3.8106</w:t>
              <w:br/>
              <w:t>3.1400</w:t>
              <w:br/>
              <w:t>2.3947</w:t>
              <w:br/>
              <w:t>14.8459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ascii="Microsoft YaHei" w:hAnsi="Microsoft YaHei"/>
                <w:sz w:val="16"/>
              </w:rPr>
              <w:t>0.7900</w:t>
              <w:br/>
              <w:t>1.6762</w:t>
              <w:br/>
              <w:t>1.9537</w:t>
              <w:br/>
              <w:t>1.2521</w:t>
              <w:br/>
              <w:t>15.0896</w:t>
            </w: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ascii="Microsoft YaHei" w:hAnsi="Microsoft YaHei"/>
                <w:sz w:val="16"/>
              </w:rPr>
              <w:t>0.7308</w:t>
              <w:br/>
              <w:t>0.7155</w:t>
              <w:br/>
              <w:t>0.7188</w:t>
              <w:br/>
              <w:t>0.7250</w:t>
              <w:br/>
              <w:t>0.5810</w:t>
            </w:r>
          </w:p>
        </w:tc>
        <w:tc>
          <w:tcPr>
            <w:tcW w:w="1052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ascii="Microsoft YaHei" w:hAnsi="Microsoft YaHei"/>
                <w:sz w:val="16"/>
              </w:rPr>
              <w:t>0.7900</w:t>
              <w:br/>
              <w:t>0.7507</w:t>
              <w:br/>
              <w:t>0.6942</w:t>
              <w:br/>
              <w:t>0.7265</w:t>
              <w:br/>
              <w:t>0.5175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ascii="Microsoft YaHei" w:hAnsi="Microsoft YaHei"/>
                <w:sz w:val="16"/>
              </w:rPr>
              <w:t>0.8279</w:t>
              <w:br/>
              <w:t>0.8238</w:t>
              <w:br/>
              <w:t>0.7048</w:t>
              <w:br/>
              <w:t>0.7553</w:t>
              <w:br/>
              <w:t>0.5450</w:t>
            </w:r>
          </w:p>
        </w:tc>
        <w:tc>
          <w:tcPr>
            <w:tcW w:w="94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r>
              <w:rPr>
                <w:rFonts w:ascii="Microsoft YaHei" w:hAnsi="Microsoft YaHei"/>
                <w:sz w:val="16"/>
              </w:rPr>
              <w:t>0.0303</w:t>
              <w:br/>
              <w:t>0.0330</w:t>
              <w:br/>
              <w:t>0.0304</w:t>
              <w:br/>
              <w:t>0.0309</w:t>
              <w:br/>
              <w:t>0.0206</w:t>
            </w:r>
          </w:p>
        </w:tc>
      </w:tr>
    </w:tbl>
    <w:p w14:paraId="02062F6E">
      <w:pPr>
        <w:ind w:firstLine="420"/>
        <w:jc w:val="center"/>
        <w:rPr>
          <w:rFonts w:hint="eastAsia"/>
          <w:sz w:val="18"/>
          <w:szCs w:val="21"/>
        </w:rPr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252730</wp:posOffset>
                </wp:positionV>
                <wp:extent cx="1065530" cy="475615"/>
                <wp:effectExtent l="0" t="0" r="0" b="0"/>
                <wp:wrapNone/>
                <wp:docPr id="9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5530" cy="4756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03E592">
                            <w:pPr>
                              <w:pStyle w:val="2"/>
                              <w:spacing w:line="240" w:lineRule="auto"/>
                              <w:ind w:left="910" w:hanging="910" w:hangingChars="700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eastAsia="微软雅黑"/>
                                <w:color w:val="000000" w:themeColor="text1"/>
                                <w:kern w:val="24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The time each method cost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-0.75pt;margin-top:19.9pt;height:37.45pt;width:83.9pt;z-index:251661312;mso-width-relative:page;mso-height-relative:page;" filled="f" stroked="f" coordsize="21600,21600" o:gfxdata="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Haf3iTX&#10;AAAACQEAAA8AAAAAAAAAAQAgAAAAIgAAAGRycy9kb3ducmV2LnhtbFBLAQIUABQAAAAIAIdO4kAJ&#10;GbYwrwEAAEgDAAAOAAAAAAAAAAEAIAAAACY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B03E592">
                      <w:pPr>
                        <w:pStyle w:val="2"/>
                        <w:spacing w:line="240" w:lineRule="auto"/>
                        <w:ind w:left="910" w:hanging="910" w:hangingChars="700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rFonts w:eastAsia="微软雅黑"/>
                          <w:color w:val="000000" w:themeColor="text1"/>
                          <w:kern w:val="24"/>
                          <w:sz w:val="13"/>
                          <w:szCs w:val="13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The time each method cost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18"/>
          <w:szCs w:val="21"/>
          <w:lang w:val="en-US" w:eastAsia="zh-CN"/>
        </w:rPr>
        <w:t>表1</w:t>
      </w:r>
      <w:r>
        <w:rPr>
          <w:rFonts w:hint="eastAsia"/>
          <w:sz w:val="18"/>
          <w:szCs w:val="21"/>
        </w:rPr>
        <w:t>各种水下裂缝图像复原算法的</w:t>
      </w:r>
      <w:r>
        <w:rPr>
          <w:rFonts w:hint="eastAsia"/>
          <w:sz w:val="18"/>
          <w:szCs w:val="21"/>
          <w:lang w:val="en-US" w:eastAsia="zh-CN"/>
        </w:rPr>
        <w:t>指标</w:t>
      </w:r>
      <w:r>
        <w:rPr>
          <w:rFonts w:hint="eastAsia"/>
          <w:sz w:val="18"/>
          <w:szCs w:val="21"/>
        </w:rPr>
        <w:t>对比</w:t>
      </w:r>
    </w:p>
    <w:tbl>
      <w:tblPr>
        <w:tblStyle w:val="4"/>
        <w:tblW w:w="9434" w:type="dxa"/>
        <w:tblInd w:w="-4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072"/>
        <w:gridCol w:w="1309"/>
        <w:gridCol w:w="1480"/>
        <w:gridCol w:w="1838"/>
        <w:gridCol w:w="1735"/>
      </w:tblGrid>
      <w:tr w14:paraId="708B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2000" w:type="dxa"/>
          </w:tcPr>
          <w:p w14:paraId="54F2A00F"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-106680</wp:posOffset>
                      </wp:positionH>
                      <wp:positionV relativeFrom="paragraph">
                        <wp:posOffset>193675</wp:posOffset>
                      </wp:positionV>
                      <wp:extent cx="822960" cy="431800"/>
                      <wp:effectExtent l="0" t="0" r="0" b="0"/>
                      <wp:wrapNone/>
                      <wp:docPr id="94" name="文本框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2960" cy="431800"/>
                              </a:xfrm>
                              <a:prstGeom prst="rect">
                                <a:avLst/>
                              </a:prstGeom>
                            </wps:spPr>
                            <wps:txbx>
                              <w:txbxContent>
                                <w:p w14:paraId="29AB8F43">
                                  <w:pPr>
                                    <w:pStyle w:val="2"/>
                                    <w:spacing w:line="240" w:lineRule="auto"/>
                                    <w:ind w:firstLine="0" w:firstLineChars="0"/>
                                    <w:rPr>
                                      <w:rFonts w:eastAsia="微软雅黑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eastAsia="微软雅黑"/>
                                      <w:color w:val="000000" w:themeColor="text1"/>
                                      <w:kern w:val="24"/>
                                      <w:sz w:val="13"/>
                                      <w:szCs w:val="13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 xml:space="preserve">The </w:t>
                                  </w:r>
                                  <w:r>
                                    <w:rPr>
                                      <w:rFonts w:hint="eastAsia" w:eastAsia="微软雅黑"/>
                                      <w:color w:val="000000" w:themeColor="text1"/>
                                      <w:kern w:val="24"/>
                                      <w:sz w:val="13"/>
                                      <w:szCs w:val="13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name of data set</w:t>
                                  </w:r>
                                </w:p>
                              </w:txbxContent>
                            </wps:txbx>
                            <wps:bodyPr wrap="square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5" o:spid="_x0000_s1026" o:spt="202" type="#_x0000_t202" style="position:absolute;left:0pt;margin-left:-8.4pt;margin-top:15.25pt;height:34pt;width:64.8pt;z-index:251660288;mso-width-relative:page;mso-height-relative:page;" filled="f" stroked="f" coordsize="21600,21600" o:gfxdata="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Gq6yG1gAA&#10;AAkBAAAPAAAAAAAAAAEAIAAAACIAAABkcnMvZG93bnJldi54bWxQSwECFAAUAAAACACHTuJAPHbc&#10;ja4BAABHAwAADgAAAAAAAAABACAAAAAlAQAAZHJzL2Uyb0RvYy54bWxQSwUGAAAAAAYABgBZAQAA&#10;RQ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 w14:paraId="29AB8F43">
                            <w:pPr>
                              <w:pStyle w:val="2"/>
                              <w:spacing w:line="240" w:lineRule="auto"/>
                              <w:ind w:firstLine="0" w:firstLineChars="0"/>
                              <w:rPr>
                                <w:rFonts w:eastAsia="微软雅黑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eastAsia="微软雅黑"/>
                                <w:color w:val="000000" w:themeColor="text1"/>
                                <w:kern w:val="24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The </w:t>
                            </w:r>
                            <w:r>
                              <w:rPr>
                                <w:rFonts w:hint="eastAsia" w:eastAsia="微软雅黑"/>
                                <w:color w:val="000000" w:themeColor="text1"/>
                                <w:kern w:val="24"/>
                                <w:sz w:val="13"/>
                                <w:szCs w:val="13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name of data set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-1270</wp:posOffset>
                      </wp:positionV>
                      <wp:extent cx="1264285" cy="589280"/>
                      <wp:effectExtent l="1905" t="4445" r="3810" b="15875"/>
                      <wp:wrapNone/>
                      <wp:docPr id="90" name="直接连接符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847090" y="3893185"/>
                                <a:ext cx="1264285" cy="58928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-5.3pt;margin-top:-0.1pt;height:46.4pt;width:99.55pt;z-index:251659264;mso-width-relative:page;mso-height-relative:page;" filled="f" stroked="t" coordsize="21600,21600" o:gfxdata="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oxZN/WAAAACAEAAA8AAAAAAAAAAQAgAAAAIgAAAGRycy9kb3ducmV2LnhtbFBLAQIU&#10;ABQAAAAIAIdO4kCljvpU9QEAAMMDAAAOAAAAAAAAAAEAIAAAACUBAABkcnMvZTJvRG9jLnhtbFBL&#10;BQYAAAAABgAGAFkBAACMBQAAAAA=&#10;">
                      <v:fill on="f" focussize="0,0"/>
                      <v:stroke weight="0.5pt" color="#000000 [3213]" miterlimit="8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  <w:tc>
          <w:tcPr>
            <w:tcW w:w="1072" w:type="dxa"/>
            <w:vAlign w:val="center"/>
          </w:tcPr>
          <w:p w14:paraId="1C66DB93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RAFT</w:t>
            </w:r>
          </w:p>
          <w:p w14:paraId="14196170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309" w:type="dxa"/>
            <w:vAlign w:val="center"/>
          </w:tcPr>
          <w:p w14:paraId="0887FBA4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UniMatch</w:t>
            </w:r>
          </w:p>
          <w:p w14:paraId="49FFE0EB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80" w:type="dxa"/>
            <w:vAlign w:val="center"/>
          </w:tcPr>
          <w:p w14:paraId="3520069F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SEA-RAFT</w:t>
            </w:r>
          </w:p>
          <w:p w14:paraId="44075C1B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838" w:type="dxa"/>
            <w:vAlign w:val="center"/>
          </w:tcPr>
          <w:p w14:paraId="2D00E2A3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GMA/RAFT-small fallback </w:t>
            </w:r>
          </w:p>
        </w:tc>
        <w:tc>
          <w:tcPr>
            <w:tcW w:w="1735" w:type="dxa"/>
            <w:vAlign w:val="center"/>
          </w:tcPr>
          <w:p w14:paraId="4BDC42F8">
            <w:pPr>
              <w:ind w:firstLine="0" w:firstLineChars="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V107算法（our network）</w:t>
            </w:r>
          </w:p>
        </w:tc>
      </w:tr>
      <w:tr w14:paraId="6AA84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000" w:type="dxa"/>
            <w:vAlign w:val="center"/>
          </w:tcPr>
          <w:p w14:paraId="673B9FFE">
            <w:pPr>
              <w:ind w:left="0" w:lef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Roboflow underwater crack</w:t>
            </w:r>
          </w:p>
        </w:tc>
        <w:tc>
          <w:tcPr>
            <w:tcW w:w="1072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160样本 oracle-pair 推理评估完成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160样本 oracle-pair 推理评估完成</w:t>
            </w:r>
          </w:p>
        </w:tc>
        <w:tc>
          <w:tcPr>
            <w:tcW w:w="1480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160样本 oracle-pair 推理评估完成</w:t>
            </w:r>
          </w:p>
        </w:tc>
        <w:tc>
          <w:tcPr>
            <w:tcW w:w="1838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160样本 oracle-pair 推理评估完成</w:t>
            </w:r>
          </w:p>
        </w:tc>
        <w:tc>
          <w:tcPr>
            <w:tcW w:w="1735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 epoch 长训练模型；160样本补评估完成</w:t>
            </w:r>
          </w:p>
        </w:tc>
      </w:tr>
      <w:tr w14:paraId="6A1E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2000" w:type="dxa"/>
            <w:vAlign w:val="center"/>
          </w:tcPr>
          <w:p w14:paraId="64440421">
            <w:pPr>
              <w:ind w:left="0" w:leftChars="0" w:firstLine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Roboflow concrete/blue crack</w:t>
            </w:r>
          </w:p>
        </w:tc>
        <w:tc>
          <w:tcPr>
            <w:tcW w:w="1072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48样本 oracle-pair 推理评估完成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48样本 oracle-pair 推理评估完成</w:t>
            </w:r>
          </w:p>
        </w:tc>
        <w:tc>
          <w:tcPr>
            <w:tcW w:w="1480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48样本 oracle-pair 推理评估完成</w:t>
            </w:r>
          </w:p>
        </w:tc>
        <w:tc>
          <w:tcPr>
            <w:tcW w:w="1838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48样本 oracle-pair 推理评估完成</w:t>
            </w:r>
          </w:p>
        </w:tc>
        <w:tc>
          <w:tcPr>
            <w:tcW w:w="1735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 epoch 长训练模型；48样本补评估完成</w:t>
            </w:r>
          </w:p>
        </w:tc>
      </w:tr>
      <w:tr w14:paraId="2844B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5" w:hRule="atLeast"/>
        </w:trPr>
        <w:tc>
          <w:tcPr>
            <w:tcW w:w="2000" w:type="dxa"/>
            <w:vAlign w:val="center"/>
          </w:tcPr>
          <w:p w14:paraId="4EBAA40C">
            <w:pPr>
              <w:ind w:firstLine="36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本文主数据集</w:t>
            </w:r>
          </w:p>
        </w:tc>
        <w:tc>
          <w:tcPr>
            <w:tcW w:w="1072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1000样本推理评估完成</w:t>
            </w:r>
          </w:p>
        </w:tc>
        <w:tc>
          <w:tcPr>
            <w:tcW w:w="1309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1000样本推理评估完成</w:t>
            </w:r>
          </w:p>
        </w:tc>
        <w:tc>
          <w:tcPr>
            <w:tcW w:w="1480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1000样本推理评估完成</w:t>
            </w:r>
          </w:p>
        </w:tc>
        <w:tc>
          <w:tcPr>
            <w:tcW w:w="1838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1000样本推理评估完成</w:t>
            </w:r>
          </w:p>
        </w:tc>
        <w:tc>
          <w:tcPr>
            <w:tcW w:w="1735" w:type="dxa"/>
            <w:vAlign w:val="center"/>
          </w:tcPr>
          <w:p>
            <w:r>
              <w:rPr>
                <w:rFonts w:ascii="Microsoft YaHei" w:hAnsi="Microsoft YaHei"/>
                <w:sz w:val="16"/>
              </w:rPr>
              <w:t>100 epoch；约19小时20分钟</w:t>
            </w:r>
          </w:p>
        </w:tc>
      </w:tr>
    </w:tbl>
    <w:p w14:paraId="5BFAD7FA">
      <w:pPr>
        <w:ind w:firstLine="420"/>
        <w:jc w:val="center"/>
      </w:pPr>
      <w:r>
        <w:rPr>
          <w:rFonts w:hint="eastAsia"/>
          <w:sz w:val="18"/>
          <w:szCs w:val="21"/>
          <w:lang w:val="en-US" w:eastAsia="zh-CN"/>
        </w:rPr>
        <w:t>表2</w:t>
      </w:r>
      <w:r>
        <w:rPr>
          <w:rFonts w:hint="eastAsia"/>
          <w:sz w:val="18"/>
          <w:szCs w:val="21"/>
        </w:rPr>
        <w:t>各种水下裂缝图像复原算法</w:t>
      </w:r>
      <w:r>
        <w:rPr>
          <w:rFonts w:hint="eastAsia"/>
          <w:sz w:val="18"/>
          <w:szCs w:val="21"/>
          <w:lang w:val="en-US" w:eastAsia="zh-CN"/>
        </w:rPr>
        <w:t>处理时间</w:t>
      </w:r>
    </w:p>
    <w:p w14:paraId="53F1CC3B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</w:rPr>
        <w:t>RAFT</w:t>
      </w:r>
      <w:r>
        <w:t>算法</w:t>
      </w:r>
      <w:r>
        <w:rPr>
          <w:rFonts w:hint="eastAsia"/>
        </w:rPr>
        <w:t>、UniMatch</w:t>
      </w:r>
      <w:r>
        <w:t>算法</w:t>
      </w:r>
      <w:r>
        <w:rPr>
          <w:rFonts w:hint="eastAsia"/>
        </w:rPr>
        <w:t>、SEA-RAFT</w:t>
      </w:r>
      <w:r>
        <w:t>算法</w:t>
      </w:r>
      <w:r>
        <w:rPr>
          <w:rFonts w:hint="eastAsia"/>
        </w:rPr>
        <w:t>、GMA/RAFT-small fallback</w:t>
      </w:r>
      <w:r>
        <w:t>算法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V107算法（our network）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主训练数据集上，各种方法的训练曲线</w:t>
      </w:r>
      <w:bookmarkStart w:id="0" w:name="_GoBack"/>
      <w:bookmarkEnd w:id="0"/>
    </w:p>
    <w:p w14:paraId="6D3D9600">
      <w:pPr>
        <w:ind w:left="0" w:leftChars="0" w:firstLine="0" w:firstLineChars="0"/>
        <w:jc w:val="center"/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01329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7_training_curv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013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C18C727">
      <w:pPr>
        <w:ind w:firstLine="420"/>
        <w:jc w:val="center"/>
        <w:rPr>
          <w:rFonts w:hint="default" w:eastAsia="宋体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</w:rPr>
        <w:t>图</w:t>
      </w:r>
      <w:r>
        <w:rPr>
          <w:rFonts w:hint="eastAsia"/>
          <w:sz w:val="18"/>
          <w:szCs w:val="21"/>
          <w:lang w:val="en-US" w:eastAsia="zh-CN"/>
        </w:rPr>
        <w:t>2</w:t>
      </w:r>
      <w:r>
        <w:rPr>
          <w:rFonts w:hint="eastAsia"/>
          <w:sz w:val="18"/>
          <w:szCs w:val="21"/>
        </w:rPr>
        <w:t xml:space="preserve"> 各种</w:t>
      </w:r>
      <w:r>
        <w:rPr>
          <w:rFonts w:hint="eastAsia"/>
          <w:sz w:val="18"/>
          <w:szCs w:val="21"/>
          <w:lang w:val="en-US" w:eastAsia="zh-CN"/>
        </w:rPr>
        <w:t>模型训练曲线</w:t>
      </w:r>
    </w:p>
    <w:p w14:paraId="27CEA969">
      <w:pPr>
        <w:ind w:left="0" w:leftChars="0" w:firstLine="0" w:firstLineChars="0"/>
        <w:jc w:val="center"/>
        <w:rPr>
          <w:rFonts w:hint="default"/>
          <w:highlight w:val="red"/>
          <w:lang w:val="en-US" w:eastAsia="zh-CN"/>
        </w:rPr>
      </w:pPr>
    </w:p>
    <w:p w14:paraId="7D1086A7">
      <w:pPr>
        <w:numPr>
          <w:ilvl w:val="0"/>
          <w:numId w:val="1"/>
        </w:numPr>
        <w:ind w:firstLine="420"/>
        <w:rPr>
          <w:rFonts w:hint="eastAsia" w:eastAsia="宋体"/>
          <w:sz w:val="24"/>
          <w:szCs w:val="32"/>
          <w:lang w:eastAsia="zh-CN"/>
        </w:rPr>
      </w:pPr>
      <w:r>
        <w:rPr>
          <w:rFonts w:hint="eastAsia"/>
          <w:sz w:val="32"/>
          <w:szCs w:val="40"/>
          <w:lang w:val="en-US" w:eastAsia="zh-CN"/>
        </w:rPr>
        <w:t>消融实验</w:t>
      </w:r>
    </w:p>
    <w:p w14:paraId="57019468">
      <w:pPr>
        <w:numPr>
          <w:ilvl w:val="0"/>
          <w:numId w:val="0"/>
        </w:numPr>
        <w:rPr>
          <w:rFonts w:hint="eastAsia" w:eastAsia="宋体"/>
          <w:sz w:val="24"/>
          <w:szCs w:val="32"/>
          <w:lang w:eastAsia="zh-CN"/>
        </w:rPr>
      </w:pPr>
      <w:r>
        <w:rPr>
          <w:rFonts w:hint="eastAsia" w:eastAsia="宋体"/>
          <w:sz w:val="24"/>
          <w:szCs w:val="32"/>
          <w:lang w:eastAsia="zh-CN"/>
        </w:rPr>
        <w:t>消融实验，模块增减消融、外部数据消融结果</w:t>
      </w:r>
    </w:p>
    <w:p w14:paraId="25A9A23C">
      <w:pPr>
        <w:ind w:left="0" w:leftChars="0" w:firstLine="0" w:firstLineChars="0"/>
        <w:rPr>
          <w:rFonts w:hint="eastAsia"/>
          <w:lang w:val="en-US" w:eastAsia="zh-CN"/>
        </w:rPr>
      </w:pPr>
    </w:p>
    <w:p w14:paraId="04BAD898">
      <w:pPr>
        <w:ind w:left="0" w:leftChars="0" w:firstLine="0" w:firstLineChars="0"/>
        <w:rPr>
          <w:rFonts w:hint="eastAsia"/>
          <w:highlight w:val="red"/>
          <w:lang w:val="en-US" w:eastAsia="zh-CN"/>
        </w:rPr>
      </w:pPr>
    </w:p>
    <w:p w14:paraId="09D87FAC">
      <w:pPr>
        <w:ind w:left="0" w:leftChars="0" w:firstLine="0" w:firstLineChars="0"/>
        <w:rPr>
          <w:rFonts w:hint="default"/>
          <w:highlight w:val="red"/>
          <w:lang w:val="en-US" w:eastAsia="zh-CN"/>
        </w:rPr>
      </w:pPr>
    </w:p>
    <w:p w14:paraId="591D78A8">
      <w:pPr>
        <w:ind w:firstLine="420"/>
        <w:rPr>
          <w:rFonts w:hint="eastAsia" w:eastAsia="宋体"/>
          <w:lang w:eastAsia="zh-CN"/>
        </w:rPr>
      </w:pPr>
    </w:p>
    <w:p/>
    <w:p>
      <w:r>
        <w:t>消融实验补充说明</w:t>
      </w:r>
    </w:p>
    <w:p>
      <w:r>
        <w:t>消融实验分为两类：第一类是模型模块增减消融，主要观察局部结构约束、anti-ripple 约束和 detail head 对几何误差、边缘保真和 folding 的影响；第二类是外部数据消融，主要观察 Roboflow、UIEB/EUVP 等新增数据对主模型的影响。其中 v107 为当前最终主模型，v108 A-D 为短周期数据消融实验，不作为最终主模型替代。</w:t>
      </w:r>
    </w:p>
    <w:p>
      <w:r>
        <w:t>表3 模块增减消融实验结果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版本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模块/设置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样本数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Crack EPE↓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Global EPE↓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Dice↑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Crack Edge↑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Global Edge↑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Folding↓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结论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v95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High-edge grad 结构强化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18.5378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18.8124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0.4990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0.5409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0.5485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0.0165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后期结构强化基线，边缘保真相对较稳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Anti-ripple / flow 高频约束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18.6239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18.7230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0.4977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0.5389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0.5480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0.0183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用于抑制水纹状伪影，几何指标变化不大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v102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ROI visible-structure + anti-ripple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18.5957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18.7035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0.4973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0.5370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0.5478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0.0193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局部结构目标有效但未带来稳定整体提升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Image-space detail head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18.7798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18.8339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0.4950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0.5377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0.5477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0.0161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细节分支与主 flow 解耦，folding 控制较稳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v106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Strong detail head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18.9560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19.1285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0.4931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0.5367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0.5475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0.0153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继续加强细节后，几何误差未继续下降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最新方法 100 epoch 长训练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15.7590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16.6144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0.5278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0.5534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0.5517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0.0222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当前主模型，综合指标最好，作为最终主结果</w:t>
            </w:r>
          </w:p>
        </w:tc>
      </w:tr>
    </w:tbl>
    <w:p>
      <w:r>
        <w:t>从模块消融结果看，v95 到 v106 的后期模块主要用于抑制局部伪影、增强 ROI 结构和测试细节分支。这些模块对 folding 和局部稳定性有一定帮助，但单独增强局部细节并没有稳定降低 Crack EPE。最终 v107 通过最新方法进行 100 epoch 长训练后，Crack EPE、Global EPE、Dice 和边缘保真均明显优于后期短周期消融版本，因此最终主结果仍采用 v107。</w:t>
      </w:r>
    </w:p>
    <w:p>
      <w:r>
        <w:t>表4 外部数据消融实验结果</w:t>
      </w:r>
    </w:p>
    <w:tbl>
      <w:tblPr>
        <w:tblStyle w:val="4"/>
        <w:tblW w:type="auto" w:w="0"/>
        <w:tblLook w:firstColumn="1" w:firstRow="1" w:lastColumn="0" w:lastRow="0" w:noHBand="0" w:noVBand="1" w:val="04A0"/>
      </w:tblPr>
      <w:tblGrid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  <w:gridCol w:w="831"/>
      </w:tblGrid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版本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模块/设置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样本数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Crack EPE↓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Global EPE↓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Dice↑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Crack Edge↑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Global Edge↑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Folding↓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结论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v107 baseline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原训练集，100 epoch 长训练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15.7639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16.6204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0.5278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0.5534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0.5517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0.0222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当前主模型基准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v108-A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原训练集 + Roboflow underwater crack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12.9118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13.4317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0.5214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0.0328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0.2077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0.0156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EPE / folding 改善，但边缘保真明显下降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v108-B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原训练集 + Roboflow concrete / blue crack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18.6842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19.4804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0.4752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0.4249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0.4474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0.0198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裂缝形态有补充，但整体指标偏弱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v108-C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原训练集 + UIEB / EUVP 水下风格增强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16.0698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16.7491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0.5537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0.3325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0.4379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0.0240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Dice 最好，但 EPE 和边缘保真未全面优于 v107</w:t>
            </w:r>
          </w:p>
        </w:tc>
      </w:tr>
      <w:tr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v108-D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A + B + C 混合外部数据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120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15.3617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15.8224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0.4701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0.1204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0.2413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0.0186</w:t>
            </w:r>
          </w:p>
        </w:tc>
        <w:tc>
          <w:tcPr>
            <w:tcW w:type="dxa" w:w="831"/>
          </w:tcPr>
          <w:p>
            <w:r>
              <w:rPr>
                <w:rFonts w:ascii="Microsoft YaHei" w:hAnsi="Microsoft YaHei"/>
                <w:sz w:val="15"/>
              </w:rPr>
              <w:t>EPE / folding 有改善，但 Dice 和边缘保真下降</w:t>
            </w:r>
          </w:p>
        </w:tc>
      </w:tr>
    </w:tbl>
    <w:p>
      <w:r>
        <w:t>从外部数据消融结果看，Roboflow underwater crack 和混合外部数据可以降低部分几何误差和 folding，但会明显牺牲边缘保真；UIEB/EUVP 风格增强能提高 Dice，但不能同时改善 EPE、边缘保真和 folding。因此新增外部数据目前可以作为消融分析和数据质量讨论的依据，但不建议直接替代原训练集上的 v107 主模型。</w:t>
      </w:r>
    </w:p>
    <w:p/>
    <w:p>
      <w:r>
        <w:rPr>
          <w:rFonts w:ascii="Microsoft YaHei" w:hAnsi="Microsoft YaHei"/>
          <w:b/>
          <w:sz w:val="24"/>
        </w:rPr>
        <w:t>补充图：消融实验和外部数据相关图片</w:t>
      </w:r>
    </w:p>
    <w:p>
      <w:r>
        <w:t>以下补充图用于支撑消融实验、模块增减消融和外部数据消融结果，不改变前文已有指标表、训练曲线和可视化对比内容。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8878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8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图3 用户原始结果与 v107 主模型指标对比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_visual_ablation_metrics_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图4 后期模块消融指标对比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05_v106_detail_diagnostic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图5 v105 / v106 detail-head 诊断曲线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i_sharpness_win_b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图6 ROI 清晰度 win count 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25196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ng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5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图7 早期长训练曲线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07791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flow_underwater_crack_clea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0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图8 Roboflow underwater crack 外部数据代表图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6807791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flow_concrete_crack_clea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807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/>
          <w:sz w:val="18"/>
        </w:rPr>
        <w:t>图9 Roboflow concrete / blue crack 外部数据代表图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EF5789"/>
    <w:multiLevelType w:val="singleLevel"/>
    <w:tmpl w:val="E6EF5789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A806F5"/>
    <w:rsid w:val="33A806F5"/>
    <w:rsid w:val="7AB0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ind w:firstLine="200" w:firstLineChars="20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369</Words>
  <Characters>925</Characters>
  <Lines>0</Lines>
  <Paragraphs>0</Paragraphs>
  <TotalTime>11</TotalTime>
  <ScaleCrop>false</ScaleCrop>
  <LinksUpToDate>false</LinksUpToDate>
  <CharactersWithSpaces>969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2026-07-15T07:27:00Z</dcterms:created>
  <dc:creator>勿忘</dc:creator>
  <cp:lastModifiedBy>勿忘</cp:lastModifiedBy>
  <dcterms:modified xsi:type="dcterms:W3CDTF">2026-07-15T08:54:55Z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CEACCCE3EA964F949211C07C091398A1_13</vt:lpwstr>
  </property>
  <property fmtid="{D5CDD505-2E9C-101B-9397-08002B2CF9AE}" pid="4" name="KSOTemplateDocerSaveRecord">
    <vt:lpwstr>eyJoZGlkIjoiYTgyODc2YzkyMjA4OTBmMTNmMmFkNzc1NmViMWYzZjkiLCJ1c2VySWQiOiI0MjgyODY0MTMifQ==</vt:lpwstr>
  </property>
</Properties>
</file>