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黑体" w:hAnsi="黑体" w:eastAsia="黑体"/>
          <w:color w:val="000000"/>
          <w:sz w:val="32"/>
        </w:rPr>
        <w:t>md2style 综合效果评估文档</w:t>
      </w:r>
    </w:p>
    <w:p>
      <w:pPr>
        <w:ind w:firstLine="420"/>
      </w:pPr>
      <w:r>
        <w:rPr>
          <w:rFonts w:ascii="宋体" w:hAnsi="宋体" w:eastAsia="宋体"/>
          <w:color w:val="000000"/>
          <w:sz w:val="24"/>
        </w:rPr>
        <w:t>本文件用于全面验证渲染器在复杂内容下的表现，覆盖多级标题、嵌套列表、长代码、多表格、引用、分割线等元素。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一、设计理念</w:t>
      </w:r>
    </w:p>
    <w:p>
      <w:pPr>
        <w:ind w:firstLine="420"/>
      </w:pPr>
      <w:r>
        <w:rPr>
          <w:rFonts w:ascii="宋体" w:hAnsi="宋体" w:eastAsia="宋体"/>
          <w:color w:val="000000"/>
          <w:sz w:val="24"/>
        </w:rPr>
        <w:t>md2style 的本质是**用声明式样式表 + 参数白名单取代自由文本描述**，把"排好看点"这类不可执行意图转化为可复用的版式引擎。</w:t>
      </w:r>
    </w:p>
    <w:p>
      <w:pPr>
        <w:ind w:left="340"/>
      </w:pPr>
      <w:r>
        <w:rPr>
          <w:rFonts w:ascii="宋体" w:hAnsi="宋体" w:eastAsia="宋体"/>
          <w:color w:val="000000"/>
          <w:sz w:val="24"/>
        </w:rPr>
        <w:t>引用：好的排版应当有清晰的层级节奏——标题与正文之间、段落与段落之间，都有恰当的呼吸感。</w:t>
      </w:r>
    </w:p>
    <w:p>
      <w:r>
        <w:t>────────────────────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二、功能清单</w:t>
      </w:r>
    </w:p>
    <w:p>
      <w:pPr>
        <w:jc w:val="left"/>
      </w:pPr>
      <w:r>
        <w:rPr>
          <w:rFonts w:ascii="宋体" w:hAnsi="宋体" w:eastAsia="宋体"/>
          <w:color w:val="000000"/>
          <w:sz w:val="26"/>
        </w:rPr>
        <w:t>2.1 转换能力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支持格式：Word（docx）、网页（html）、演示（pptx）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预定义风格：论文、公文、Claude、Mac</w:t>
      </w:r>
    </w:p>
    <w:p>
      <w:pPr>
        <w:pStyle w:val="ListBullet"/>
        <w:ind w:firstLine="420"/>
      </w:pPr>
      <w:r>
        <w:rPr>
          <w:rFonts w:ascii="宋体" w:hAnsi="宋体" w:eastAsia="宋体"/>
          <w:color w:val="000000"/>
          <w:sz w:val="24"/>
        </w:rPr>
        <w:t>参数微调：H1 颜色、字号、正文字体、行距</w:t>
      </w:r>
    </w:p>
    <w:p>
      <w:pPr>
        <w:jc w:val="left"/>
      </w:pPr>
      <w:r>
        <w:rPr>
          <w:rFonts w:ascii="宋体" w:hAnsi="宋体" w:eastAsia="宋体"/>
          <w:color w:val="000000"/>
          <w:sz w:val="26"/>
        </w:rPr>
        <w:t>2.2 逆向学习</w:t>
      </w:r>
    </w:p>
    <w:p>
      <w:pPr>
        <w:pStyle w:val="ListNumber"/>
        <w:ind w:firstLine="420"/>
      </w:pPr>
      <w:r>
        <w:rPr>
          <w:rFonts w:ascii="宋体" w:hAnsi="宋体" w:eastAsia="宋体"/>
          <w:color w:val="000000"/>
          <w:sz w:val="24"/>
        </w:rPr>
        <w:t>用户拖入 Word 模板 → 自动提取样式</w:t>
      </w:r>
    </w:p>
    <w:p>
      <w:pPr>
        <w:pStyle w:val="ListNumber"/>
        <w:ind w:firstLine="420"/>
      </w:pPr>
      <w:r>
        <w:rPr>
          <w:rFonts w:ascii="宋体" w:hAnsi="宋体" w:eastAsia="宋体"/>
          <w:color w:val="000000"/>
          <w:sz w:val="24"/>
        </w:rPr>
        <w:t>用户拖入 HTML 模板 → 提取 CSS 声明</w:t>
      </w:r>
    </w:p>
    <w:p>
      <w:pPr>
        <w:pStyle w:val="ListNumber"/>
        <w:ind w:firstLine="420"/>
      </w:pPr>
      <w:r>
        <w:rPr>
          <w:rFonts w:ascii="宋体" w:hAnsi="宋体" w:eastAsia="宋体"/>
          <w:color w:val="000000"/>
          <w:sz w:val="24"/>
        </w:rPr>
        <w:t>生成 YAML 立即可在下拉框选用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三、代码示例</w:t>
      </w:r>
    </w:p>
    <w:p>
      <w:pPr>
        <w:ind w:firstLine="420"/>
      </w:pPr>
      <w:r>
        <w:rPr>
          <w:rFonts w:ascii="宋体" w:hAnsi="宋体" w:eastAsia="宋体"/>
          <w:color w:val="000000"/>
          <w:sz w:val="24"/>
        </w:rPr>
        <w:t>下面是一段较长的 Python 代码，用于验证代码块在三种格式下的呈现：</w:t>
      </w:r>
    </w:p>
    <w:p>
      <w:pPr>
        <w:ind w:left="283"/>
      </w:pPr>
      <w:r>
        <w:rPr>
          <w:rFonts w:ascii="Consolas" w:hAnsi="Consolas" w:eastAsia="Consolas"/>
          <w:color w:val="333333"/>
          <w:sz w:val="20"/>
        </w:rPr>
        <w:t>from dataclasses import dataclass</w:t>
        <w:br/>
        <w:t>from typing import List</w:t>
        <w:br/>
        <w:br/>
        <w:br/>
        <w:t>@dataclass</w:t>
        <w:br/>
        <w:t>class StyleConfig:</w:t>
        <w:br/>
        <w:t xml:space="preserve">    """样式配置：声明式、可序列化。"""</w:t>
        <w:br/>
        <w:t xml:space="preserve">    headings: dict</w:t>
        <w:br/>
        <w:t xml:space="preserve">    body: dict</w:t>
        <w:br/>
        <w:t xml:space="preserve">    code: dict</w:t>
        <w:br/>
        <w:br/>
        <w:br/>
        <w:t>class Engine:</w:t>
        <w:br/>
        <w:t xml:space="preserve">    def __init__(self, presets: List[StyleConfig]):</w:t>
        <w:br/>
        <w:t xml:space="preserve">        self.presets = {p.name: p for p in presets}</w:t>
        <w:br/>
        <w:br/>
        <w:t xml:space="preserve">    def resolve(self, name: str, overrides: dict) -&gt; StyleConfig:</w:t>
        <w:br/>
        <w:t xml:space="preserve">        base = self.presets.get(name, StyleConfig.default())</w:t>
        <w:br/>
        <w:t xml:space="preserve">        return base.merge(overrides)</w:t>
        <w:br/>
        <w:br/>
        <w:t xml:space="preserve">    def validate(self, cfg: StyleConfig) -&gt; None:</w:t>
        <w:br/>
        <w:t xml:space="preserve">        for h, spec in cfg.headings.items():</w:t>
        <w:br/>
        <w:t xml:space="preserve">            if not (8 &lt;= spec.size &lt;= 72):</w:t>
        <w:br/>
        <w:t xml:space="preserve">                raise ValueError(f"{h} 字号越界: {spec.size}")</w:t>
        <w:br/>
      </w:r>
    </w:p>
    <w:p>
      <w:pPr>
        <w:ind w:firstLine="420"/>
      </w:pPr>
      <w:r>
        <w:rPr>
          <w:rFonts w:ascii="宋体" w:hAnsi="宋体" w:eastAsia="宋体"/>
          <w:color w:val="000000"/>
          <w:sz w:val="24"/>
        </w:rPr>
        <w:t>行内代码如 `StyleConfig.merge()` 也会被保留。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四、对比表格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维度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论文风格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公文风格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Claude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Mac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标题字体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黑体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方正小标宋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Georgia 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SF 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正文字体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宋体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仿宋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系统无衬线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SF 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标题对齐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居中（红头）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正文缩进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2 字符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2 字符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无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无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分割线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实线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实线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柔和灰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柔和灰</w:t>
            </w:r>
          </w:p>
        </w:tc>
      </w:tr>
    </w:tbl>
    <w:p>
      <w:pPr>
        <w:jc w:val="left"/>
      </w:pPr>
      <w:r>
        <w:rPr>
          <w:rFonts w:ascii="宋体" w:hAnsi="宋体" w:eastAsia="宋体"/>
          <w:color w:val="000000"/>
          <w:sz w:val="26"/>
        </w:rPr>
        <w:t>4.1 表格二（数值型）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指标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目标值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实测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达标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单次转换耗时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&lt; 5s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0.3s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是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样式偏差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是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学习闭环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完整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完整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是</w:t>
            </w:r>
          </w:p>
        </w:tc>
      </w:tr>
    </w:tbl>
    <w:p>
      <w:pPr>
        <w:jc w:val="left"/>
      </w:pPr>
      <w:r>
        <w:rPr>
          <w:rFonts w:ascii="黑体" w:hAnsi="黑体" w:eastAsia="黑体"/>
          <w:color w:val="000000"/>
          <w:sz w:val="28"/>
        </w:rPr>
        <w:t>五、嵌套内容演示</w:t>
      </w:r>
    </w:p>
    <w:p>
      <w:pPr>
        <w:ind w:left="340"/>
      </w:pPr>
      <w:r>
        <w:rPr>
          <w:rFonts w:ascii="宋体" w:hAnsi="宋体" w:eastAsia="宋体"/>
          <w:color w:val="000000"/>
          <w:sz w:val="24"/>
        </w:rPr>
        <w:t>外层引用： 回到外层。</w:t>
      </w:r>
    </w:p>
    <w:p>
      <w:pPr>
        <w:jc w:val="left"/>
      </w:pPr>
      <w:r>
        <w:rPr>
          <w:rFonts w:ascii="黑体" w:hAnsi="黑体" w:eastAsia="黑体"/>
          <w:color w:val="000000"/>
          <w:sz w:val="28"/>
        </w:rPr>
        <w:t>六、结尾说明</w:t>
      </w:r>
    </w:p>
    <w:p>
      <w:pPr>
        <w:ind w:firstLine="420"/>
      </w:pPr>
      <w:r>
        <w:rPr>
          <w:rFonts w:ascii="宋体" w:hAnsi="宋体" w:eastAsia="宋体"/>
          <w:color w:val="000000"/>
          <w:sz w:val="24"/>
        </w:rPr>
        <w:t>以上覆盖了常见 Markdown 语义节点。三种格式的渲染应分别体现各自风格的"原版观感"：</w:t>
        <w:br/>
        <w:t>公文严肃规整、论文学术克制、Claude 优雅留白、Mac 现代圆润。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