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BF8F7BE" w14:textId="0DC3D318" w:rsidR="00AE53D9" w:rsidRPr="00752D46" w:rsidRDefault="00405D75" w:rsidP="00635FE5">
      <w:pPr>
        <w:pStyle w:val="Heading1"/>
        <w:spacing w:after="120" w:line="360" w:lineRule="auto"/>
        <w:jc w:val="both"/>
        <w:rPr>
          <w:rFonts w:ascii="Arial" w:hAnsi="Arial" w:cs="Arial"/>
          <w:lang w:eastAsia="zh-TW"/>
        </w:rPr>
      </w:pPr>
      <w:r w:rsidRPr="00752D46">
        <w:rPr>
          <w:rFonts w:ascii="Arial" w:hAnsi="Arial" w:cs="Arial"/>
          <w:lang w:eastAsia="zh-TW"/>
        </w:rPr>
        <w:t>Model Data Input</w:t>
      </w:r>
    </w:p>
    <w:p w14:paraId="2B3F8649" w14:textId="15DA7BE7" w:rsidR="00405D75" w:rsidRPr="00752D46" w:rsidRDefault="00405D75" w:rsidP="00635FE5">
      <w:pPr>
        <w:pStyle w:val="Heading2"/>
        <w:spacing w:after="120" w:line="360" w:lineRule="auto"/>
        <w:jc w:val="both"/>
        <w:rPr>
          <w:rFonts w:ascii="Arial" w:hAnsi="Arial" w:cs="Arial"/>
          <w:lang w:eastAsia="zh-TW"/>
        </w:rPr>
      </w:pPr>
      <w:r w:rsidRPr="00752D46">
        <w:rPr>
          <w:rFonts w:ascii="Arial" w:hAnsi="Arial" w:cs="Arial"/>
          <w:lang w:eastAsia="zh-TW"/>
        </w:rPr>
        <w:t>Training-set</w:t>
      </w:r>
    </w:p>
    <w:p w14:paraId="69F59CA9" w14:textId="151BB0C3" w:rsidR="00405D75" w:rsidRPr="00752D46" w:rsidRDefault="00405D75" w:rsidP="00635FE5">
      <w:pPr>
        <w:spacing w:after="120" w:line="360" w:lineRule="auto"/>
        <w:jc w:val="both"/>
        <w:rPr>
          <w:rFonts w:ascii="Arial" w:hAnsi="Arial" w:cs="Arial"/>
          <w:lang w:eastAsia="zh-TW"/>
        </w:rPr>
      </w:pPr>
      <w:r w:rsidRPr="00752D46">
        <w:rPr>
          <w:rFonts w:ascii="Arial" w:hAnsi="Arial" w:cs="Arial"/>
          <w:lang w:eastAsia="zh-TW"/>
        </w:rPr>
        <w:t>Train data gives policy’s next year premium. Column names speak for themselves.</w:t>
      </w:r>
    </w:p>
    <w:p w14:paraId="622E328A" w14:textId="77777777" w:rsidR="00405D75" w:rsidRPr="00752D46" w:rsidRDefault="00405D75" w:rsidP="00635FE5">
      <w:pPr>
        <w:spacing w:after="120" w:line="360" w:lineRule="auto"/>
        <w:jc w:val="both"/>
        <w:rPr>
          <w:rFonts w:ascii="Arial" w:hAnsi="Arial" w:cs="Arial"/>
          <w:lang w:eastAsia="zh-TW"/>
        </w:rPr>
      </w:pPr>
    </w:p>
    <w:p w14:paraId="25144652" w14:textId="02CBE101" w:rsidR="00405D75" w:rsidRPr="00752D46" w:rsidRDefault="00405D75" w:rsidP="00635FE5">
      <w:pPr>
        <w:pStyle w:val="Heading2"/>
        <w:spacing w:after="120" w:line="360" w:lineRule="auto"/>
        <w:jc w:val="both"/>
        <w:rPr>
          <w:rFonts w:ascii="Arial" w:hAnsi="Arial" w:cs="Arial"/>
          <w:lang w:eastAsia="zh-TW"/>
        </w:rPr>
      </w:pPr>
      <w:r w:rsidRPr="00752D46">
        <w:rPr>
          <w:rFonts w:ascii="Arial" w:hAnsi="Arial" w:cs="Arial"/>
          <w:lang w:eastAsia="zh-TW"/>
        </w:rPr>
        <w:t>Policy Data</w:t>
      </w:r>
    </w:p>
    <w:p w14:paraId="71319CC3" w14:textId="55BE959D" w:rsidR="00405D75" w:rsidRPr="00752D46" w:rsidRDefault="00405D75" w:rsidP="00635FE5">
      <w:pPr>
        <w:spacing w:after="120" w:line="360" w:lineRule="auto"/>
        <w:jc w:val="both"/>
        <w:rPr>
          <w:rFonts w:ascii="Arial" w:hAnsi="Arial" w:cs="Arial"/>
          <w:lang w:eastAsia="zh-TW"/>
        </w:rPr>
      </w:pPr>
      <w:r w:rsidRPr="00752D46">
        <w:rPr>
          <w:rFonts w:ascii="Arial" w:hAnsi="Arial" w:cs="Arial"/>
          <w:lang w:eastAsia="zh-TW"/>
        </w:rPr>
        <w:t>Policy data gives contract level information. One policy is composed of one or more contracts. Each contract differs by insurance coverage, e.g. 16G, 16P, &amp; etc. Part of the column explanation can be found below:</w:t>
      </w:r>
    </w:p>
    <w:p w14:paraId="5E10709F" w14:textId="73CE967B" w:rsidR="00405D75" w:rsidRPr="00752D46" w:rsidRDefault="00405D75" w:rsidP="00635FE5">
      <w:pPr>
        <w:pStyle w:val="ListParagraph"/>
        <w:numPr>
          <w:ilvl w:val="0"/>
          <w:numId w:val="1"/>
        </w:numPr>
        <w:spacing w:after="120" w:line="360" w:lineRule="auto"/>
        <w:jc w:val="both"/>
        <w:rPr>
          <w:rFonts w:ascii="Arial" w:hAnsi="Arial" w:cs="Arial"/>
          <w:lang w:eastAsia="zh-TW"/>
        </w:rPr>
      </w:pPr>
      <w:r w:rsidRPr="00752D46">
        <w:rPr>
          <w:rFonts w:ascii="Arial" w:hAnsi="Arial" w:cs="Arial"/>
          <w:lang w:eastAsia="zh-TW"/>
        </w:rPr>
        <w:t xml:space="preserve">Insured Amount: Insured amounts are comparable only between contracts of one insurance coverage. </w:t>
      </w:r>
      <w:r w:rsidR="00635FE5" w:rsidRPr="00752D46">
        <w:rPr>
          <w:rFonts w:ascii="Arial" w:hAnsi="Arial" w:cs="Arial"/>
          <w:lang w:eastAsia="zh-TW"/>
        </w:rPr>
        <w:t>Insured amounts are named implicitly within each insurance coverage, but differently across coverages.</w:t>
      </w:r>
    </w:p>
    <w:p w14:paraId="576FDBE0" w14:textId="009C1D36" w:rsidR="00635FE5" w:rsidRPr="00752D46" w:rsidRDefault="00635FE5" w:rsidP="00635FE5">
      <w:pPr>
        <w:pStyle w:val="ListParagraph"/>
        <w:numPr>
          <w:ilvl w:val="0"/>
          <w:numId w:val="1"/>
        </w:numPr>
        <w:spacing w:after="120" w:line="360" w:lineRule="auto"/>
        <w:jc w:val="both"/>
        <w:rPr>
          <w:rFonts w:ascii="Arial" w:hAnsi="Arial" w:cs="Arial"/>
          <w:lang w:eastAsia="zh-TW"/>
        </w:rPr>
      </w:pPr>
      <w:r w:rsidRPr="00752D46">
        <w:rPr>
          <w:rFonts w:ascii="Arial" w:hAnsi="Arial" w:cs="Arial"/>
          <w:lang w:eastAsia="zh-TW"/>
        </w:rPr>
        <w:t>Coverage Deductible If Applied: Same as above.</w:t>
      </w:r>
    </w:p>
    <w:p w14:paraId="07CB76EF" w14:textId="595974A8" w:rsidR="00635FE5" w:rsidRPr="00752D46" w:rsidRDefault="00635FE5" w:rsidP="00635FE5">
      <w:pPr>
        <w:pStyle w:val="ListParagraph"/>
        <w:numPr>
          <w:ilvl w:val="0"/>
          <w:numId w:val="1"/>
        </w:numPr>
        <w:spacing w:after="120" w:line="360" w:lineRule="auto"/>
        <w:jc w:val="both"/>
        <w:rPr>
          <w:rFonts w:ascii="Arial" w:hAnsi="Arial" w:cs="Arial"/>
          <w:lang w:eastAsia="zh-TW"/>
        </w:rPr>
      </w:pPr>
      <w:r w:rsidRPr="00752D46">
        <w:rPr>
          <w:rFonts w:ascii="Arial" w:hAnsi="Arial" w:cs="Arial"/>
          <w:lang w:eastAsia="zh-TW"/>
        </w:rPr>
        <w:t>Replacement Cost of Insured Vehicle: Replacement cost is in the unit of 10,000. This value is used in premium when the cost of recovering equals to replacement, e.g. theft.</w:t>
      </w:r>
    </w:p>
    <w:p w14:paraId="57DD3E47" w14:textId="03BFFAA6" w:rsidR="00635FE5" w:rsidRPr="00752D46" w:rsidRDefault="00635FE5" w:rsidP="00635FE5">
      <w:pPr>
        <w:pStyle w:val="ListParagraph"/>
        <w:numPr>
          <w:ilvl w:val="0"/>
          <w:numId w:val="1"/>
        </w:numPr>
        <w:spacing w:after="120" w:line="360" w:lineRule="auto"/>
        <w:jc w:val="both"/>
        <w:rPr>
          <w:rFonts w:ascii="Arial" w:hAnsi="Arial" w:cs="Arial"/>
          <w:lang w:eastAsia="zh-TW"/>
        </w:rPr>
      </w:pPr>
      <w:r w:rsidRPr="00752D46">
        <w:rPr>
          <w:rFonts w:ascii="Arial" w:hAnsi="Arial" w:cs="Arial"/>
          <w:lang w:eastAsia="zh-TW"/>
        </w:rPr>
        <w:t>Distribution Channel: Distribution channels can be categorized into two types, direct and indirect. Direct channel means a multiplier of 1/0.7927 in the premium; indirect channel means a multiplier of 1/0.65 in the premium.</w:t>
      </w:r>
    </w:p>
    <w:p w14:paraId="6258F830" w14:textId="77777777" w:rsidR="00405D75" w:rsidRPr="00752D46" w:rsidRDefault="00405D75" w:rsidP="00635FE5">
      <w:pPr>
        <w:spacing w:after="120" w:line="360" w:lineRule="auto"/>
        <w:jc w:val="both"/>
        <w:rPr>
          <w:rFonts w:ascii="Arial" w:hAnsi="Arial" w:cs="Arial"/>
          <w:lang w:eastAsia="zh-TW"/>
        </w:rPr>
      </w:pPr>
      <w:bookmarkStart w:id="0" w:name="_GoBack"/>
      <w:bookmarkEnd w:id="0"/>
    </w:p>
    <w:p w14:paraId="79D004A9" w14:textId="6283A214" w:rsidR="00405D75" w:rsidRPr="00752D46" w:rsidRDefault="00405D75" w:rsidP="00635FE5">
      <w:pPr>
        <w:pStyle w:val="Heading2"/>
        <w:spacing w:after="120" w:line="360" w:lineRule="auto"/>
        <w:jc w:val="both"/>
        <w:rPr>
          <w:rFonts w:ascii="Arial" w:hAnsi="Arial" w:cs="Arial"/>
          <w:lang w:eastAsia="zh-TW"/>
        </w:rPr>
      </w:pPr>
      <w:r w:rsidRPr="00752D46">
        <w:rPr>
          <w:rFonts w:ascii="Arial" w:hAnsi="Arial" w:cs="Arial"/>
          <w:lang w:eastAsia="zh-TW"/>
        </w:rPr>
        <w:t>Claim Data</w:t>
      </w:r>
    </w:p>
    <w:p w14:paraId="76FF6E78" w14:textId="22A01A60" w:rsidR="00635FE5" w:rsidRPr="00752D46" w:rsidRDefault="00635FE5" w:rsidP="00635FE5">
      <w:pPr>
        <w:rPr>
          <w:rFonts w:ascii="Arial" w:hAnsi="Arial" w:cs="Arial"/>
          <w:lang w:eastAsia="zh-TW"/>
        </w:rPr>
      </w:pPr>
      <w:r w:rsidRPr="00752D46">
        <w:rPr>
          <w:rFonts w:ascii="Arial" w:hAnsi="Arial" w:cs="Arial"/>
          <w:lang w:eastAsia="zh-TW"/>
        </w:rPr>
        <w:t>Claim data has not been examined fully yet.</w:t>
      </w:r>
    </w:p>
    <w:p w14:paraId="403DEC54" w14:textId="77777777" w:rsidR="00635FE5" w:rsidRPr="00752D46" w:rsidRDefault="00635FE5" w:rsidP="00635FE5">
      <w:pPr>
        <w:rPr>
          <w:rFonts w:ascii="Arial" w:hAnsi="Arial" w:cs="Arial"/>
          <w:lang w:eastAsia="zh-TW"/>
        </w:rPr>
      </w:pPr>
    </w:p>
    <w:p w14:paraId="1D5CD77F" w14:textId="3CEC54FC" w:rsidR="00405D75" w:rsidRPr="00752D46" w:rsidRDefault="006A6109" w:rsidP="00635FE5">
      <w:pPr>
        <w:pStyle w:val="Heading1"/>
        <w:spacing w:after="120" w:line="360" w:lineRule="auto"/>
        <w:jc w:val="both"/>
        <w:rPr>
          <w:rFonts w:ascii="Arial" w:hAnsi="Arial" w:cs="Arial"/>
          <w:lang w:eastAsia="zh-TW"/>
        </w:rPr>
      </w:pPr>
      <w:r w:rsidRPr="00752D46">
        <w:rPr>
          <w:rFonts w:ascii="Arial" w:hAnsi="Arial" w:cs="Arial"/>
          <w:lang w:eastAsia="zh-TW"/>
        </w:rPr>
        <w:t>Data Preprocess</w:t>
      </w:r>
    </w:p>
    <w:p w14:paraId="3C254515" w14:textId="57A7136D" w:rsidR="006A6109" w:rsidRPr="00752D46" w:rsidRDefault="006A6109" w:rsidP="006A6109">
      <w:pPr>
        <w:pStyle w:val="Heading2"/>
        <w:spacing w:after="120" w:line="360" w:lineRule="auto"/>
        <w:jc w:val="both"/>
        <w:rPr>
          <w:rFonts w:ascii="Arial" w:hAnsi="Arial" w:cs="Arial"/>
          <w:lang w:eastAsia="zh-TW"/>
        </w:rPr>
      </w:pPr>
      <w:r w:rsidRPr="00752D46">
        <w:rPr>
          <w:rFonts w:ascii="Arial" w:hAnsi="Arial" w:cs="Arial"/>
          <w:lang w:eastAsia="zh-TW"/>
        </w:rPr>
        <w:t xml:space="preserve">Method 1: </w:t>
      </w:r>
      <w:r w:rsidR="00405D75" w:rsidRPr="00752D46">
        <w:rPr>
          <w:rFonts w:ascii="Arial" w:hAnsi="Arial" w:cs="Arial"/>
          <w:lang w:eastAsia="zh-TW"/>
        </w:rPr>
        <w:t>Group by Main Coverage</w:t>
      </w:r>
    </w:p>
    <w:p w14:paraId="7C057423" w14:textId="0A1F8AF3" w:rsidR="006A6109" w:rsidRPr="00752D46" w:rsidRDefault="006A6109" w:rsidP="006A6109">
      <w:pPr>
        <w:rPr>
          <w:rFonts w:ascii="Arial" w:hAnsi="Arial" w:cs="Arial"/>
          <w:lang w:eastAsia="zh-TW"/>
        </w:rPr>
      </w:pPr>
      <w:r w:rsidRPr="00752D46">
        <w:rPr>
          <w:rFonts w:ascii="Arial" w:hAnsi="Arial" w:cs="Arial"/>
          <w:lang w:eastAsia="zh-TW"/>
        </w:rPr>
        <w:t xml:space="preserve">This method </w:t>
      </w:r>
      <w:r w:rsidR="00752D46" w:rsidRPr="00752D46">
        <w:rPr>
          <w:rFonts w:ascii="Arial" w:hAnsi="Arial" w:cs="Arial"/>
          <w:lang w:eastAsia="zh-TW"/>
        </w:rPr>
        <w:t>will group Policy Data and Claim Data at policy number level. Independent variable dimensions will be consistent.</w:t>
      </w:r>
    </w:p>
    <w:p w14:paraId="3FA11889" w14:textId="77777777" w:rsidR="006A6109" w:rsidRPr="00752D46" w:rsidRDefault="006A6109" w:rsidP="006A6109">
      <w:pPr>
        <w:rPr>
          <w:rFonts w:ascii="Arial" w:hAnsi="Arial" w:cs="Arial"/>
          <w:lang w:eastAsia="zh-TW"/>
        </w:rPr>
      </w:pPr>
    </w:p>
    <w:p w14:paraId="0864189D" w14:textId="518525BC" w:rsidR="006A6109" w:rsidRPr="00752D46" w:rsidRDefault="006A6109" w:rsidP="006A6109">
      <w:pPr>
        <w:pStyle w:val="Heading1"/>
        <w:rPr>
          <w:rFonts w:ascii="Arial" w:hAnsi="Arial" w:cs="Arial"/>
          <w:lang w:eastAsia="zh-TW"/>
        </w:rPr>
      </w:pPr>
      <w:r w:rsidRPr="00752D46">
        <w:rPr>
          <w:rFonts w:ascii="Arial" w:hAnsi="Arial" w:cs="Arial"/>
          <w:lang w:eastAsia="zh-TW"/>
        </w:rPr>
        <w:t>Model Specification and Assumption</w:t>
      </w:r>
    </w:p>
    <w:sectPr w:rsidR="006A6109" w:rsidRPr="00752D46" w:rsidSect="000E4E2E"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宋体"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37BD7A76"/>
    <w:multiLevelType w:val="hybridMultilevel"/>
    <w:tmpl w:val="85A805C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84317"/>
    <w:rsid w:val="000E4E2E"/>
    <w:rsid w:val="00104FAA"/>
    <w:rsid w:val="00384317"/>
    <w:rsid w:val="00405D75"/>
    <w:rsid w:val="005724A1"/>
    <w:rsid w:val="00635FE5"/>
    <w:rsid w:val="006A6109"/>
    <w:rsid w:val="00752D46"/>
    <w:rsid w:val="007D3431"/>
    <w:rsid w:val="00E72B0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7827C5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zh-CN" w:bidi="ar-SA"/>
      </w:rPr>
    </w:rPrDefault>
    <w:pPrDefault/>
  </w:docDefaults>
  <w:latentStyles w:defLockedState="0" w:defUIPriority="99" w:defSemiHidden="0" w:defUnhideWhenUsed="0" w:defQFormat="0" w:count="380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05D75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05D75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05D7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405D75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ListParagraph">
    <w:name w:val="List Paragraph"/>
    <w:basedOn w:val="Normal"/>
    <w:uiPriority w:val="34"/>
    <w:qFormat/>
    <w:rsid w:val="00405D75"/>
    <w:pPr>
      <w:ind w:left="720"/>
      <w:contextualSpacing/>
    </w:pPr>
  </w:style>
  <w:style w:type="paragraph" w:styleId="DocumentMap">
    <w:name w:val="Document Map"/>
    <w:basedOn w:val="Normal"/>
    <w:link w:val="DocumentMapChar"/>
    <w:uiPriority w:val="99"/>
    <w:semiHidden/>
    <w:unhideWhenUsed/>
    <w:rsid w:val="00752D46"/>
    <w:rPr>
      <w:rFonts w:ascii="Times New Roman" w:hAnsi="Times New Roman" w:cs="Times New Roman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752D46"/>
    <w:rPr>
      <w:rFonts w:ascii="Times New Roman" w:hAnsi="Times New Roman"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ntTable" Target="fontTable.xml"/><Relationship Id="rId7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GostTitle.XSL" StyleName="GOST - Title Sort"/>
</file>

<file path=customXml/itemProps1.xml><?xml version="1.0" encoding="utf-8"?>
<ds:datastoreItem xmlns:ds="http://schemas.openxmlformats.org/officeDocument/2006/customXml" ds:itemID="{9CD8B004-1B10-A849-94C5-84D80EA6F12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Model Documentation.dotx</Template>
  <TotalTime>33</TotalTime>
  <Pages>1</Pages>
  <Words>186</Words>
  <Characters>1062</Characters>
  <Application>Microsoft Macintosh Word</Application>
  <DocSecurity>0</DocSecurity>
  <Lines>8</Lines>
  <Paragraphs>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6</vt:i4>
      </vt:variant>
    </vt:vector>
  </HeadingPairs>
  <TitlesOfParts>
    <vt:vector size="7" baseType="lpstr">
      <vt:lpstr/>
      <vt:lpstr>Model Data Input</vt:lpstr>
      <vt:lpstr>    Training-set</vt:lpstr>
      <vt:lpstr>    Policy Data</vt:lpstr>
      <vt:lpstr>    Claim Data</vt:lpstr>
      <vt:lpstr>Preprocessing</vt:lpstr>
      <vt:lpstr>    Group by Main Coverage</vt:lpstr>
    </vt:vector>
  </TitlesOfParts>
  <LinksUpToDate>false</LinksUpToDate>
  <CharactersWithSpaces>1246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Zhuoren HE</dc:creator>
  <cp:keywords/>
  <dc:description/>
  <cp:lastModifiedBy>Zhuoren HE</cp:lastModifiedBy>
  <cp:revision>5</cp:revision>
  <dcterms:created xsi:type="dcterms:W3CDTF">2018-08-02T04:15:00Z</dcterms:created>
  <dcterms:modified xsi:type="dcterms:W3CDTF">2018-08-02T04:54:00Z</dcterms:modified>
</cp:coreProperties>
</file>