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eastAsia="宋体"/>
          <w:sz w:val="28"/>
          <w:lang w:val="en-US" w:eastAsia="zh-Hans"/>
        </w:rPr>
      </w:pPr>
      <w:bookmarkStart w:id="0" w:name="_Toc508721104"/>
      <w:r>
        <w:rPr>
          <w:rFonts w:hint="eastAsia"/>
          <w:szCs w:val="28"/>
        </w:rPr>
        <w:t>实验</w:t>
      </w:r>
      <w:r>
        <w:rPr>
          <w:rFonts w:hint="eastAsia"/>
          <w:szCs w:val="28"/>
          <w:lang w:val="en-US" w:eastAsia="zh-CN"/>
        </w:rPr>
        <w:t>六</w:t>
      </w:r>
      <w:bookmarkEnd w:id="0"/>
      <w:r>
        <w:rPr>
          <w:rFonts w:hint="eastAsia"/>
          <w:szCs w:val="28"/>
          <w:lang w:val="en-US" w:eastAsia="zh-CN"/>
        </w:rPr>
        <w:t xml:space="preserve">  </w:t>
      </w:r>
      <w:r>
        <w:rPr>
          <w:rFonts w:hint="eastAsia"/>
          <w:sz w:val="28"/>
          <w:lang w:val="en-US" w:eastAsia="zh-Hans"/>
        </w:rPr>
        <w:t>子类与继承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黑体" w:eastAsia="黑体"/>
          <w:sz w:val="24"/>
        </w:rPr>
        <w:t xml:space="preserve">实验目的 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子类的继承性</w:t>
      </w:r>
      <w:r>
        <w:rPr>
          <w:rFonts w:hint="default" w:ascii="宋体" w:hAnsi="宋体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子类对象的创建过程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成员变量的继承与隐藏</w:t>
      </w:r>
      <w:r>
        <w:rPr>
          <w:rFonts w:hint="default" w:ascii="宋体" w:hAnsi="宋体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方法的继承与重写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二、</w:t>
      </w:r>
      <w:r>
        <w:rPr>
          <w:rFonts w:hint="eastAsia" w:ascii="黑体" w:eastAsia="黑体"/>
          <w:sz w:val="24"/>
        </w:rPr>
        <w:t xml:space="preserve">预习内容 </w:t>
      </w:r>
      <w:r>
        <w:rPr>
          <w:rFonts w:hint="eastAsia" w:ascii="宋体" w:hAnsi="宋体"/>
          <w:szCs w:val="21"/>
        </w:rPr>
        <w:t xml:space="preserve">  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java的基本语法知识</w:t>
      </w:r>
    </w:p>
    <w:p>
      <w:pPr>
        <w:rPr>
          <w:rFonts w:hint="eastAsia"/>
          <w:sz w:val="24"/>
          <w:szCs w:val="21"/>
        </w:rPr>
      </w:pPr>
      <w:r>
        <w:rPr>
          <w:rFonts w:hint="eastAsia" w:ascii="黑体" w:hAnsi="宋体" w:eastAsia="黑体"/>
          <w:b/>
          <w:bCs/>
          <w:sz w:val="24"/>
          <w:szCs w:val="21"/>
        </w:rPr>
        <w:t>三、</w:t>
      </w:r>
      <w:r>
        <w:rPr>
          <w:rFonts w:hint="eastAsia" w:ascii="黑体" w:eastAsia="黑体"/>
          <w:sz w:val="24"/>
        </w:rPr>
        <w:t>实验设备与环境</w:t>
      </w:r>
      <w:r>
        <w:rPr>
          <w:rFonts w:hint="eastAsia"/>
          <w:sz w:val="24"/>
          <w:szCs w:val="21"/>
        </w:rPr>
        <w:t xml:space="preserve"> </w:t>
      </w:r>
    </w:p>
    <w:p>
      <w:pPr>
        <w:ind w:left="420"/>
        <w:rPr>
          <w:rFonts w:hint="eastAsia"/>
        </w:rPr>
      </w:pPr>
      <w:r>
        <w:rPr>
          <w:rFonts w:hint="eastAsia"/>
          <w:szCs w:val="21"/>
        </w:rPr>
        <w:t>装有JAVA语言工具软件的</w:t>
      </w:r>
      <w:r>
        <w:rPr>
          <w:rFonts w:hint="eastAsia"/>
          <w:szCs w:val="21"/>
          <w:lang w:val="en-US" w:eastAsia="zh-Hans"/>
        </w:rPr>
        <w:t>电脑</w:t>
      </w:r>
      <w:r>
        <w:rPr>
          <w:rFonts w:hint="eastAsia"/>
          <w:szCs w:val="21"/>
        </w:rPr>
        <w:t>若干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四、实验内容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必做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eastAsia="zh-CN" w:bidi="ar"/>
        </w:rPr>
        <w:t>1、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编写程序模拟中国人、美国人是人，北京人是中国人。除主关外，该程所中还有People、Chinese、American 和 Beijingman 4 个类。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要求如下：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(1） People 类有权限是protected 的 double型成员变量 height 和 weight，以及 public void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speakHello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、public void averageHeight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和 public void averageWeight0方法。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2) Chinese 类是 People 的子类，新增了 public void chinaGongfu0方法，要求Chinese重写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父类的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speakHello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averageHeight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averageWeight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(3) American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类是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People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的子类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新增了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americanBoxing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方法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要求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American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重写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父类的 publi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c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void speak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ello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averageHeight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averageWeight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4) Beijineman 类是 Chinese 的子类，新增了 pubie void beijingOpera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方法，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要求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Bejingman 重写父类的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speakHello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averageHeight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public void averageWeight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both"/>
        <w:rPr>
          <w:rFonts w:hint="default" w:ascii="宋体" w:hAnsi="宋体" w:cs="宋体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Hans" w:bidi="ar"/>
        </w:rPr>
        <w:t>提示</w:t>
      </w: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People、Chinese、American 和 Beijingman类</w:t>
      </w:r>
      <w:r>
        <w:rPr>
          <w:rFonts w:hint="eastAsia" w:ascii="宋体" w:hAnsi="宋体" w:cs="宋体"/>
          <w:kern w:val="0"/>
          <w:sz w:val="21"/>
          <w:szCs w:val="21"/>
          <w:lang w:val="en-US" w:eastAsia="zh-Hans" w:bidi="ar"/>
        </w:rPr>
        <w:t>的URL图如图所示</w:t>
      </w: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/>
        <w:jc w:val="center"/>
        <w:rPr>
          <w:rFonts w:hint="default" w:ascii="宋体" w:hAnsi="宋体" w:cs="宋体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drawing>
          <wp:inline distT="0" distB="0" distL="114300" distR="114300">
            <wp:extent cx="2479675" cy="2320290"/>
            <wp:effectExtent l="0" t="0" r="9525" b="16510"/>
            <wp:docPr id="8" name="图片 8" descr="WechatIMG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2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right="0"/>
        <w:jc w:val="both"/>
        <w:rPr>
          <w:rFonts w:hint="default" w:ascii="宋体" w:hAnsi="宋体" w:eastAsia="宋体" w:cs="宋体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Hans" w:bidi="ar"/>
        </w:rPr>
        <w:t>编写银行计算利息</w:t>
      </w: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Hans" w:bidi="ar"/>
        </w:rPr>
        <w:t>要求如下</w:t>
      </w: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eastAsia="zh-Hans" w:bidi="ar"/>
        </w:rPr>
        <w:t>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假设银行 Bank 己经有了按整年 year 计 算利息的一般方法，其中year 只能取正整数。比如按整年计算的方法如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下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double computerInterest (){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200" w:right="0" w:rightChars="0"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interest=year*0.35*savedMoney;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200" w:right="0" w:rightChars="0"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return interest;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建设银行 ConstructionBank 是 Bank 的子类，准备隐藏继承的成员变量 year，并重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写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计算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利息的方法，即自己声明一个double型的year变量，比如，当year取值为 5.216时，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表示要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计算5年零216天的利息，但希望首先按银行 Bank 的方法 computerInterest()计算出5整年的利息，然后再自己计算216天的利息。那么，建设银行就必须把 5.216 的整数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部分赋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给隐藏的year，并让super调用隐藏的、按整年计算利息的方法。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要求ConstructionBank类和 BankOfDalian类是Bank类的子类，ConstructionBank类和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BankOfDalian类都使用super调用隐藏的成员变量和方法。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cs="宋体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Hans" w:bidi="ar"/>
        </w:rPr>
        <w:t>提示</w:t>
      </w: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t>：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ConstructionBank类</w:t>
      </w:r>
      <w:r>
        <w:rPr>
          <w:rFonts w:hint="default" w:ascii="宋体" w:hAnsi="宋体" w:cs="宋体"/>
          <w:kern w:val="0"/>
          <w:sz w:val="21"/>
          <w:szCs w:val="21"/>
          <w:lang w:eastAsia="zh-CN" w:bidi="ar"/>
        </w:rPr>
        <w:t>、</w:t>
      </w:r>
      <w:r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  <w:t>BankOfDalian类是Bank类</w:t>
      </w:r>
      <w:r>
        <w:rPr>
          <w:rFonts w:hint="eastAsia" w:ascii="宋体" w:hAnsi="宋体" w:cs="宋体"/>
          <w:kern w:val="0"/>
          <w:sz w:val="21"/>
          <w:szCs w:val="21"/>
          <w:lang w:val="en-US" w:eastAsia="zh-Hans" w:bidi="ar"/>
        </w:rPr>
        <w:t>的UML图如下所示</w:t>
      </w: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t>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default"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 w:ascii="宋体" w:hAnsi="宋体" w:cs="宋体"/>
          <w:kern w:val="0"/>
          <w:sz w:val="21"/>
          <w:szCs w:val="21"/>
          <w:lang w:eastAsia="zh-Hans" w:bidi="ar"/>
        </w:rPr>
        <w:drawing>
          <wp:inline distT="0" distB="0" distL="114300" distR="114300">
            <wp:extent cx="2123440" cy="3241040"/>
            <wp:effectExtent l="0" t="0" r="10160" b="10160"/>
            <wp:docPr id="10" name="图片 10" descr="WechatIMG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IMG2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34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bookmarkStart w:id="1" w:name="_GoBack"/>
      <w:r>
        <w:rPr>
          <w:rFonts w:hint="eastAsia"/>
          <w:b/>
          <w:bCs/>
          <w:sz w:val="28"/>
        </w:rPr>
        <w:t>选做</w:t>
      </w:r>
    </w:p>
    <w:bookmarkEnd w:id="1"/>
    <w:p>
      <w:pPr>
        <w:numPr>
          <w:ilvl w:val="0"/>
          <w:numId w:val="4"/>
        </w:numPr>
        <w:ind w:left="360" w:leftChars="0" w:hanging="36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Hans"/>
        </w:rPr>
        <w:t>计算公司支出的总薪水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要求如下</w:t>
      </w:r>
      <w:r>
        <w:rPr>
          <w:rFonts w:hint="default"/>
          <w:b/>
          <w:bCs/>
          <w:lang w:eastAsia="zh-Hans"/>
        </w:rPr>
        <w:t>：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要求有一个abstract类，类名为Employee。Employee的子类有YearWorker、MonthWorker</w:t>
      </w:r>
      <w:r>
        <w:rPr>
          <w:rFonts w:hint="default"/>
          <w:b w:val="0"/>
          <w:bCs w:val="0"/>
        </w:rPr>
        <w:t>、</w:t>
      </w:r>
      <w:r>
        <w:rPr>
          <w:rFonts w:hint="eastAsia"/>
          <w:b w:val="0"/>
          <w:bCs w:val="0"/>
        </w:rPr>
        <w:t>WeekWorker。YearWorker对象按年领取薪水，MonthWorker按月领取薪水，WeekWorker校周领取薪水。Employce类有一个abstract方法：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 abstract earnings ();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子类必须重写父类的 earnings0方法，给出各自领取新水的具体方式。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b w:val="0"/>
          <w:bCs w:val="0"/>
        </w:rPr>
        <w:t>另外有一个Company类，该类用Employee对象数组作为成员，Employee对象数组的单元可以是Yearworker对象的上转型对象、MonthWorker对象的上转型对象或WeekWorker对象的上转型对象。程序能输出Company对象一年需要支付的薪水总额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五、注意事项</w:t>
      </w:r>
    </w:p>
    <w:p>
      <w:pPr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⒈认真填写实验报告并在下课前上传报告和代码。</w:t>
      </w:r>
    </w:p>
    <w:p>
      <w:pPr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⒉遵守实验室各项制度，服从实验指导教师的安排</w:t>
      </w:r>
    </w:p>
    <w:p>
      <w:pPr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⒊按规定的时间完成实验</w:t>
      </w:r>
    </w:p>
    <w:p>
      <w:pPr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 xml:space="preserve">六、说明 </w:t>
      </w:r>
    </w:p>
    <w:p>
      <w:pPr>
        <w:spacing w:line="360" w:lineRule="exact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建议学时数2学时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2057"/>
    <w:multiLevelType w:val="singleLevel"/>
    <w:tmpl w:val="FFFF205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8191817"/>
    <w:multiLevelType w:val="multilevel"/>
    <w:tmpl w:val="481918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86A1B"/>
    <w:multiLevelType w:val="multilevel"/>
    <w:tmpl w:val="54A86A1B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 w:ascii="黑体" w:eastAsia="黑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CE55F07"/>
    <w:multiLevelType w:val="multilevel"/>
    <w:tmpl w:val="6CE55F07"/>
    <w:lvl w:ilvl="0" w:tentative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111E05F4"/>
    <w:rsid w:val="156D154B"/>
    <w:rsid w:val="169071A7"/>
    <w:rsid w:val="1DF55B9C"/>
    <w:rsid w:val="2038262B"/>
    <w:rsid w:val="2F10497B"/>
    <w:rsid w:val="537B7FBC"/>
    <w:rsid w:val="5AAA7304"/>
    <w:rsid w:val="68152BB6"/>
    <w:rsid w:val="6F1D59BF"/>
    <w:rsid w:val="DFD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0">
    <w:name w:val="无间隔 Char"/>
    <w:link w:val="11"/>
    <w:qFormat/>
    <w:locked/>
    <w:uiPriority w:val="1"/>
    <w:rPr>
      <w:rFonts w:ascii="Calibri" w:hAnsi="Calibri" w:cs="Calibri"/>
      <w:sz w:val="22"/>
    </w:rPr>
  </w:style>
  <w:style w:type="paragraph" w:styleId="11">
    <w:name w:val="No Spacing"/>
    <w:link w:val="10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12">
    <w:name w:val="标题 Char"/>
    <w:basedOn w:val="8"/>
    <w:link w:val="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487</Words>
  <Characters>2776</Characters>
  <Lines>1</Lines>
  <Paragraphs>1</Paragraphs>
  <TotalTime>11</TotalTime>
  <ScaleCrop>false</ScaleCrop>
  <LinksUpToDate>false</LinksUpToDate>
  <CharactersWithSpaces>3257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2019-02-19T17:00:00Z</dcterms:created>
  <dc:creator>User</dc:creator>
  <cp:lastModifiedBy>Rudy</cp:lastModifiedBy>
  <dcterms:modified xsi:type="dcterms:W3CDTF">2023-04-03T21:25:47Z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2D0DC28D9E114DB98B0D88EA2AE03B94</vt:lpwstr>
  </property>
</Properties>
</file>