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00"/>
        <w:jc w:val="center"/>
      </w:pPr>
      <w:r>
        <w:rPr>
          <w:rFonts w:ascii="SimHei" w:cs="SimHei" w:eastAsia="SimHei" w:hAnsi="SimHei"/>
          <w:b/>
          <w:bCs/>
          <w:sz w:val="52"/>
          <w:szCs w:val="52"/>
        </w:rPr>
        <w:t xml:space="preserve">MBA学位论文</w:t>
      </w:r>
    </w:p>
    <w:p>
      <w:pPr>
        <w:spacing w:after="200"/>
      </w:pPr>
    </w:p>
    <w:p>
      <w:pPr>
        <w:spacing w:after="200"/>
        <w:jc w:val="center"/>
      </w:pPr>
      <w:r>
        <w:rPr>
          <w:rFonts w:ascii="SimHei" w:cs="SimHei" w:eastAsia="SimHei" w:hAnsi="SimHei"/>
          <w:b/>
          <w:bCs/>
          <w:sz w:val="44"/>
          <w:szCs w:val="44"/>
        </w:rPr>
        <w:t xml:space="preserve">REITs对受困房企的变革效应研究</w:t>
      </w:r>
    </w:p>
    <w:p>
      <w:pPr>
        <w:spacing w:after="100"/>
        <w:jc w:val="center"/>
      </w:pPr>
      <w:r>
        <w:rPr>
          <w:rFonts w:ascii="SimHei" w:cs="SimHei" w:eastAsia="SimHei" w:hAnsi="SimHei"/>
          <w:sz w:val="36"/>
          <w:szCs w:val="36"/>
        </w:rPr>
        <w:t xml:space="preserve">——以大悦城为例</w:t>
      </w:r>
    </w:p>
    <w:p>
      <w:pPr>
        <w:spacing w:after="200"/>
      </w:pPr>
    </w:p>
    <w:p>
      <w:pPr>
        <w:spacing w:after="200"/>
      </w:pPr>
    </w:p>
    <w:p>
      <w:pPr>
        <w:spacing w:after="200"/>
      </w:pPr>
    </w:p>
    <w:p>
      <w:pPr>
        <w:spacing w:after="200"/>
      </w:pPr>
    </w:p>
    <w:p>
      <w:pPr>
        <w:spacing w:after="200"/>
      </w:pPr>
    </w:p>
    <w:p>
      <w:pPr>
        <w:spacing w:after="200"/>
      </w:pPr>
    </w:p>
    <w:p>
      <w:pPr>
        <w:spacing w:after="200"/>
      </w:pPr>
    </w:p>
    <w:p>
      <w:pPr>
        <w:spacing w:after="200"/>
      </w:pPr>
    </w:p>
    <w:p>
      <w:pPr>
        <w:spacing w:after="80"/>
        <w:jc w:val="center"/>
      </w:pPr>
      <w:r>
        <w:rPr>
          <w:rFonts w:ascii="SimSun" w:cs="SimSun" w:eastAsia="SimSun" w:hAnsi="SimSun"/>
          <w:sz w:val="28"/>
          <w:szCs w:val="28"/>
        </w:rPr>
        <w:t xml:space="preserve">申请人：</w:t>
      </w:r>
      <w:r>
        <w:rPr>
          <w:rFonts w:ascii="SimSun" w:cs="SimSun" w:eastAsia="SimSun" w:hAnsi="SimSun"/>
          <w:sz w:val="28"/>
          <w:szCs w:val="28"/>
          <w:u w:val="single"/>
        </w:rPr>
        <w:t xml:space="preserve">江峰</w:t>
      </w:r>
    </w:p>
    <w:p>
      <w:pPr>
        <w:spacing w:after="60"/>
      </w:pPr>
    </w:p>
    <w:p>
      <w:pPr>
        <w:spacing w:after="80"/>
        <w:jc w:val="center"/>
      </w:pPr>
      <w:r>
        <w:rPr>
          <w:rFonts w:ascii="SimSun" w:cs="SimSun" w:eastAsia="SimSun" w:hAnsi="SimSun"/>
          <w:sz w:val="28"/>
          <w:szCs w:val="28"/>
        </w:rPr>
        <w:t xml:space="preserve">研究方向：</w:t>
      </w:r>
      <w:r>
        <w:rPr>
          <w:rFonts w:ascii="SimSun" w:cs="SimSun" w:eastAsia="SimSun" w:hAnsi="SimSun"/>
          <w:sz w:val="28"/>
          <w:szCs w:val="28"/>
          <w:u w:val="single"/>
        </w:rPr>
        <w:t xml:space="preserve">房地产金融与资产证券化</w:t>
      </w:r>
    </w:p>
    <w:p>
      <w:pPr>
        <w:spacing w:after="60"/>
      </w:pPr>
    </w:p>
    <w:p>
      <w:pPr>
        <w:spacing w:after="80"/>
        <w:jc w:val="center"/>
      </w:pPr>
      <w:r>
        <w:rPr>
          <w:rFonts w:ascii="SimSun" w:cs="SimSun" w:eastAsia="SimSun" w:hAnsi="SimSun"/>
          <w:sz w:val="28"/>
          <w:szCs w:val="28"/>
        </w:rPr>
        <w:t xml:space="preserve">指导教师：</w:t>
      </w:r>
      <w:r>
        <w:rPr>
          <w:rFonts w:ascii="SimSun" w:cs="SimSun" w:eastAsia="SimSun" w:hAnsi="SimSun"/>
          <w:sz w:val="28"/>
          <w:szCs w:val="28"/>
          <w:u w:val="single"/>
        </w:rPr>
        <w:t xml:space="preserve">　　　　　</w:t>
      </w:r>
    </w:p>
    <w:p>
      <w:pPr>
        <w:spacing w:after="200"/>
      </w:pPr>
    </w:p>
    <w:p>
      <w:pPr>
        <w:spacing w:after="200"/>
      </w:pPr>
    </w:p>
    <w:p>
      <w:pPr>
        <w:spacing w:after="200"/>
      </w:pPr>
    </w:p>
    <w:p>
      <w:pPr>
        <w:spacing w:after="200"/>
      </w:pPr>
    </w:p>
    <w:p>
      <w:pPr>
        <w:spacing w:after="60"/>
        <w:jc w:val="center"/>
      </w:pPr>
      <w:r>
        <w:rPr>
          <w:rFonts w:ascii="SimSun" w:cs="SimSun" w:eastAsia="SimSun" w:hAnsi="SimSun"/>
          <w:sz w:val="28"/>
          <w:szCs w:val="28"/>
        </w:rPr>
        <w:t xml:space="preserve">二〇二六年四月</w:t>
      </w:r>
    </w:p>
    <w:p>
      <w:r>
        <w:br w:type="page"/>
      </w:r>
    </w:p>
    <w:p>
      <w:pPr>
        <w:spacing w:after="360" w:before="240"/>
        <w:jc w:val="center"/>
      </w:pPr>
      <w:r>
        <w:rPr>
          <w:rFonts w:ascii="SimHei" w:cs="SimHei" w:eastAsia="SimHei" w:hAnsi="SimHei"/>
          <w:b/>
          <w:bCs/>
          <w:sz w:val="36"/>
          <w:szCs w:val="36"/>
        </w:rP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rFonts w:ascii="SimHei" w:cs="SimHei" w:eastAsia="SimHei" w:hAnsi="SimHei"/>
          <w:b/>
          <w:bCs/>
          <w:sz w:val="32"/>
          <w:szCs w:val="32"/>
        </w:rPr>
        <w:t xml:space="preserve">第一章 绪论</w:t>
      </w:r>
    </w:p>
    <w:p>
      <w:pPr>
        <w:pStyle w:val="Heading2"/>
        <w:spacing w:after="180" w:before="360"/>
      </w:pPr>
      <w:r>
        <w:rPr>
          <w:rFonts w:ascii="SimHei" w:cs="SimHei" w:eastAsia="SimHei" w:hAnsi="SimHei"/>
          <w:b/>
          <w:bCs/>
          <w:sz w:val="28"/>
          <w:szCs w:val="28"/>
        </w:rPr>
        <w:t xml:space="preserve">1.1 研究背景与意义</w:t>
      </w:r>
    </w:p>
    <w:p>
      <w:pPr>
        <w:pStyle w:val="Heading3"/>
        <w:spacing w:after="120" w:before="240"/>
      </w:pPr>
      <w:r>
        <w:rPr>
          <w:rFonts w:ascii="SimHei" w:cs="SimHei" w:eastAsia="SimHei" w:hAnsi="SimHei"/>
          <w:b/>
          <w:bCs/>
          <w:sz w:val="24"/>
          <w:szCs w:val="24"/>
        </w:rPr>
        <w:t xml:space="preserve">1.1.1 宏观背景</w:t>
      </w:r>
    </w:p>
    <w:p>
      <w:pPr>
        <w:pStyle w:val="Heading4"/>
        <w:spacing w:after="120" w:before="180"/>
      </w:pPr>
      <w:r>
        <w:rPr>
          <w:rFonts w:ascii="SimHei" w:cs="SimHei" w:eastAsia="SimHei" w:hAnsi="SimHei"/>
          <w:b/>
          <w:bCs/>
          <w:sz w:val="24"/>
          <w:szCs w:val="24"/>
        </w:rPr>
        <w:t xml:space="preserve">（1）房地产行业深度调整</w:t>
      </w:r>
    </w:p>
    <w:p>
      <w:pPr>
        <w:spacing w:after="60" w:line="360"/>
        <w:ind w:firstLine="480"/>
        <w:jc w:val="both"/>
      </w:pPr>
      <w:r>
        <w:rPr>
          <w:rFonts w:ascii="SimSun" w:cs="SimSun" w:eastAsia="SimSun" w:hAnsi="SimSun"/>
          <w:b w:val="false"/>
          <w:bCs w:val="false"/>
          <w:i w:val="false"/>
          <w:iCs w:val="false"/>
          <w:strike w:val="false"/>
          <w:sz w:val="24"/>
          <w:szCs w:val="24"/>
        </w:rPr>
        <w:t xml:space="preserve">进入21世纪20年代中期，中国房地产行业经历了从"黄金时代"向"白银时代"的深刻转变。伴随"房住不炒"政策的持续深化、人口结构变化以及经济转型压力，传统房地产开发模式面临前所未有的挑战。2024年，全国商品房销售面积同比下降8.7%，房地产投资增速放缓至2.1%，房企利润空间持续收窄（国家统计局，2025）。在这一背景下，房企亟需寻找新的增长路径和转型方向。</w:t>
      </w:r>
    </w:p>
    <w:p>
      <w:pPr>
        <w:pStyle w:val="Heading4"/>
        <w:spacing w:after="120" w:before="180"/>
      </w:pPr>
      <w:r>
        <w:rPr>
          <w:rFonts w:ascii="SimHei" w:cs="SimHei" w:eastAsia="SimHei" w:hAnsi="SimHei"/>
          <w:b/>
          <w:bCs/>
          <w:sz w:val="24"/>
          <w:szCs w:val="24"/>
        </w:rPr>
        <w:t xml:space="preserve">（2）REITs市场快速发展</w:t>
      </w:r>
    </w:p>
    <w:p>
      <w:pPr>
        <w:spacing w:after="60" w:line="360"/>
        <w:ind w:firstLine="480"/>
        <w:jc w:val="both"/>
      </w:pPr>
      <w:r>
        <w:rPr>
          <w:rFonts w:ascii="SimSun" w:cs="SimSun" w:eastAsia="SimSun" w:hAnsi="SimSun"/>
          <w:b w:val="false"/>
          <w:bCs w:val="false"/>
          <w:i w:val="false"/>
          <w:iCs w:val="false"/>
          <w:strike w:val="false"/>
          <w:sz w:val="24"/>
          <w:szCs w:val="24"/>
        </w:rPr>
        <w:t xml:space="preserve">2020年4月，中国证监会、国家发展改革委联合发布《关于推进基础设施领域不动产投资信托基金（REITs）试点相关工作的通知》，标志着中国公募REITs市场正式启动。2024年，消费基础设施被纳入REITs试点范围，为商业地产企业提供了资产证券化的新通道。截至2024年底，中国公募REITs市场总规模已达1661.64亿元，其中消费基础设施REITs成为市场新宠（中国证监会，2025）。</w:t>
      </w:r>
    </w:p>
    <w:p>
      <w:pPr>
        <w:pStyle w:val="Heading4"/>
        <w:spacing w:after="120" w:before="180"/>
      </w:pPr>
      <w:r>
        <w:rPr>
          <w:rFonts w:ascii="SimHei" w:cs="SimHei" w:eastAsia="SimHei" w:hAnsi="SimHei"/>
          <w:b/>
          <w:bCs/>
          <w:sz w:val="24"/>
          <w:szCs w:val="24"/>
        </w:rPr>
        <w:t xml:space="preserve">（3）房企财务困境加剧</w:t>
      </w:r>
    </w:p>
    <w:p>
      <w:pPr>
        <w:spacing w:after="60" w:line="360"/>
        <w:ind w:firstLine="480"/>
        <w:jc w:val="both"/>
      </w:pPr>
      <w:r>
        <w:rPr>
          <w:rFonts w:ascii="SimSun" w:cs="SimSun" w:eastAsia="SimSun" w:hAnsi="SimSun"/>
          <w:b w:val="false"/>
          <w:bCs w:val="false"/>
          <w:i w:val="false"/>
          <w:iCs w:val="false"/>
          <w:strike w:val="false"/>
          <w:sz w:val="24"/>
          <w:szCs w:val="24"/>
        </w:rPr>
        <w:t xml:space="preserve">在行业调整期，部分房企面临严重的财务压力。2024年，大悦城控股集团股份有限公司发布年度报告显示，公司实现营业收入357.91亿元，同比下降2.70%；实现净利润-29.77亿元，同比下降103.14%，首次出现年度亏损。同时，公司经营活动产生的现金流量净额为66.17亿元，同比下降37.82%，筹资活动现金流量净额为-93.14亿元，现金流状况持续恶化（大悦城，2024年年报）。</w:t>
      </w:r>
    </w:p>
    <w:p>
      <w:pPr>
        <w:pStyle w:val="Heading3"/>
        <w:spacing w:after="120" w:before="240"/>
      </w:pPr>
      <w:r>
        <w:rPr>
          <w:rFonts w:ascii="SimHei" w:cs="SimHei" w:eastAsia="SimHei" w:hAnsi="SimHei"/>
          <w:b/>
          <w:bCs/>
          <w:sz w:val="24"/>
          <w:szCs w:val="24"/>
        </w:rPr>
        <w:t xml:space="preserve">1.1.2 微观背景</w:t>
      </w:r>
    </w:p>
    <w:p>
      <w:pPr>
        <w:pStyle w:val="Heading4"/>
        <w:spacing w:after="120" w:before="180"/>
      </w:pPr>
      <w:r>
        <w:rPr>
          <w:rFonts w:ascii="SimHei" w:cs="SimHei" w:eastAsia="SimHei" w:hAnsi="SimHei"/>
          <w:b/>
          <w:bCs/>
          <w:sz w:val="24"/>
          <w:szCs w:val="24"/>
        </w:rPr>
        <w:t xml:space="preserve">（1）大悦城案例的典型性</w:t>
      </w:r>
    </w:p>
    <w:p>
      <w:pPr>
        <w:spacing w:after="60" w:line="360"/>
        <w:ind w:firstLine="480"/>
        <w:jc w:val="both"/>
      </w:pPr>
      <w:r>
        <w:rPr>
          <w:rFonts w:ascii="SimSun" w:cs="SimSun" w:eastAsia="SimSun" w:hAnsi="SimSun"/>
          <w:b w:val="false"/>
          <w:bCs w:val="false"/>
          <w:i w:val="false"/>
          <w:iCs w:val="false"/>
          <w:strike w:val="false"/>
          <w:sz w:val="24"/>
          <w:szCs w:val="24"/>
        </w:rPr>
        <w:t xml:space="preserve">大悦城控股作为中国商业地产的重要参与者，其发展轨迹具有典型性。公司业务结构以商业地产运营为主，2024年商品房销售收入占比达到79.31%，对房地产市场波动高度敏感。在行业下行周期中，公司面临着收入下降、成本上升、融资困难等多重压力，成为受困房企的典型案例。</w:t>
      </w:r>
    </w:p>
    <w:p>
      <w:pPr>
        <w:pStyle w:val="Heading4"/>
        <w:spacing w:after="120" w:before="180"/>
      </w:pPr>
      <w:r>
        <w:rPr>
          <w:rFonts w:ascii="SimHei" w:cs="SimHei" w:eastAsia="SimHei" w:hAnsi="SimHei"/>
          <w:b/>
          <w:bCs/>
          <w:sz w:val="24"/>
          <w:szCs w:val="24"/>
        </w:rPr>
        <w:t xml:space="preserve">（2）REITs作为解决方案的探索</w:t>
      </w:r>
    </w:p>
    <w:p>
      <w:pPr>
        <w:spacing w:after="60" w:line="360"/>
        <w:ind w:firstLine="480"/>
        <w:jc w:val="both"/>
      </w:pPr>
      <w:r>
        <w:rPr>
          <w:rFonts w:ascii="SimSun" w:cs="SimSun" w:eastAsia="SimSun" w:hAnsi="SimSun"/>
          <w:b w:val="false"/>
          <w:bCs w:val="false"/>
          <w:i w:val="false"/>
          <w:iCs w:val="false"/>
          <w:strike w:val="false"/>
          <w:sz w:val="24"/>
          <w:szCs w:val="24"/>
        </w:rPr>
        <w:t xml:space="preserve">为缓解财务困境，大悦城积极推进资产证券化。2024年5月24日，华夏大悦城购物中心封闭式基础设施证券投资基金（基金代码：180603）申报材料获受理，成为西南地区首单消费基础设施REITs。该REITs以成都大悦城购物中心为底层资产，发行规模33亿元，预计年化现金流分派率为5.25%-5.36%（深交所，2024）。</w:t>
      </w:r>
    </w:p>
    <w:p>
      <w:pPr>
        <w:pStyle w:val="Heading4"/>
        <w:spacing w:after="120" w:before="180"/>
      </w:pPr>
      <w:r>
        <w:rPr>
          <w:rFonts w:ascii="SimHei" w:cs="SimHei" w:eastAsia="SimHei" w:hAnsi="SimHei"/>
          <w:b/>
          <w:bCs/>
          <w:sz w:val="24"/>
          <w:szCs w:val="24"/>
        </w:rPr>
        <w:t xml:space="preserve">（3）行业转型的迫切需求</w:t>
      </w:r>
    </w:p>
    <w:p>
      <w:pPr>
        <w:spacing w:after="60" w:line="360"/>
        <w:ind w:firstLine="480"/>
        <w:jc w:val="both"/>
      </w:pPr>
      <w:r>
        <w:rPr>
          <w:rFonts w:ascii="SimSun" w:cs="SimSun" w:eastAsia="SimSun" w:hAnsi="SimSun"/>
          <w:b w:val="false"/>
          <w:bCs w:val="false"/>
          <w:i w:val="false"/>
          <w:iCs w:val="false"/>
          <w:strike w:val="false"/>
          <w:sz w:val="24"/>
          <w:szCs w:val="24"/>
        </w:rPr>
        <w:t xml:space="preserve">房地产企业从"开发商"向"运营商"、"资管商"转型已成为行业共识。REITs不仅能够提供融资渠道，更能推动企业商业模式转型，实现轻资产运营。万科、华润置地、中国金茂等头部房企已通过REITs实现资产盘活和战略转型，为行业提供了可借鉴的实践经验。</w:t>
      </w:r>
    </w:p>
    <w:p>
      <w:pPr>
        <w:pStyle w:val="Heading3"/>
        <w:spacing w:after="120" w:before="240"/>
      </w:pPr>
      <w:r>
        <w:rPr>
          <w:rFonts w:ascii="SimHei" w:cs="SimHei" w:eastAsia="SimHei" w:hAnsi="SimHei"/>
          <w:b/>
          <w:bCs/>
          <w:sz w:val="24"/>
          <w:szCs w:val="24"/>
        </w:rPr>
        <w:t xml:space="preserve">1.1.3 理论意义</w:t>
      </w:r>
    </w:p>
    <w:p>
      <w:pPr>
        <w:pStyle w:val="Heading4"/>
        <w:spacing w:after="120" w:before="180"/>
      </w:pPr>
      <w:r>
        <w:rPr>
          <w:rFonts w:ascii="SimHei" w:cs="SimHei" w:eastAsia="SimHei" w:hAnsi="SimHei"/>
          <w:b/>
          <w:bCs/>
          <w:sz w:val="24"/>
          <w:szCs w:val="24"/>
        </w:rPr>
        <w:t xml:space="preserve">（1）丰富REITs理论研究</w:t>
      </w:r>
    </w:p>
    <w:p>
      <w:pPr>
        <w:spacing w:after="60" w:line="360"/>
        <w:ind w:firstLine="480"/>
        <w:jc w:val="both"/>
      </w:pPr>
      <w:r>
        <w:rPr>
          <w:rFonts w:ascii="SimSun" w:cs="SimSun" w:eastAsia="SimSun" w:hAnsi="SimSun"/>
          <w:b w:val="false"/>
          <w:bCs w:val="false"/>
          <w:i w:val="false"/>
          <w:iCs w:val="false"/>
          <w:strike w:val="false"/>
          <w:sz w:val="24"/>
          <w:szCs w:val="24"/>
        </w:rPr>
        <w:t xml:space="preserve">现有REITs研究多集中于成熟市场经验介绍、定价模型构建、投资组合优化等领域，对于REITs在特定情境下的应用效果研究相对不足。本研究聚焦于REITs对受困房企的救援效应，丰富了REITs理论的应用场景，拓展了REITs研究的理论边界。</w:t>
      </w:r>
    </w:p>
    <w:p>
      <w:pPr>
        <w:pStyle w:val="Heading4"/>
        <w:spacing w:after="120" w:before="180"/>
      </w:pPr>
      <w:r>
        <w:rPr>
          <w:rFonts w:ascii="SimHei" w:cs="SimHei" w:eastAsia="SimHei" w:hAnsi="SimHei"/>
          <w:b/>
          <w:bCs/>
          <w:sz w:val="24"/>
          <w:szCs w:val="24"/>
        </w:rPr>
        <w:t xml:space="preserve">（2）深化财务困境研究</w:t>
      </w:r>
    </w:p>
    <w:p>
      <w:pPr>
        <w:spacing w:after="60" w:line="360"/>
        <w:ind w:firstLine="480"/>
        <w:jc w:val="both"/>
      </w:pPr>
      <w:r>
        <w:rPr>
          <w:rFonts w:ascii="SimSun" w:cs="SimSun" w:eastAsia="SimSun" w:hAnsi="SimSun"/>
          <w:b w:val="false"/>
          <w:bCs w:val="false"/>
          <w:i w:val="false"/>
          <w:iCs w:val="false"/>
          <w:strike w:val="false"/>
          <w:sz w:val="24"/>
          <w:szCs w:val="24"/>
        </w:rPr>
        <w:t xml:space="preserve">财务困境理论主要关注困境识别、预警模型和恢复策略，对于REITs这一特定金融工具在财务困境缓解中的作用机制缺乏系统研究。本研究构建了REITs影响受困房企的理论框架，深化了财务困境解决机制的研究。</w:t>
      </w:r>
    </w:p>
    <w:p>
      <w:pPr>
        <w:pStyle w:val="Heading4"/>
        <w:spacing w:after="120" w:before="180"/>
      </w:pPr>
      <w:r>
        <w:rPr>
          <w:rFonts w:ascii="SimHei" w:cs="SimHei" w:eastAsia="SimHei" w:hAnsi="SimHei"/>
          <w:b/>
          <w:bCs/>
          <w:sz w:val="24"/>
          <w:szCs w:val="24"/>
        </w:rPr>
        <w:t xml:space="preserve">（3）拓展资产证券化理论</w:t>
      </w:r>
    </w:p>
    <w:p>
      <w:pPr>
        <w:spacing w:after="60" w:line="360"/>
        <w:ind w:firstLine="480"/>
        <w:jc w:val="both"/>
      </w:pPr>
      <w:r>
        <w:rPr>
          <w:rFonts w:ascii="SimSun" w:cs="SimSun" w:eastAsia="SimSun" w:hAnsi="SimSun"/>
          <w:b w:val="false"/>
          <w:bCs w:val="false"/>
          <w:i w:val="false"/>
          <w:iCs w:val="false"/>
          <w:strike w:val="false"/>
          <w:sz w:val="24"/>
          <w:szCs w:val="24"/>
        </w:rPr>
        <w:t xml:space="preserve">资产证券化理论强调资产剥离、风险隔离和现金流重组，但对于证券化过程对企业财务结构和经营绩效的影响研究有限。本研究通过案例分析，揭示了REITs对企业资产负债结构、现金流状况和市场价值的系统性影响，拓展了资产证券化理论。</w:t>
      </w:r>
    </w:p>
    <w:p>
      <w:pPr>
        <w:pStyle w:val="Heading3"/>
        <w:spacing w:after="120" w:before="240"/>
      </w:pPr>
      <w:r>
        <w:rPr>
          <w:rFonts w:ascii="SimHei" w:cs="SimHei" w:eastAsia="SimHei" w:hAnsi="SimHei"/>
          <w:b/>
          <w:bCs/>
          <w:sz w:val="24"/>
          <w:szCs w:val="24"/>
        </w:rPr>
        <w:t xml:space="preserve">1.1.4 实践意义</w:t>
      </w:r>
    </w:p>
    <w:p>
      <w:pPr>
        <w:pStyle w:val="Heading4"/>
        <w:spacing w:after="120" w:before="180"/>
      </w:pPr>
      <w:r>
        <w:rPr>
          <w:rFonts w:ascii="SimHei" w:cs="SimHei" w:eastAsia="SimHei" w:hAnsi="SimHei"/>
          <w:b/>
          <w:bCs/>
          <w:sz w:val="24"/>
          <w:szCs w:val="24"/>
        </w:rPr>
        <w:t xml:space="preserve">（1）为企业提供决策参考</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本研究通过大悦城案例分析，揭示了REITs对受困房企的具体影响机制和实际效果，为面临类似困境的房地产企业提供了决策参考。研究结果可以帮助企业评估REITs发行的可行性、时机选择和潜在收益。</w:t>
      </w:r>
    </w:p>
    <w:p>
      <w:pPr>
        <w:pStyle w:val="Heading4"/>
        <w:spacing w:after="120" w:before="180"/>
      </w:pPr>
      <w:r>
        <w:rPr>
          <w:rFonts w:ascii="SimHei" w:cs="SimHei" w:eastAsia="SimHei" w:hAnsi="SimHei"/>
          <w:b/>
          <w:bCs/>
          <w:sz w:val="24"/>
          <w:szCs w:val="24"/>
        </w:rPr>
        <w:t xml:space="preserve">（2）为投资者提供分析框架</w:t>
      </w:r>
    </w:p>
    <w:p>
      <w:pPr>
        <w:spacing w:after="60" w:line="360"/>
        <w:ind w:firstLine="480"/>
        <w:jc w:val="both"/>
      </w:pPr>
      <w:r>
        <w:rPr>
          <w:rFonts w:ascii="SimSun" w:cs="SimSun" w:eastAsia="SimSun" w:hAnsi="SimSun"/>
          <w:b w:val="false"/>
          <w:bCs w:val="false"/>
          <w:i w:val="false"/>
          <w:iCs w:val="false"/>
          <w:strike w:val="false"/>
          <w:sz w:val="24"/>
          <w:szCs w:val="24"/>
        </w:rPr>
        <w:t xml:space="preserve">REITs投资者需要评估底层资产质量、发行主体信用和潜在收益。本研究提供了评估房企REITs投资价值的分析框架，帮助投资者识别投资机会、控制投资风险。</w:t>
      </w:r>
    </w:p>
    <w:p>
      <w:pPr>
        <w:pStyle w:val="Heading4"/>
        <w:spacing w:after="120" w:before="180"/>
      </w:pPr>
      <w:r>
        <w:rPr>
          <w:rFonts w:ascii="SimHei" w:cs="SimHei" w:eastAsia="SimHei" w:hAnsi="SimHei"/>
          <w:b/>
          <w:bCs/>
          <w:sz w:val="24"/>
          <w:szCs w:val="24"/>
        </w:rPr>
        <w:t xml:space="preserve">（3）为政策制定提供依据</w:t>
      </w:r>
    </w:p>
    <w:p>
      <w:pPr>
        <w:spacing w:after="60" w:line="360"/>
        <w:ind w:firstLine="480"/>
        <w:jc w:val="both"/>
      </w:pPr>
      <w:r>
        <w:rPr>
          <w:rFonts w:ascii="SimSun" w:cs="SimSun" w:eastAsia="SimSun" w:hAnsi="SimSun"/>
          <w:b w:val="false"/>
          <w:bCs w:val="false"/>
          <w:i w:val="false"/>
          <w:iCs w:val="false"/>
          <w:strike w:val="false"/>
          <w:sz w:val="24"/>
          <w:szCs w:val="24"/>
        </w:rPr>
        <w:t xml:space="preserve">REITs政策制定需要考虑市场反应、企业需求和监管效果。本研究通过实证分析，揭示了REITs政策的实际效果和潜在问题，为政策优化提供了实证依据。</w:t>
      </w:r>
    </w:p>
    <w:p>
      <w:pPr>
        <w:pStyle w:val="Heading2"/>
        <w:spacing w:after="180" w:before="360"/>
      </w:pPr>
      <w:r>
        <w:rPr>
          <w:rFonts w:ascii="SimHei" w:cs="SimHei" w:eastAsia="SimHei" w:hAnsi="SimHei"/>
          <w:b/>
          <w:bCs/>
          <w:sz w:val="28"/>
          <w:szCs w:val="28"/>
        </w:rPr>
        <w:t xml:space="preserve">1.2 研究问题与目标</w:t>
      </w:r>
    </w:p>
    <w:p>
      <w:pPr>
        <w:pStyle w:val="Heading3"/>
        <w:spacing w:after="120" w:before="240"/>
      </w:pPr>
      <w:r>
        <w:rPr>
          <w:rFonts w:ascii="SimHei" w:cs="SimHei" w:eastAsia="SimHei" w:hAnsi="SimHei"/>
          <w:b/>
          <w:bCs/>
          <w:sz w:val="24"/>
          <w:szCs w:val="24"/>
        </w:rPr>
        <w:t xml:space="preserve">1.2.1 核心研究问题</w:t>
      </w:r>
    </w:p>
    <w:p>
      <w:pPr>
        <w:spacing w:after="60" w:line="360"/>
        <w:ind w:firstLine="480"/>
        <w:jc w:val="both"/>
      </w:pPr>
      <w:r>
        <w:rPr>
          <w:rFonts w:ascii="SimSun" w:cs="SimSun" w:eastAsia="SimSun" w:hAnsi="SimSun"/>
          <w:b w:val="false"/>
          <w:bCs w:val="false"/>
          <w:i w:val="false"/>
          <w:iCs w:val="false"/>
          <w:strike w:val="false"/>
          <w:sz w:val="24"/>
          <w:szCs w:val="24"/>
        </w:rPr>
        <w:t xml:space="preserve">基于上述背景，本研究提出以下核心研究问题：</w:t>
      </w:r>
    </w:p>
    <w:p>
      <w:pPr>
        <w:spacing w:after="60" w:line="360"/>
        <w:ind w:firstLine="480"/>
        <w:jc w:val="both"/>
      </w:pPr>
      <w:r>
        <w:rPr>
          <w:rFonts w:ascii="SimSun" w:cs="SimSun" w:eastAsia="SimSun" w:hAnsi="SimSun"/>
          <w:b/>
          <w:bCs/>
          <w:i w:val="false"/>
          <w:iCs w:val="false"/>
          <w:strike w:val="false"/>
          <w:sz w:val="24"/>
          <w:szCs w:val="24"/>
        </w:rPr>
        <w:t xml:space="preserve">REITs发行对受困房企的财务困境缓解效应如何？</w:t>
      </w:r>
    </w:p>
    <w:p>
      <w:pPr>
        <w:spacing w:after="60" w:line="360"/>
        <w:ind w:firstLine="480"/>
        <w:jc w:val="both"/>
      </w:pPr>
      <w:r>
        <w:rPr>
          <w:rFonts w:ascii="SimSun" w:cs="SimSun" w:eastAsia="SimSun" w:hAnsi="SimSun"/>
          <w:b w:val="false"/>
          <w:bCs w:val="false"/>
          <w:i w:val="false"/>
          <w:iCs w:val="false"/>
          <w:strike w:val="false"/>
          <w:sz w:val="24"/>
          <w:szCs w:val="24"/>
        </w:rPr>
        <w:t xml:space="preserve">具体分解为以下子挑战：</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REITs发行对大悦城的资产负债结构有何影响？</w:t>
      </w:r>
    </w:p>
    <w:p>
      <w:pPr>
        <w:spacing w:after="40" w:line="340"/>
        <w:ind w:left="480" w:hanging="0"/>
      </w:pPr>
      <w:r>
        <w:rPr>
          <w:rFonts w:ascii="SimSun" w:cs="SimSun" w:eastAsia="SimSun" w:hAnsi="SimSun"/>
          <w:b w:val="false"/>
          <w:bCs w:val="false"/>
          <w:sz w:val="24"/>
          <w:szCs w:val="24"/>
        </w:rPr>
        <w:t xml:space="preserve">REITs发行后，企业资产负债率是否显著下降？</w:t>
      </w:r>
    </w:p>
    <w:p>
      <w:pPr>
        <w:spacing w:after="40" w:line="340"/>
        <w:ind w:left="480" w:hanging="0"/>
      </w:pPr>
      <w:r>
        <w:rPr>
          <w:rFonts w:ascii="SimSun" w:cs="SimSun" w:eastAsia="SimSun" w:hAnsi="SimSun"/>
          <w:b w:val="false"/>
          <w:bCs w:val="false"/>
          <w:sz w:val="24"/>
          <w:szCs w:val="24"/>
        </w:rPr>
        <w:t xml:space="preserve">REITs发行后，企业流动比率是否显著改善？</w:t>
      </w:r>
    </w:p>
    <w:p>
      <w:pPr>
        <w:spacing w:after="40" w:line="340"/>
        <w:ind w:left="480" w:hanging="0"/>
      </w:pPr>
      <w:r>
        <w:rPr>
          <w:rFonts w:ascii="SimSun" w:cs="SimSun" w:eastAsia="SimSun" w:hAnsi="SimSun"/>
          <w:b w:val="false"/>
          <w:bCs w:val="false"/>
          <w:sz w:val="24"/>
          <w:szCs w:val="24"/>
        </w:rPr>
        <w:t xml:space="preserve">REITs发行后，企业长期负债结构是否优化？</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REITs发行对大悦城的现金流状况有何改善？</w:t>
      </w:r>
    </w:p>
    <w:p>
      <w:pPr>
        <w:spacing w:after="40" w:line="340"/>
        <w:ind w:left="480" w:hanging="0"/>
      </w:pPr>
      <w:r>
        <w:rPr>
          <w:rFonts w:ascii="SimSun" w:cs="SimSun" w:eastAsia="SimSun" w:hAnsi="SimSun"/>
          <w:b w:val="false"/>
          <w:bCs w:val="false"/>
          <w:sz w:val="24"/>
          <w:szCs w:val="24"/>
        </w:rPr>
        <w:t xml:space="preserve">REITs发行后，企业经营现金流净额是否显著增加？</w:t>
      </w:r>
    </w:p>
    <w:p>
      <w:pPr>
        <w:spacing w:after="40" w:line="340"/>
        <w:ind w:left="480" w:hanging="0"/>
      </w:pPr>
      <w:r>
        <w:rPr>
          <w:rFonts w:ascii="SimSun" w:cs="SimSun" w:eastAsia="SimSun" w:hAnsi="SimSun"/>
          <w:b w:val="false"/>
          <w:bCs w:val="false"/>
          <w:sz w:val="24"/>
          <w:szCs w:val="24"/>
        </w:rPr>
        <w:t xml:space="preserve">REITs发行后，企业自由现金流是否显著改善？</w:t>
      </w:r>
    </w:p>
    <w:p>
      <w:pPr>
        <w:spacing w:after="40" w:line="340"/>
        <w:ind w:left="480" w:hanging="0"/>
      </w:pPr>
      <w:r>
        <w:rPr>
          <w:rFonts w:ascii="SimSun" w:cs="SimSun" w:eastAsia="SimSun" w:hAnsi="SimSun"/>
          <w:b w:val="false"/>
          <w:bCs w:val="false"/>
          <w:sz w:val="24"/>
          <w:szCs w:val="24"/>
        </w:rPr>
        <w:t xml:space="preserve">REITs发行后，企业现金持有水平是否显著提高？</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REITs发行对大悦城的市场价值有何效应？</w:t>
      </w:r>
    </w:p>
    <w:p>
      <w:pPr>
        <w:spacing w:after="40" w:line="340"/>
        <w:ind w:left="480" w:hanging="0"/>
      </w:pPr>
      <w:r>
        <w:rPr>
          <w:rFonts w:ascii="SimSun" w:cs="SimSun" w:eastAsia="SimSun" w:hAnsi="SimSun"/>
          <w:b w:val="false"/>
          <w:bCs w:val="false"/>
          <w:sz w:val="24"/>
          <w:szCs w:val="24"/>
        </w:rPr>
        <w:t xml:space="preserve">REITs发行后，企业股价超额收益率是否显著为正？</w:t>
      </w:r>
    </w:p>
    <w:p>
      <w:pPr>
        <w:spacing w:after="40" w:line="340"/>
        <w:ind w:left="480" w:hanging="0"/>
      </w:pPr>
      <w:r>
        <w:rPr>
          <w:rFonts w:ascii="SimSun" w:cs="SimSun" w:eastAsia="SimSun" w:hAnsi="SimSun"/>
          <w:b w:val="false"/>
          <w:bCs w:val="false"/>
          <w:sz w:val="24"/>
          <w:szCs w:val="24"/>
        </w:rPr>
        <w:t xml:space="preserve">REITs发行后，企业市值是否显著增加？</w:t>
      </w:r>
    </w:p>
    <w:p>
      <w:pPr>
        <w:spacing w:after="40" w:line="340"/>
        <w:ind w:left="480" w:hanging="0"/>
      </w:pPr>
      <w:r>
        <w:rPr>
          <w:rFonts w:ascii="SimSun" w:cs="SimSun" w:eastAsia="SimSun" w:hAnsi="SimSun"/>
          <w:b w:val="false"/>
          <w:bCs w:val="false"/>
          <w:sz w:val="24"/>
          <w:szCs w:val="24"/>
        </w:rPr>
        <w:t xml:space="preserve">REITs发行后，企业市净率是否显著提升？</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REITs通过哪些机制发挥作用？</w:t>
      </w:r>
    </w:p>
    <w:p>
      <w:pPr>
        <w:spacing w:after="40" w:line="340"/>
        <w:ind w:left="480" w:hanging="0"/>
      </w:pPr>
      <w:r>
        <w:rPr>
          <w:rFonts w:ascii="SimSun" w:cs="SimSun" w:eastAsia="SimSun" w:hAnsi="SimSun"/>
          <w:b w:val="false"/>
          <w:bCs w:val="false"/>
          <w:sz w:val="24"/>
          <w:szCs w:val="24"/>
        </w:rPr>
        <w:t xml:space="preserve">融资成本降低是否是主要影响机制？</w:t>
      </w:r>
    </w:p>
    <w:p>
      <w:pPr>
        <w:spacing w:after="40" w:line="340"/>
        <w:ind w:left="480" w:hanging="0"/>
      </w:pPr>
      <w:r>
        <w:rPr>
          <w:rFonts w:ascii="SimSun" w:cs="SimSun" w:eastAsia="SimSun" w:hAnsi="SimSun"/>
          <w:b w:val="false"/>
          <w:bCs w:val="false"/>
          <w:sz w:val="24"/>
          <w:szCs w:val="24"/>
        </w:rPr>
        <w:t xml:space="preserve">资产盘活是否是主要影响机制？</w:t>
      </w:r>
    </w:p>
    <w:p>
      <w:pPr>
        <w:spacing w:after="40" w:line="340"/>
        <w:ind w:left="480" w:hanging="0"/>
      </w:pPr>
      <w:r>
        <w:rPr>
          <w:rFonts w:ascii="SimSun" w:cs="SimSun" w:eastAsia="SimSun" w:hAnsi="SimSun"/>
          <w:b w:val="false"/>
          <w:bCs w:val="false"/>
          <w:sz w:val="24"/>
          <w:szCs w:val="24"/>
        </w:rPr>
        <w:t xml:space="preserve">运营效率提升是否是主要影响机制？</w:t>
      </w:r>
    </w:p>
    <w:p>
      <w:pPr>
        <w:pStyle w:val="Heading3"/>
        <w:spacing w:after="120" w:before="240"/>
      </w:pPr>
      <w:r>
        <w:rPr>
          <w:rFonts w:ascii="SimHei" w:cs="SimHei" w:eastAsia="SimHei" w:hAnsi="SimHei"/>
          <w:b/>
          <w:bCs/>
          <w:sz w:val="24"/>
          <w:szCs w:val="24"/>
        </w:rPr>
        <w:t xml:space="preserve">1.2.2 研究目标</w:t>
      </w:r>
    </w:p>
    <w:p>
      <w:pPr>
        <w:spacing w:after="60" w:line="360"/>
        <w:ind w:firstLine="480"/>
        <w:jc w:val="both"/>
      </w:pPr>
      <w:r>
        <w:rPr>
          <w:rFonts w:ascii="SimSun" w:cs="SimSun" w:eastAsia="SimSun" w:hAnsi="SimSun"/>
          <w:b w:val="false"/>
          <w:bCs w:val="false"/>
          <w:i w:val="false"/>
          <w:iCs w:val="false"/>
          <w:strike w:val="false"/>
          <w:sz w:val="24"/>
          <w:szCs w:val="24"/>
        </w:rPr>
        <w:t xml:space="preserve">基于上述研究议题，本研究设定以下研究目标：</w:t>
      </w:r>
    </w:p>
    <w:p>
      <w:pPr>
        <w:pStyle w:val="Heading4"/>
        <w:spacing w:after="120" w:before="180"/>
      </w:pPr>
      <w:r>
        <w:rPr>
          <w:rFonts w:ascii="SimHei" w:cs="SimHei" w:eastAsia="SimHei" w:hAnsi="SimHei"/>
          <w:b/>
          <w:bCs/>
          <w:sz w:val="24"/>
          <w:szCs w:val="24"/>
        </w:rPr>
        <w:t xml:space="preserve">（1）理论目标</w:t>
      </w:r>
    </w:p>
    <w:p>
      <w:pPr>
        <w:spacing w:after="40" w:line="340"/>
        <w:ind w:left="480" w:hanging="0"/>
      </w:pPr>
      <w:r>
        <w:rPr>
          <w:rFonts w:ascii="SimSun" w:cs="SimSun" w:eastAsia="SimSun" w:hAnsi="SimSun"/>
          <w:b w:val="false"/>
          <w:bCs w:val="false"/>
          <w:sz w:val="24"/>
          <w:szCs w:val="24"/>
        </w:rPr>
        <w:t xml:space="preserve">构建REITs影响受困房企的理论分析框架</w:t>
      </w:r>
    </w:p>
    <w:p>
      <w:pPr>
        <w:spacing w:after="40" w:line="340"/>
        <w:ind w:left="480" w:hanging="0"/>
      </w:pPr>
      <w:r>
        <w:rPr>
          <w:rFonts w:ascii="SimSun" w:cs="SimSun" w:eastAsia="SimSun" w:hAnsi="SimSun"/>
          <w:b w:val="false"/>
          <w:bCs w:val="false"/>
          <w:sz w:val="24"/>
          <w:szCs w:val="24"/>
        </w:rPr>
        <w:t xml:space="preserve">揭示REITs缓解财务困境的作用机制</w:t>
      </w:r>
    </w:p>
    <w:p>
      <w:pPr>
        <w:spacing w:after="40" w:line="340"/>
        <w:ind w:left="480" w:hanging="0"/>
      </w:pPr>
      <w:r>
        <w:rPr>
          <w:rFonts w:ascii="SimSun" w:cs="SimSun" w:eastAsia="SimSun" w:hAnsi="SimSun"/>
          <w:b w:val="false"/>
          <w:bCs w:val="false"/>
          <w:sz w:val="24"/>
          <w:szCs w:val="24"/>
        </w:rPr>
        <w:t xml:space="preserve">丰富REITs理论和财务困境理论的交叉研究</w:t>
      </w:r>
    </w:p>
    <w:p>
      <w:pPr>
        <w:pStyle w:val="Heading4"/>
        <w:spacing w:after="120" w:before="180"/>
      </w:pPr>
      <w:r>
        <w:rPr>
          <w:rFonts w:ascii="SimHei" w:cs="SimHei" w:eastAsia="SimHei" w:hAnsi="SimHei"/>
          <w:b/>
          <w:bCs/>
          <w:sz w:val="24"/>
          <w:szCs w:val="24"/>
        </w:rPr>
        <w:t xml:space="preserve">（2）实证目标</w:t>
      </w:r>
    </w:p>
    <w:p>
      <w:pPr>
        <w:spacing w:after="40" w:line="340"/>
        <w:ind w:left="480" w:hanging="0"/>
      </w:pPr>
      <w:r>
        <w:rPr>
          <w:rFonts w:ascii="SimSun" w:cs="SimSun" w:eastAsia="SimSun" w:hAnsi="SimSun"/>
          <w:b w:val="false"/>
          <w:bCs w:val="false"/>
          <w:sz w:val="24"/>
          <w:szCs w:val="24"/>
        </w:rPr>
        <w:t xml:space="preserve">基于大悦城案例，验证REITs发行的财务效应</w:t>
      </w:r>
    </w:p>
    <w:p>
      <w:pPr>
        <w:spacing w:after="40" w:line="340"/>
        <w:ind w:left="480" w:hanging="0"/>
      </w:pPr>
      <w:r>
        <w:rPr>
          <w:rFonts w:ascii="SimSun" w:cs="SimSun" w:eastAsia="SimSun" w:hAnsi="SimSun"/>
          <w:b w:val="false"/>
          <w:bCs w:val="false"/>
          <w:sz w:val="24"/>
          <w:szCs w:val="24"/>
        </w:rPr>
        <w:t xml:space="preserve">比较REITs对不同类型房企的影响差异</w:t>
      </w:r>
    </w:p>
    <w:p>
      <w:pPr>
        <w:spacing w:after="40" w:line="340"/>
        <w:ind w:left="480" w:hanging="0"/>
      </w:pPr>
      <w:r>
        <w:rPr>
          <w:rFonts w:ascii="SimSun" w:cs="SimSun" w:eastAsia="SimSun" w:hAnsi="SimSun"/>
          <w:b w:val="false"/>
          <w:bCs w:val="false"/>
          <w:sz w:val="24"/>
          <w:szCs w:val="24"/>
        </w:rPr>
        <w:t xml:space="preserve">评估REITs发行的市场反应和长期效果</w:t>
      </w:r>
    </w:p>
    <w:p>
      <w:pPr>
        <w:pStyle w:val="Heading4"/>
        <w:spacing w:after="120" w:before="180"/>
      </w:pPr>
      <w:r>
        <w:rPr>
          <w:rFonts w:ascii="SimHei" w:cs="SimHei" w:eastAsia="SimHei" w:hAnsi="SimHei"/>
          <w:b/>
          <w:bCs/>
          <w:sz w:val="24"/>
          <w:szCs w:val="24"/>
        </w:rPr>
        <w:t xml:space="preserve">（3）应用目标</w:t>
      </w:r>
    </w:p>
    <w:p>
      <w:pPr>
        <w:spacing w:after="40" w:line="340"/>
        <w:ind w:left="480" w:hanging="0"/>
      </w:pPr>
      <w:r>
        <w:rPr>
          <w:rFonts w:ascii="SimSun" w:cs="SimSun" w:eastAsia="SimSun" w:hAnsi="SimSun"/>
          <w:b w:val="false"/>
          <w:bCs w:val="false"/>
          <w:sz w:val="24"/>
          <w:szCs w:val="24"/>
        </w:rPr>
        <w:t xml:space="preserve">为受困房企提供REITs发行的决策参考</w:t>
      </w:r>
    </w:p>
    <w:p>
      <w:pPr>
        <w:spacing w:after="40" w:line="340"/>
        <w:ind w:left="480" w:hanging="0"/>
      </w:pPr>
      <w:r>
        <w:rPr>
          <w:rFonts w:ascii="SimSun" w:cs="SimSun" w:eastAsia="SimSun" w:hAnsi="SimSun"/>
          <w:b w:val="false"/>
          <w:bCs w:val="false"/>
          <w:sz w:val="24"/>
          <w:szCs w:val="24"/>
        </w:rPr>
        <w:t xml:space="preserve">为投资者提供房企REITs投资分析框架</w:t>
      </w:r>
    </w:p>
    <w:p>
      <w:pPr>
        <w:spacing w:after="40" w:line="340"/>
        <w:ind w:left="480" w:hanging="0"/>
      </w:pPr>
      <w:r>
        <w:rPr>
          <w:rFonts w:ascii="SimSun" w:cs="SimSun" w:eastAsia="SimSun" w:hAnsi="SimSun"/>
          <w:b w:val="false"/>
          <w:bCs w:val="false"/>
          <w:sz w:val="24"/>
          <w:szCs w:val="24"/>
        </w:rPr>
        <w:t xml:space="preserve">为政策制定者提供REITs政策优化建议</w:t>
      </w:r>
    </w:p>
    <w:p>
      <w:pPr>
        <w:pStyle w:val="Heading2"/>
        <w:spacing w:after="180" w:before="360"/>
      </w:pPr>
      <w:r>
        <w:rPr>
          <w:rFonts w:ascii="SimHei" w:cs="SimHei" w:eastAsia="SimHei" w:hAnsi="SimHei"/>
          <w:b/>
          <w:bCs/>
          <w:sz w:val="28"/>
          <w:szCs w:val="28"/>
        </w:rPr>
        <w:t xml:space="preserve">1.3 研究方法与框架</w:t>
      </w:r>
    </w:p>
    <w:p>
      <w:pPr>
        <w:pStyle w:val="Heading3"/>
        <w:spacing w:after="120" w:before="240"/>
      </w:pPr>
      <w:r>
        <w:rPr>
          <w:rFonts w:ascii="SimHei" w:cs="SimHei" w:eastAsia="SimHei" w:hAnsi="SimHei"/>
          <w:b/>
          <w:bCs/>
          <w:sz w:val="24"/>
          <w:szCs w:val="24"/>
        </w:rPr>
        <w:t xml:space="preserve">1.3.1 研究方法</w:t>
      </w:r>
    </w:p>
    <w:p>
      <w:pPr>
        <w:pStyle w:val="Heading4"/>
        <w:spacing w:after="120" w:before="180"/>
      </w:pPr>
      <w:r>
        <w:rPr>
          <w:rFonts w:ascii="SimHei" w:cs="SimHei" w:eastAsia="SimHei" w:hAnsi="SimHei"/>
          <w:b/>
          <w:bCs/>
          <w:sz w:val="24"/>
          <w:szCs w:val="24"/>
        </w:rPr>
        <w:t xml:space="preserve">（1）案例研究法</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本研究采用单案例深度分析方法，以大悦城控股集团股份有限公司为研究对象。案例研究法适用于探索性研究，能够深入挖掘复杂现象背后的机制，适合本研究探索REITs对受困房企影响的复杂过程。</w:t>
      </w:r>
    </w:p>
    <w:p>
      <w:pPr>
        <w:pStyle w:val="Heading4"/>
        <w:spacing w:after="120" w:before="180"/>
      </w:pPr>
      <w:r>
        <w:rPr>
          <w:rFonts w:ascii="SimHei" w:cs="SimHei" w:eastAsia="SimHei" w:hAnsi="SimHei"/>
          <w:b/>
          <w:bCs/>
          <w:sz w:val="24"/>
          <w:szCs w:val="24"/>
        </w:rPr>
        <w:t xml:space="preserve">（2）财务指标分析</w:t>
      </w:r>
    </w:p>
    <w:p>
      <w:pPr>
        <w:spacing w:after="60" w:line="360"/>
        <w:ind w:firstLine="480"/>
        <w:jc w:val="both"/>
      </w:pPr>
      <w:r>
        <w:rPr>
          <w:rFonts w:ascii="SimSun" w:cs="SimSun" w:eastAsia="SimSun" w:hAnsi="SimSun"/>
          <w:b w:val="false"/>
          <w:bCs w:val="false"/>
          <w:i w:val="false"/>
          <w:iCs w:val="false"/>
          <w:strike w:val="false"/>
          <w:sz w:val="24"/>
          <w:szCs w:val="24"/>
        </w:rPr>
        <w:t xml:space="preserve">通过分析大悦城2019-2024年的财务报告，计算关键财务指标的变化趋势，包括：</w:t>
      </w:r>
    </w:p>
    <w:p>
      <w:pPr>
        <w:spacing w:after="40" w:line="340"/>
        <w:ind w:left="480" w:hanging="0"/>
      </w:pPr>
      <w:r>
        <w:rPr>
          <w:rFonts w:ascii="SimSun" w:cs="SimSun" w:eastAsia="SimSun" w:hAnsi="SimSun"/>
          <w:b/>
          <w:bCs/>
          <w:sz w:val="24"/>
          <w:szCs w:val="24"/>
        </w:rPr>
        <w:t xml:space="preserve">负债结构指标</w:t>
      </w:r>
      <w:r>
        <w:rPr>
          <w:rFonts w:ascii="SimSun" w:cs="SimSun" w:eastAsia="SimSun" w:hAnsi="SimSun"/>
          <w:b w:val="false"/>
          <w:bCs w:val="false"/>
          <w:sz w:val="24"/>
          <w:szCs w:val="24"/>
        </w:rPr>
        <w:t xml:space="preserve">：资产负债率、流动比率、长期负债比率</w:t>
      </w:r>
    </w:p>
    <w:p>
      <w:pPr>
        <w:spacing w:after="40" w:line="340"/>
        <w:ind w:left="480" w:hanging="0"/>
      </w:pPr>
      <w:r>
        <w:rPr>
          <w:rFonts w:ascii="SimSun" w:cs="SimSun" w:eastAsia="SimSun" w:hAnsi="SimSun"/>
          <w:b/>
          <w:bCs/>
          <w:sz w:val="24"/>
          <w:szCs w:val="24"/>
        </w:rPr>
        <w:t xml:space="preserve">盈利能力指标</w:t>
      </w:r>
      <w:r>
        <w:rPr>
          <w:rFonts w:ascii="SimSun" w:cs="SimSun" w:eastAsia="SimSun" w:hAnsi="SimSun"/>
          <w:b w:val="false"/>
          <w:bCs w:val="false"/>
          <w:sz w:val="24"/>
          <w:szCs w:val="24"/>
        </w:rPr>
        <w:t xml:space="preserve">：净利润率、净资产收益率（ROE）、总资产收益率（ROA）</w:t>
      </w:r>
    </w:p>
    <w:p>
      <w:pPr>
        <w:spacing w:after="40" w:line="340"/>
        <w:ind w:left="480" w:hanging="0"/>
      </w:pPr>
      <w:r>
        <w:rPr>
          <w:rFonts w:ascii="SimSun" w:cs="SimSun" w:eastAsia="SimSun" w:hAnsi="SimSun"/>
          <w:b/>
          <w:bCs/>
          <w:sz w:val="24"/>
          <w:szCs w:val="24"/>
        </w:rPr>
        <w:t xml:space="preserve">现金流指标</w:t>
      </w:r>
      <w:r>
        <w:rPr>
          <w:rFonts w:ascii="SimSun" w:cs="SimSun" w:eastAsia="SimSun" w:hAnsi="SimSun"/>
          <w:b w:val="false"/>
          <w:bCs w:val="false"/>
          <w:sz w:val="24"/>
          <w:szCs w:val="24"/>
        </w:rPr>
        <w:t xml:space="preserve">：经营现金流净额、自由现金流、现金比率</w:t>
      </w:r>
    </w:p>
    <w:p>
      <w:pPr>
        <w:spacing w:after="40" w:line="340"/>
        <w:ind w:left="480" w:hanging="0"/>
      </w:pPr>
      <w:r>
        <w:rPr>
          <w:rFonts w:ascii="SimSun" w:cs="SimSun" w:eastAsia="SimSun" w:hAnsi="SimSun"/>
          <w:b/>
          <w:bCs/>
          <w:sz w:val="24"/>
          <w:szCs w:val="24"/>
        </w:rPr>
        <w:t xml:space="preserve">市场表现指标</w:t>
      </w:r>
      <w:r>
        <w:rPr>
          <w:rFonts w:ascii="SimSun" w:cs="SimSun" w:eastAsia="SimSun" w:hAnsi="SimSun"/>
          <w:b w:val="false"/>
          <w:bCs w:val="false"/>
          <w:sz w:val="24"/>
          <w:szCs w:val="24"/>
        </w:rPr>
        <w:t xml:space="preserve">：市值、市净率、股价超额收益率</w:t>
      </w:r>
    </w:p>
    <w:p>
      <w:pPr>
        <w:pStyle w:val="Heading4"/>
        <w:spacing w:after="120" w:before="180"/>
      </w:pPr>
      <w:r>
        <w:rPr>
          <w:rFonts w:ascii="SimHei" w:cs="SimHei" w:eastAsia="SimHei" w:hAnsi="SimHei"/>
          <w:b/>
          <w:bCs/>
          <w:sz w:val="24"/>
          <w:szCs w:val="24"/>
        </w:rPr>
        <w:t xml:space="preserve">（3）事件研究法</w:t>
      </w:r>
    </w:p>
    <w:p>
      <w:pPr>
        <w:spacing w:after="60" w:line="360"/>
        <w:ind w:firstLine="480"/>
        <w:jc w:val="both"/>
      </w:pPr>
      <w:r>
        <w:rPr>
          <w:rFonts w:ascii="SimSun" w:cs="SimSun" w:eastAsia="SimSun" w:hAnsi="SimSun"/>
          <w:b w:val="false"/>
          <w:bCs w:val="false"/>
          <w:i w:val="false"/>
          <w:iCs w:val="false"/>
          <w:strike w:val="false"/>
          <w:sz w:val="24"/>
          <w:szCs w:val="24"/>
        </w:rPr>
        <w:t xml:space="preserve">采用事件研究法分析REITs发行事件的市场反应：</w:t>
      </w:r>
    </w:p>
    <w:p>
      <w:pPr>
        <w:spacing w:after="40" w:line="340"/>
        <w:ind w:left="480" w:hanging="0"/>
      </w:pPr>
      <w:r>
        <w:rPr>
          <w:rFonts w:ascii="SimSun" w:cs="SimSun" w:eastAsia="SimSun" w:hAnsi="SimSun"/>
          <w:b/>
          <w:bCs/>
          <w:sz w:val="24"/>
          <w:szCs w:val="24"/>
        </w:rPr>
        <w:t xml:space="preserve">估计窗口</w:t>
      </w:r>
      <w:r>
        <w:rPr>
          <w:rFonts w:ascii="SimSun" w:cs="SimSun" w:eastAsia="SimSun" w:hAnsi="SimSun"/>
          <w:b w:val="false"/>
          <w:bCs w:val="false"/>
          <w:sz w:val="24"/>
          <w:szCs w:val="24"/>
        </w:rPr>
        <w:t xml:space="preserve">：事件前120个交易日（-150至-31天）</w:t>
      </w:r>
    </w:p>
    <w:p>
      <w:pPr>
        <w:spacing w:after="40" w:line="340"/>
        <w:ind w:left="480" w:hanging="0"/>
      </w:pPr>
      <w:r>
        <w:rPr>
          <w:rFonts w:ascii="SimSun" w:cs="SimSun" w:eastAsia="SimSun" w:hAnsi="SimSun"/>
          <w:b/>
          <w:bCs/>
          <w:sz w:val="24"/>
          <w:szCs w:val="24"/>
        </w:rPr>
        <w:t xml:space="preserve">事件窗口</w:t>
      </w:r>
      <w:r>
        <w:rPr>
          <w:rFonts w:ascii="SimSun" w:cs="SimSun" w:eastAsia="SimSun" w:hAnsi="SimSun"/>
          <w:b w:val="false"/>
          <w:bCs w:val="false"/>
          <w:sz w:val="24"/>
          <w:szCs w:val="24"/>
        </w:rPr>
        <w:t xml:space="preserve">：发行前后20个交易日（-20至+20天）</w:t>
      </w:r>
    </w:p>
    <w:p>
      <w:pPr>
        <w:spacing w:after="40" w:line="340"/>
        <w:ind w:left="480" w:hanging="0"/>
      </w:pPr>
      <w:r>
        <w:rPr>
          <w:rFonts w:ascii="SimSun" w:cs="SimSun" w:eastAsia="SimSun" w:hAnsi="SimSun"/>
          <w:b/>
          <w:bCs/>
          <w:sz w:val="24"/>
          <w:szCs w:val="24"/>
        </w:rPr>
        <w:t xml:space="preserve">市场模型</w:t>
      </w:r>
      <w:r>
        <w:rPr>
          <w:rFonts w:ascii="SimSun" w:cs="SimSun" w:eastAsia="SimSun" w:hAnsi="SimSun"/>
          <w:b w:val="false"/>
          <w:bCs w:val="false"/>
          <w:sz w:val="24"/>
          <w:szCs w:val="24"/>
        </w:rPr>
        <w:t xml:space="preserve">：资本资产定价模型（CAPM）</w:t>
      </w:r>
    </w:p>
    <w:p>
      <w:pPr>
        <w:spacing w:after="40" w:line="340"/>
        <w:ind w:left="480" w:hanging="0"/>
      </w:pPr>
      <w:r>
        <w:rPr>
          <w:rFonts w:ascii="SimSun" w:cs="SimSun" w:eastAsia="SimSun" w:hAnsi="SimSun"/>
          <w:b/>
          <w:bCs/>
          <w:sz w:val="24"/>
          <w:szCs w:val="24"/>
        </w:rPr>
        <w:t xml:space="preserve">显著性检验</w:t>
      </w:r>
      <w:r>
        <w:rPr>
          <w:rFonts w:ascii="SimSun" w:cs="SimSun" w:eastAsia="SimSun" w:hAnsi="SimSun"/>
          <w:b w:val="false"/>
          <w:bCs w:val="false"/>
          <w:sz w:val="24"/>
          <w:szCs w:val="24"/>
        </w:rPr>
        <w:t xml:space="preserve">：t检验、非参数检验</w:t>
      </w:r>
    </w:p>
    <w:p>
      <w:pPr>
        <w:pStyle w:val="Heading4"/>
        <w:spacing w:after="120" w:before="180"/>
      </w:pPr>
      <w:r>
        <w:rPr>
          <w:rFonts w:ascii="SimHei" w:cs="SimHei" w:eastAsia="SimHei" w:hAnsi="SimHei"/>
          <w:b/>
          <w:bCs/>
          <w:sz w:val="24"/>
          <w:szCs w:val="24"/>
        </w:rPr>
        <w:t xml:space="preserve">（4）比较分析法</w:t>
      </w:r>
    </w:p>
    <w:p>
      <w:pPr>
        <w:spacing w:after="60" w:line="360"/>
        <w:ind w:firstLine="480"/>
        <w:jc w:val="both"/>
      </w:pPr>
      <w:r>
        <w:rPr>
          <w:rFonts w:ascii="SimSun" w:cs="SimSun" w:eastAsia="SimSun" w:hAnsi="SimSun"/>
          <w:b w:val="false"/>
          <w:bCs w:val="false"/>
          <w:i w:val="false"/>
          <w:iCs w:val="false"/>
          <w:strike w:val="false"/>
          <w:sz w:val="24"/>
          <w:szCs w:val="24"/>
        </w:rPr>
        <w:t xml:space="preserve">将大悦城与万科、保利发展进行横向对比，分析不同类型房企REITs应用的异同：</w:t>
      </w:r>
    </w:p>
    <w:p>
      <w:pPr>
        <w:spacing w:after="40" w:line="340"/>
        <w:ind w:left="480" w:hanging="0"/>
      </w:pPr>
      <w:r>
        <w:rPr>
          <w:rFonts w:ascii="SimSun" w:cs="SimSun" w:eastAsia="SimSun" w:hAnsi="SimSun"/>
          <w:b/>
          <w:bCs/>
          <w:sz w:val="24"/>
          <w:szCs w:val="24"/>
        </w:rPr>
        <w:t xml:space="preserve">企业类型对比</w:t>
      </w:r>
      <w:r>
        <w:rPr>
          <w:rFonts w:ascii="SimSun" w:cs="SimSun" w:eastAsia="SimSun" w:hAnsi="SimSun"/>
          <w:b w:val="false"/>
          <w:bCs w:val="false"/>
          <w:sz w:val="24"/>
          <w:szCs w:val="24"/>
        </w:rPr>
        <w:t xml:space="preserve">：财务困境型vs战略转型型vs业务创新型</w:t>
      </w:r>
    </w:p>
    <w:p>
      <w:pPr>
        <w:spacing w:after="40" w:line="340"/>
        <w:ind w:left="480" w:hanging="0"/>
      </w:pPr>
      <w:r>
        <w:rPr>
          <w:rFonts w:ascii="SimSun" w:cs="SimSun" w:eastAsia="SimSun" w:hAnsi="SimSun"/>
          <w:b/>
          <w:bCs/>
          <w:sz w:val="24"/>
          <w:szCs w:val="24"/>
        </w:rPr>
        <w:t xml:space="preserve">REITs目的对比</w:t>
      </w:r>
      <w:r>
        <w:rPr>
          <w:rFonts w:ascii="SimSun" w:cs="SimSun" w:eastAsia="SimSun" w:hAnsi="SimSun"/>
          <w:b w:val="false"/>
          <w:bCs w:val="false"/>
          <w:sz w:val="24"/>
          <w:szCs w:val="24"/>
        </w:rPr>
        <w:t xml:space="preserve">：救援目的vs战略目的vs创新目的</w:t>
      </w:r>
    </w:p>
    <w:p>
      <w:pPr>
        <w:spacing w:after="40" w:line="340"/>
        <w:ind w:left="480" w:hanging="0"/>
      </w:pPr>
      <w:r>
        <w:rPr>
          <w:rFonts w:ascii="SimSun" w:cs="SimSun" w:eastAsia="SimSun" w:hAnsi="SimSun"/>
          <w:b/>
          <w:bCs/>
          <w:sz w:val="24"/>
          <w:szCs w:val="24"/>
        </w:rPr>
        <w:t xml:space="preserve">实施效果对比</w:t>
      </w:r>
      <w:r>
        <w:rPr>
          <w:rFonts w:ascii="SimSun" w:cs="SimSun" w:eastAsia="SimSun" w:hAnsi="SimSun"/>
          <w:b w:val="false"/>
          <w:bCs w:val="false"/>
          <w:sz w:val="24"/>
          <w:szCs w:val="24"/>
        </w:rPr>
        <w:t xml:space="preserve">：财务改善效果vs市场反应vs长期影响</w:t>
      </w:r>
    </w:p>
    <w:p>
      <w:pPr>
        <w:pStyle w:val="Heading3"/>
        <w:spacing w:after="120" w:before="240"/>
      </w:pPr>
      <w:r>
        <w:rPr>
          <w:rFonts w:ascii="SimHei" w:cs="SimHei" w:eastAsia="SimHei" w:hAnsi="SimHei"/>
          <w:b/>
          <w:bCs/>
          <w:sz w:val="24"/>
          <w:szCs w:val="24"/>
        </w:rPr>
        <w:t xml:space="preserve">1.3.2 研究框架</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本研究形成了"理论框架-实证分析-运作机制检验"的研究框架：</w:t>
      </w:r>
    </w:p>
    <w:p>
      <w:pPr>
        <w:spacing w:after="0" w:line="280"/>
        <w:ind w:left="360"/>
      </w:pPr>
      <w:r>
        <w:rPr>
          <w:rFonts w:ascii="Courier New" w:cs="Courier New" w:eastAsia="Courier New" w:hAnsi="Courier New"/>
          <w:color w:val="333333"/>
          <w:sz w:val="18"/>
          <w:szCs w:val="18"/>
        </w:rPr>
        <w:t xml:space="preserve">理论理论框架层：</w:t>
      </w:r>
    </w:p>
    <w:p>
      <w:pPr>
        <w:spacing w:after="0" w:line="280"/>
        <w:ind w:left="360"/>
      </w:pPr>
      <w:r>
        <w:rPr>
          <w:rFonts w:ascii="Courier New" w:cs="Courier New" w:eastAsia="Courier New" w:hAnsi="Courier New"/>
          <w:color w:val="333333"/>
          <w:sz w:val="18"/>
          <w:szCs w:val="18"/>
        </w:rPr>
        <w:t xml:space="preserve">财务困境理论 → REITs救援传导机制 → 财务效应分析</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实证分析层：</w:t>
      </w:r>
    </w:p>
    <w:p>
      <w:pPr>
        <w:spacing w:after="0" w:line="280"/>
        <w:ind w:left="360"/>
      </w:pPr>
      <w:r>
        <w:rPr>
          <w:rFonts w:ascii="Courier New" w:cs="Courier New" w:eastAsia="Courier New" w:hAnsi="Courier New"/>
          <w:color w:val="333333"/>
          <w:sz w:val="18"/>
          <w:szCs w:val="18"/>
        </w:rPr>
        <w:t xml:space="preserve">案例研究 → 财务指标分析 → 事件研究 → 比较分析</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机制检验层：</w:t>
      </w:r>
    </w:p>
    <w:p>
      <w:pPr>
        <w:spacing w:after="0" w:line="280"/>
        <w:ind w:left="360"/>
      </w:pPr>
      <w:r>
        <w:rPr>
          <w:rFonts w:ascii="Courier New" w:cs="Courier New" w:eastAsia="Courier New" w:hAnsi="Courier New"/>
          <w:color w:val="333333"/>
          <w:sz w:val="18"/>
          <w:szCs w:val="18"/>
        </w:rPr>
        <w:t xml:space="preserve">融资成本降低机制 → 资产负债重构机制 → 运营效率提升机制</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结论建议层：</w:t>
      </w:r>
    </w:p>
    <w:p>
      <w:pPr>
        <w:spacing w:after="0" w:line="280"/>
        <w:ind w:left="360"/>
      </w:pPr>
      <w:r>
        <w:rPr>
          <w:rFonts w:ascii="Courier New" w:cs="Courier New" w:eastAsia="Courier New" w:hAnsi="Courier New"/>
          <w:color w:val="333333"/>
          <w:sz w:val="18"/>
          <w:szCs w:val="18"/>
        </w:rPr>
        <w:t xml:space="preserve">观察发现 → 理论贡献 → 实践启示 → 政策建议</w:t>
      </w:r>
    </w:p>
    <w:p>
      <w:pPr>
        <w:pStyle w:val="Heading3"/>
        <w:spacing w:after="120" w:before="240"/>
      </w:pPr>
      <w:r>
        <w:rPr>
          <w:rFonts w:ascii="SimHei" w:cs="SimHei" w:eastAsia="SimHei" w:hAnsi="SimHei"/>
          <w:b/>
          <w:bCs/>
          <w:sz w:val="24"/>
          <w:szCs w:val="24"/>
        </w:rPr>
        <w:t xml:space="preserve">1.3.3 技术路线</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本研究的技术路线如下图所示（图1.1）：</w:t>
      </w:r>
    </w:p>
    <w:p>
      <w:pPr>
        <w:spacing w:after="0" w:line="280"/>
        <w:ind w:left="360"/>
      </w:pPr>
      <w:r>
        <w:rPr>
          <w:rFonts w:ascii="Courier New" w:cs="Courier New" w:eastAsia="Courier New" w:hAnsi="Courier New"/>
          <w:color w:val="333333"/>
          <w:sz w:val="18"/>
          <w:szCs w:val="18"/>
        </w:rPr>
        <w:t xml:space="preserve">graph TD</w:t>
      </w:r>
    </w:p>
    <w:p>
      <w:pPr>
        <w:spacing w:after="0" w:line="280"/>
        <w:ind w:left="360"/>
      </w:pPr>
      <w:r>
        <w:rPr>
          <w:rFonts w:ascii="Courier New" w:cs="Courier New" w:eastAsia="Courier New" w:hAnsi="Courier New"/>
          <w:color w:val="333333"/>
          <w:sz w:val="18"/>
          <w:szCs w:val="18"/>
        </w:rPr>
        <w:t xml:space="preserve">    A[研究问题提出] --&gt; B[文献综述与理论框架构建]</w:t>
      </w:r>
    </w:p>
    <w:p>
      <w:pPr>
        <w:spacing w:after="0" w:line="280"/>
        <w:ind w:left="360"/>
      </w:pPr>
      <w:r>
        <w:rPr>
          <w:rFonts w:ascii="Courier New" w:cs="Courier New" w:eastAsia="Courier New" w:hAnsi="Courier New"/>
          <w:color w:val="333333"/>
          <w:sz w:val="18"/>
          <w:szCs w:val="18"/>
        </w:rPr>
        <w:t xml:space="preserve">    B --&gt; C[案例选择与数据收集]</w:t>
      </w:r>
    </w:p>
    <w:p>
      <w:pPr>
        <w:spacing w:after="0" w:line="280"/>
        <w:ind w:left="360"/>
      </w:pPr>
      <w:r>
        <w:rPr>
          <w:rFonts w:ascii="Courier New" w:cs="Courier New" w:eastAsia="Courier New" w:hAnsi="Courier New"/>
          <w:color w:val="333333"/>
          <w:sz w:val="18"/>
          <w:szCs w:val="18"/>
        </w:rPr>
        <w:t xml:space="preserve">    C --&gt; D[财务指标分析]</w:t>
      </w:r>
    </w:p>
    <w:p>
      <w:pPr>
        <w:spacing w:after="0" w:line="280"/>
        <w:ind w:left="360"/>
      </w:pPr>
      <w:r>
        <w:rPr>
          <w:rFonts w:ascii="Courier New" w:cs="Courier New" w:eastAsia="Courier New" w:hAnsi="Courier New"/>
          <w:color w:val="333333"/>
          <w:sz w:val="18"/>
          <w:szCs w:val="18"/>
        </w:rPr>
        <w:t xml:space="preserve">    C --&gt; E[事件研究分析]</w:t>
      </w:r>
    </w:p>
    <w:p>
      <w:pPr>
        <w:spacing w:after="0" w:line="280"/>
        <w:ind w:left="360"/>
      </w:pPr>
      <w:r>
        <w:rPr>
          <w:rFonts w:ascii="Courier New" w:cs="Courier New" w:eastAsia="Courier New" w:hAnsi="Courier New"/>
          <w:color w:val="333333"/>
          <w:sz w:val="18"/>
          <w:szCs w:val="18"/>
        </w:rPr>
        <w:t xml:space="preserve">    C --&gt; F[比较分析]</w:t>
      </w:r>
    </w:p>
    <w:p>
      <w:pPr>
        <w:spacing w:after="0" w:line="280"/>
        <w:ind w:left="360"/>
      </w:pPr>
      <w:r>
        <w:rPr>
          <w:rFonts w:ascii="Courier New" w:cs="Courier New" w:eastAsia="Courier New" w:hAnsi="Courier New"/>
          <w:color w:val="333333"/>
          <w:sz w:val="18"/>
          <w:szCs w:val="18"/>
        </w:rPr>
        <w:t xml:space="preserve">    D --&gt; G[作用机制检验]</w:t>
      </w:r>
    </w:p>
    <w:p>
      <w:pPr>
        <w:spacing w:after="0" w:line="280"/>
        <w:ind w:left="360"/>
      </w:pPr>
      <w:r>
        <w:rPr>
          <w:rFonts w:ascii="Courier New" w:cs="Courier New" w:eastAsia="Courier New" w:hAnsi="Courier New"/>
          <w:color w:val="333333"/>
          <w:sz w:val="18"/>
          <w:szCs w:val="18"/>
        </w:rPr>
        <w:t xml:space="preserve">    E --&gt; G</w:t>
      </w:r>
    </w:p>
    <w:p>
      <w:pPr>
        <w:spacing w:after="0" w:line="280"/>
        <w:ind w:left="360"/>
      </w:pPr>
      <w:r>
        <w:rPr>
          <w:rFonts w:ascii="Courier New" w:cs="Courier New" w:eastAsia="Courier New" w:hAnsi="Courier New"/>
          <w:color w:val="333333"/>
          <w:sz w:val="18"/>
          <w:szCs w:val="18"/>
        </w:rPr>
        <w:t xml:space="preserve">    F --&gt; G</w:t>
      </w:r>
    </w:p>
    <w:p>
      <w:pPr>
        <w:spacing w:after="0" w:line="280"/>
        <w:ind w:left="360"/>
      </w:pPr>
      <w:r>
        <w:rPr>
          <w:rFonts w:ascii="Courier New" w:cs="Courier New" w:eastAsia="Courier New" w:hAnsi="Courier New"/>
          <w:color w:val="333333"/>
          <w:sz w:val="18"/>
          <w:szCs w:val="18"/>
        </w:rPr>
        <w:t xml:space="preserve">    G --&gt; H[研究结论与建议]</w:t>
      </w:r>
    </w:p>
    <w:p>
      <w:pPr>
        <w:spacing w:after="0" w:line="280"/>
        <w:ind w:left="360"/>
      </w:pPr>
      <w:r>
        <w:rPr>
          <w:rFonts w:ascii="Courier New" w:cs="Courier New" w:eastAsia="Courier New" w:hAnsi="Courier New"/>
          <w:color w:val="333333"/>
          <w:sz w:val="18"/>
          <w:szCs w:val="18"/>
        </w:rPr>
        <w:t xml:space="preserve">    H --&gt; I[理论贡献与实践启示]</w:t>
      </w:r>
    </w:p>
    <w:p>
      <w:pPr>
        <w:pStyle w:val="Heading2"/>
        <w:spacing w:after="180" w:before="360"/>
      </w:pPr>
      <w:r>
        <w:rPr>
          <w:rFonts w:ascii="SimHei" w:cs="SimHei" w:eastAsia="SimHei" w:hAnsi="SimHei"/>
          <w:b/>
          <w:bCs/>
          <w:sz w:val="28"/>
          <w:szCs w:val="28"/>
        </w:rPr>
        <w:t xml:space="preserve">1.4 研究创新与局限</w:t>
      </w:r>
    </w:p>
    <w:p>
      <w:pPr>
        <w:pStyle w:val="Heading3"/>
        <w:spacing w:after="120" w:before="240"/>
      </w:pPr>
      <w:r>
        <w:rPr>
          <w:rFonts w:ascii="SimHei" w:cs="SimHei" w:eastAsia="SimHei" w:hAnsi="SimHei"/>
          <w:b/>
          <w:bCs/>
          <w:sz w:val="24"/>
          <w:szCs w:val="24"/>
        </w:rPr>
        <w:t xml:space="preserve">1.4.1 研究创新</w:t>
      </w:r>
    </w:p>
    <w:p>
      <w:pPr>
        <w:pStyle w:val="Heading4"/>
        <w:spacing w:after="120" w:before="180"/>
      </w:pPr>
      <w:r>
        <w:rPr>
          <w:rFonts w:ascii="SimHei" w:cs="SimHei" w:eastAsia="SimHei" w:hAnsi="SimHei"/>
          <w:b/>
          <w:bCs/>
          <w:sz w:val="24"/>
          <w:szCs w:val="24"/>
        </w:rPr>
        <w:t xml:space="preserve">（1）研究视角创新</w:t>
      </w:r>
    </w:p>
    <w:p>
      <w:pPr>
        <w:spacing w:after="60" w:line="360"/>
        <w:ind w:firstLine="480"/>
        <w:jc w:val="both"/>
      </w:pPr>
      <w:r>
        <w:rPr>
          <w:rFonts w:ascii="SimSun" w:cs="SimSun" w:eastAsia="SimSun" w:hAnsi="SimSun"/>
          <w:b w:val="false"/>
          <w:bCs w:val="false"/>
          <w:i w:val="false"/>
          <w:iCs w:val="false"/>
          <w:strike w:val="false"/>
          <w:sz w:val="24"/>
          <w:szCs w:val="24"/>
        </w:rPr>
        <w:t xml:space="preserve">现有研究多从投资者视角或政策视角研究REITs，本研究从受困房企视角出发，探索REITs的救援效应，提供了新的研究视角。</w:t>
      </w:r>
    </w:p>
    <w:p>
      <w:pPr>
        <w:pStyle w:val="Heading4"/>
        <w:spacing w:after="120" w:before="180"/>
      </w:pPr>
      <w:r>
        <w:rPr>
          <w:rFonts w:ascii="SimHei" w:cs="SimHei" w:eastAsia="SimHei" w:hAnsi="SimHei"/>
          <w:b/>
          <w:bCs/>
          <w:sz w:val="24"/>
          <w:szCs w:val="24"/>
        </w:rPr>
        <w:t xml:space="preserve">（2）理论框架创新</w:t>
      </w:r>
    </w:p>
    <w:p>
      <w:pPr>
        <w:spacing w:after="60" w:line="360"/>
        <w:ind w:firstLine="480"/>
        <w:jc w:val="both"/>
      </w:pPr>
      <w:r>
        <w:rPr>
          <w:rFonts w:ascii="SimSun" w:cs="SimSun" w:eastAsia="SimSun" w:hAnsi="SimSun"/>
          <w:b w:val="false"/>
          <w:bCs w:val="false"/>
          <w:i w:val="false"/>
          <w:iCs w:val="false"/>
          <w:strike w:val="false"/>
          <w:sz w:val="24"/>
          <w:szCs w:val="24"/>
        </w:rPr>
        <w:t xml:space="preserve">构建了"财务困境-REITs救援-财务改善"的理论框架，整合了财务困境理论、REITs理论和资产证券化理论，形成了交叉研究框架。</w:t>
      </w:r>
    </w:p>
    <w:p>
      <w:pPr>
        <w:pStyle w:val="Heading4"/>
        <w:spacing w:after="120" w:before="180"/>
      </w:pPr>
      <w:r>
        <w:rPr>
          <w:rFonts w:ascii="SimHei" w:cs="SimHei" w:eastAsia="SimHei" w:hAnsi="SimHei"/>
          <w:b/>
          <w:bCs/>
          <w:sz w:val="24"/>
          <w:szCs w:val="24"/>
        </w:rPr>
        <w:t xml:space="preserve">（3）研究方法创新</w:t>
      </w:r>
    </w:p>
    <w:p>
      <w:pPr>
        <w:spacing w:after="60" w:line="360"/>
        <w:ind w:firstLine="480"/>
        <w:jc w:val="both"/>
      </w:pPr>
      <w:r>
        <w:rPr>
          <w:rFonts w:ascii="SimSun" w:cs="SimSun" w:eastAsia="SimSun" w:hAnsi="SimSun"/>
          <w:b w:val="false"/>
          <w:bCs w:val="false"/>
          <w:i w:val="false"/>
          <w:iCs w:val="false"/>
          <w:strike w:val="false"/>
          <w:sz w:val="24"/>
          <w:szCs w:val="24"/>
        </w:rPr>
        <w:t xml:space="preserve">采用案例研究法、财务指标分析、事件研究法和比较分析法相结合的综合研究方法，提高了研究的科学性和说服力。</w:t>
      </w:r>
    </w:p>
    <w:p>
      <w:pPr>
        <w:pStyle w:val="Heading4"/>
        <w:spacing w:after="120" w:before="180"/>
      </w:pPr>
      <w:r>
        <w:rPr>
          <w:rFonts w:ascii="SimHei" w:cs="SimHei" w:eastAsia="SimHei" w:hAnsi="SimHei"/>
          <w:b/>
          <w:bCs/>
          <w:sz w:val="24"/>
          <w:szCs w:val="24"/>
        </w:rPr>
        <w:t xml:space="preserve">（4）实践应用创新</w:t>
      </w:r>
    </w:p>
    <w:p>
      <w:pPr>
        <w:spacing w:after="60" w:line="360"/>
        <w:ind w:firstLine="480"/>
        <w:jc w:val="both"/>
      </w:pPr>
      <w:r>
        <w:rPr>
          <w:rFonts w:ascii="SimSun" w:cs="SimSun" w:eastAsia="SimSun" w:hAnsi="SimSun"/>
          <w:b w:val="false"/>
          <w:bCs w:val="false"/>
          <w:i w:val="false"/>
          <w:iCs w:val="false"/>
          <w:strike w:val="false"/>
          <w:sz w:val="24"/>
          <w:szCs w:val="24"/>
        </w:rPr>
        <w:t xml:space="preserve">研究结果不仅具有理论价值，更为受困房企、REITs投资者和政策制定者提供了直接的决策参考，具有较强的实践应用价值。</w:t>
      </w:r>
    </w:p>
    <w:p>
      <w:pPr>
        <w:pStyle w:val="Heading3"/>
        <w:spacing w:after="120" w:before="240"/>
      </w:pPr>
      <w:r>
        <w:rPr>
          <w:rFonts w:ascii="SimHei" w:cs="SimHei" w:eastAsia="SimHei" w:hAnsi="SimHei"/>
          <w:b/>
          <w:bCs/>
          <w:sz w:val="24"/>
          <w:szCs w:val="24"/>
        </w:rPr>
        <w:t xml:space="preserve">1.4.2 研究局限</w:t>
      </w:r>
    </w:p>
    <w:p>
      <w:pPr>
        <w:pStyle w:val="Heading4"/>
        <w:spacing w:after="120" w:before="180"/>
      </w:pPr>
      <w:r>
        <w:rPr>
          <w:rFonts w:ascii="SimHei" w:cs="SimHei" w:eastAsia="SimHei" w:hAnsi="SimHei"/>
          <w:b/>
          <w:bCs/>
          <w:sz w:val="24"/>
          <w:szCs w:val="24"/>
        </w:rPr>
        <w:t xml:space="preserve">（1）样本局限性</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本研究采用单案例分析方法，虽然能够深入挖掘案例细节，但外部效度有限，研究结论的普遍性需要进一步验证。</w:t>
      </w:r>
    </w:p>
    <w:p>
      <w:pPr>
        <w:pStyle w:val="Heading4"/>
        <w:spacing w:after="120" w:before="180"/>
      </w:pPr>
      <w:r>
        <w:rPr>
          <w:rFonts w:ascii="SimHei" w:cs="SimHei" w:eastAsia="SimHei" w:hAnsi="SimHei"/>
          <w:b/>
          <w:bCs/>
          <w:sz w:val="24"/>
          <w:szCs w:val="24"/>
        </w:rPr>
        <w:t xml:space="preserve">（2）时间局限性</w:t>
      </w:r>
    </w:p>
    <w:p>
      <w:pPr>
        <w:spacing w:after="60" w:line="360"/>
        <w:ind w:firstLine="480"/>
        <w:jc w:val="both"/>
      </w:pPr>
      <w:r>
        <w:rPr>
          <w:rFonts w:ascii="SimSun" w:cs="SimSun" w:eastAsia="SimSun" w:hAnsi="SimSun"/>
          <w:b w:val="false"/>
          <w:bCs w:val="false"/>
          <w:i w:val="false"/>
          <w:iCs w:val="false"/>
          <w:strike w:val="false"/>
          <w:sz w:val="24"/>
          <w:szCs w:val="24"/>
        </w:rPr>
        <w:t xml:space="preserve">大悦城REITs于2024年发行，可供观察的时间窗口较短，长期效应难以评估，未来需要持续跟踪研究。</w:t>
      </w:r>
    </w:p>
    <w:p>
      <w:pPr>
        <w:pStyle w:val="Heading4"/>
        <w:spacing w:after="120" w:before="180"/>
      </w:pPr>
      <w:r>
        <w:rPr>
          <w:rFonts w:ascii="SimHei" w:cs="SimHei" w:eastAsia="SimHei" w:hAnsi="SimHei"/>
          <w:b/>
          <w:bCs/>
          <w:sz w:val="24"/>
          <w:szCs w:val="24"/>
        </w:rPr>
        <w:t xml:space="preserve">（3）数据局限性</w:t>
      </w:r>
    </w:p>
    <w:p>
      <w:pPr>
        <w:spacing w:after="60" w:line="360"/>
        <w:ind w:firstLine="480"/>
        <w:jc w:val="both"/>
      </w:pPr>
      <w:r>
        <w:rPr>
          <w:rFonts w:ascii="SimSun" w:cs="SimSun" w:eastAsia="SimSun" w:hAnsi="SimSun"/>
          <w:b w:val="false"/>
          <w:bCs w:val="false"/>
          <w:i w:val="false"/>
          <w:iCs w:val="false"/>
          <w:strike w:val="false"/>
          <w:sz w:val="24"/>
          <w:szCs w:val="24"/>
        </w:rPr>
        <w:t xml:space="preserve">部分敏感财务数据难以获取，可能影响分析的全面性。同时，REITs产品的详细运营数据获取存在一定困难。</w:t>
      </w:r>
    </w:p>
    <w:p>
      <w:pPr>
        <w:pStyle w:val="Heading4"/>
        <w:spacing w:after="120" w:before="180"/>
      </w:pPr>
      <w:r>
        <w:rPr>
          <w:rFonts w:ascii="SimHei" w:cs="SimHei" w:eastAsia="SimHei" w:hAnsi="SimHei"/>
          <w:b/>
          <w:bCs/>
          <w:sz w:val="24"/>
          <w:szCs w:val="24"/>
        </w:rPr>
        <w:t xml:space="preserve">（4）模型局限性</w:t>
      </w:r>
    </w:p>
    <w:p>
      <w:pPr>
        <w:spacing w:after="60" w:line="360"/>
        <w:ind w:firstLine="480"/>
        <w:jc w:val="both"/>
      </w:pPr>
      <w:r>
        <w:rPr>
          <w:rFonts w:ascii="SimSun" w:cs="SimSun" w:eastAsia="SimSun" w:hAnsi="SimSun"/>
          <w:b w:val="false"/>
          <w:bCs w:val="false"/>
          <w:i w:val="false"/>
          <w:iCs w:val="false"/>
          <w:strike w:val="false"/>
          <w:sz w:val="24"/>
          <w:szCs w:val="24"/>
        </w:rPr>
        <w:t xml:space="preserve">实证模型虽然尽可能控制了内生性问题，但难以完全排除其他因素对研究结果的干扰。</w:t>
      </w:r>
    </w:p>
    <w:p>
      <w:pPr>
        <w:pStyle w:val="Heading2"/>
        <w:spacing w:after="180" w:before="360"/>
      </w:pPr>
      <w:r>
        <w:rPr>
          <w:rFonts w:ascii="SimHei" w:cs="SimHei" w:eastAsia="SimHei" w:hAnsi="SimHei"/>
          <w:b/>
          <w:bCs/>
          <w:sz w:val="28"/>
          <w:szCs w:val="28"/>
        </w:rPr>
        <w:t xml:space="preserve">1.5 论文结构安排</w:t>
      </w:r>
    </w:p>
    <w:p>
      <w:pPr>
        <w:spacing w:after="60" w:line="360"/>
        <w:ind w:firstLine="480"/>
        <w:jc w:val="both"/>
      </w:pPr>
      <w:r>
        <w:rPr>
          <w:rFonts w:ascii="SimSun" w:cs="SimSun" w:eastAsia="SimSun" w:hAnsi="SimSun"/>
          <w:b w:val="false"/>
          <w:bCs w:val="false"/>
          <w:i w:val="false"/>
          <w:iCs w:val="false"/>
          <w:strike w:val="false"/>
          <w:sz w:val="24"/>
          <w:szCs w:val="24"/>
        </w:rPr>
        <w:t xml:space="preserve">本论文共分为七章，具体结构安排如下：</w:t>
      </w:r>
    </w:p>
    <w:p>
      <w:pPr>
        <w:spacing w:after="60" w:line="360"/>
        <w:ind w:firstLine="480"/>
        <w:jc w:val="both"/>
      </w:pPr>
      <w:r>
        <w:rPr>
          <w:rFonts w:ascii="SimSun" w:cs="SimSun" w:eastAsia="SimSun" w:hAnsi="SimSun"/>
          <w:b/>
          <w:bCs/>
          <w:i w:val="false"/>
          <w:iCs w:val="false"/>
          <w:strike w:val="false"/>
          <w:sz w:val="24"/>
          <w:szCs w:val="24"/>
        </w:rPr>
        <w:t xml:space="preserve">第一章：绪论</w:t>
      </w:r>
      <w:r>
        <w:rPr>
          <w:rFonts w:ascii="SimSun" w:cs="SimSun" w:eastAsia="SimSun" w:hAnsi="SimSun"/>
          <w:b w:val="false"/>
          <w:bCs w:val="false"/>
          <w:i w:val="false"/>
          <w:iCs w:val="false"/>
          <w:strike w:val="false"/>
          <w:sz w:val="24"/>
          <w:szCs w:val="24"/>
        </w:rPr>
        <w:t xml:space="preserve"> 阐述研究背景与意义，提出研究难题与目标，说明研究方法与理论框架，指出研究创新与局限。</w:t>
      </w:r>
    </w:p>
    <w:p>
      <w:pPr>
        <w:spacing w:after="60" w:line="360"/>
        <w:ind w:firstLine="480"/>
        <w:jc w:val="both"/>
      </w:pPr>
      <w:r>
        <w:rPr>
          <w:rFonts w:ascii="SimSun" w:cs="SimSun" w:eastAsia="SimSun" w:hAnsi="SimSun"/>
          <w:b/>
          <w:bCs/>
          <w:i w:val="false"/>
          <w:iCs w:val="false"/>
          <w:strike w:val="false"/>
          <w:sz w:val="24"/>
          <w:szCs w:val="24"/>
        </w:rPr>
        <w:t xml:space="preserve">第二章：文献综述</w:t>
      </w:r>
      <w:r>
        <w:rPr>
          <w:rFonts w:ascii="SimSun" w:cs="SimSun" w:eastAsia="SimSun" w:hAnsi="SimSun"/>
          <w:b w:val="false"/>
          <w:bCs w:val="false"/>
          <w:i w:val="false"/>
          <w:iCs w:val="false"/>
          <w:strike w:val="false"/>
          <w:sz w:val="24"/>
          <w:szCs w:val="24"/>
        </w:rPr>
        <w:t xml:space="preserve"> 系统梳理REITs理论、财务困境理论、资产证券化理论的相关研究，评述研究现状，指出研究缺口。</w:t>
      </w:r>
    </w:p>
    <w:p>
      <w:pPr>
        <w:spacing w:after="60" w:line="360"/>
        <w:ind w:firstLine="480"/>
        <w:jc w:val="both"/>
      </w:pPr>
      <w:r>
        <w:rPr>
          <w:rFonts w:ascii="SimSun" w:cs="SimSun" w:eastAsia="SimSun" w:hAnsi="SimSun"/>
          <w:b/>
          <w:bCs/>
          <w:i w:val="false"/>
          <w:iCs w:val="false"/>
          <w:strike w:val="false"/>
          <w:sz w:val="24"/>
          <w:szCs w:val="24"/>
        </w:rPr>
        <w:t xml:space="preserve">第三章：理论基础与分析框架</w:t>
      </w:r>
      <w:r>
        <w:rPr>
          <w:rFonts w:ascii="SimSun" w:cs="SimSun" w:eastAsia="SimSun" w:hAnsi="SimSun"/>
          <w:b w:val="false"/>
          <w:bCs w:val="false"/>
          <w:i w:val="false"/>
          <w:iCs w:val="false"/>
          <w:strike w:val="false"/>
          <w:sz w:val="24"/>
          <w:szCs w:val="24"/>
        </w:rPr>
        <w:t xml:space="preserve"> 构建REITs效应受困房企的理论分析框架，提出研究假设，说明研究设计。</w:t>
      </w:r>
    </w:p>
    <w:p>
      <w:pPr>
        <w:spacing w:after="60" w:line="360"/>
        <w:ind w:firstLine="480"/>
        <w:jc w:val="both"/>
      </w:pPr>
      <w:r>
        <w:rPr>
          <w:rFonts w:ascii="SimSun" w:cs="SimSun" w:eastAsia="SimSun" w:hAnsi="SimSun"/>
          <w:b/>
          <w:bCs/>
          <w:i w:val="false"/>
          <w:iCs w:val="false"/>
          <w:strike w:val="false"/>
          <w:sz w:val="24"/>
          <w:szCs w:val="24"/>
        </w:rPr>
        <w:t xml:space="preserve">第四章：案例介绍</w:t>
      </w:r>
      <w:r>
        <w:rPr>
          <w:rFonts w:ascii="SimSun" w:cs="SimSun" w:eastAsia="SimSun" w:hAnsi="SimSun"/>
          <w:b w:val="false"/>
          <w:bCs w:val="false"/>
          <w:i w:val="false"/>
          <w:iCs w:val="false"/>
          <w:strike w:val="false"/>
          <w:sz w:val="24"/>
          <w:szCs w:val="24"/>
        </w:rPr>
        <w:t xml:space="preserve"> 介绍大悦城集团概况、财务困境现状、REITs发行过程，说明案例选择的理由。</w:t>
      </w:r>
    </w:p>
    <w:p>
      <w:pPr>
        <w:spacing w:after="60" w:line="360"/>
        <w:ind w:firstLine="480"/>
        <w:jc w:val="both"/>
      </w:pPr>
      <w:r>
        <w:rPr>
          <w:rFonts w:ascii="SimSun" w:cs="SimSun" w:eastAsia="SimSun" w:hAnsi="SimSun"/>
          <w:b/>
          <w:bCs/>
          <w:i w:val="false"/>
          <w:iCs w:val="false"/>
          <w:strike w:val="false"/>
          <w:sz w:val="24"/>
          <w:szCs w:val="24"/>
        </w:rPr>
        <w:t xml:space="preserve">第五章：数据分析</w:t>
      </w:r>
      <w:r>
        <w:rPr>
          <w:rFonts w:ascii="SimSun" w:cs="SimSun" w:eastAsia="SimSun" w:hAnsi="SimSun"/>
          <w:b w:val="false"/>
          <w:bCs w:val="false"/>
          <w:i w:val="false"/>
          <w:iCs w:val="false"/>
          <w:strike w:val="false"/>
          <w:sz w:val="24"/>
          <w:szCs w:val="24"/>
        </w:rPr>
        <w:t xml:space="preserve"> 分析REITs发行前后大悦城财务指标的变化，对比万科、保利的发展情况。</w:t>
      </w:r>
    </w:p>
    <w:p>
      <w:pPr>
        <w:spacing w:after="60" w:line="360"/>
        <w:ind w:firstLine="480"/>
        <w:jc w:val="both"/>
      </w:pPr>
      <w:r>
        <w:rPr>
          <w:rFonts w:ascii="SimSun" w:cs="SimSun" w:eastAsia="SimSun" w:hAnsi="SimSun"/>
          <w:b/>
          <w:bCs/>
          <w:i w:val="false"/>
          <w:iCs w:val="false"/>
          <w:strike w:val="false"/>
          <w:sz w:val="24"/>
          <w:szCs w:val="24"/>
        </w:rPr>
        <w:t xml:space="preserve">第六章：机制分析</w:t>
      </w:r>
      <w:r>
        <w:rPr>
          <w:rFonts w:ascii="SimSun" w:cs="SimSun" w:eastAsia="SimSun" w:hAnsi="SimSun"/>
          <w:b w:val="false"/>
          <w:bCs w:val="false"/>
          <w:i w:val="false"/>
          <w:iCs w:val="false"/>
          <w:strike w:val="false"/>
          <w:sz w:val="24"/>
          <w:szCs w:val="24"/>
        </w:rPr>
        <w:t xml:space="preserve"> 检验REITs影响受困房企的机制，包括融资成本降低机制、资产负债重构机制、运营效率提升机制。</w:t>
      </w:r>
    </w:p>
    <w:p>
      <w:pPr>
        <w:spacing w:after="60" w:line="360"/>
        <w:ind w:firstLine="480"/>
        <w:jc w:val="both"/>
      </w:pPr>
      <w:r>
        <w:rPr>
          <w:rFonts w:ascii="SimSun" w:cs="SimSun" w:eastAsia="SimSun" w:hAnsi="SimSun"/>
          <w:b/>
          <w:bCs/>
          <w:i w:val="false"/>
          <w:iCs w:val="false"/>
          <w:strike w:val="false"/>
          <w:sz w:val="24"/>
          <w:szCs w:val="24"/>
        </w:rPr>
        <w:t xml:space="preserve">第七章：结论与建议</w:t>
      </w:r>
      <w:r>
        <w:rPr>
          <w:rFonts w:ascii="SimSun" w:cs="SimSun" w:eastAsia="SimSun" w:hAnsi="SimSun"/>
          <w:b w:val="false"/>
          <w:bCs w:val="false"/>
          <w:i w:val="false"/>
          <w:iCs w:val="false"/>
          <w:strike w:val="false"/>
          <w:sz w:val="24"/>
          <w:szCs w:val="24"/>
        </w:rPr>
        <w:t xml:space="preserve"> 总结数据表明，阐述理论贡献，提出实践启示，指出研究局限与未来展望。</w:t>
      </w:r>
    </w:p>
    <w:p>
      <w:pPr>
        <w:pStyle w:val="Heading2"/>
        <w:spacing w:after="180" w:before="360"/>
      </w:pPr>
      <w:r>
        <w:rPr>
          <w:rFonts w:ascii="SimHei" w:cs="SimHei" w:eastAsia="SimHei" w:hAnsi="SimHei"/>
          <w:b/>
          <w:bCs/>
          <w:sz w:val="28"/>
          <w:szCs w:val="28"/>
        </w:rPr>
        <w:t xml:space="preserve">1.6 本章小结</w:t>
      </w:r>
    </w:p>
    <w:p>
      <w:pPr>
        <w:spacing w:after="60" w:line="360"/>
        <w:ind w:firstLine="480"/>
        <w:jc w:val="both"/>
      </w:pPr>
      <w:r>
        <w:rPr>
          <w:rFonts w:ascii="SimSun" w:cs="SimSun" w:eastAsia="SimSun" w:hAnsi="SimSun"/>
          <w:b w:val="false"/>
          <w:bCs w:val="false"/>
          <w:i w:val="false"/>
          <w:iCs w:val="false"/>
          <w:strike w:val="false"/>
          <w:sz w:val="24"/>
          <w:szCs w:val="24"/>
        </w:rPr>
        <w:t xml:space="preserve">本章从宏观和微观两个层面阐述了研究背景，指出了REITs对受困房企变革效应研究的理论与实践意义。提出了核心研究问题和具体研究目标，说明了采用案例研究法、财务指标分析、事件研究法和比较分析法相结合的研究方法。构建了研究框架和技术路线，指出了研究的创新点和局限性，最后需要强调的是说明了论文的结构安排。</w:t>
      </w:r>
    </w:p>
    <w:p>
      <w:pPr>
        <w:spacing w:after="60" w:line="360"/>
        <w:ind w:firstLine="480"/>
        <w:jc w:val="both"/>
      </w:pPr>
      <w:r>
        <w:rPr>
          <w:rFonts w:ascii="SimSun" w:cs="SimSun" w:eastAsia="SimSun" w:hAnsi="SimSun"/>
          <w:b/>
          <w:bCs/>
          <w:i w:val="false"/>
          <w:iCs w:val="false"/>
          <w:strike w:val="false"/>
          <w:sz w:val="24"/>
          <w:szCs w:val="24"/>
        </w:rPr>
        <w:t xml:space="preserve">参考文献</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val="false"/>
          <w:bCs w:val="false"/>
          <w:sz w:val="24"/>
          <w:szCs w:val="24"/>
        </w:rPr>
        <w:t xml:space="preserve">国家统计局. (2025). 2024年国民经济和社会发展统计公报.</w:t>
      </w:r>
    </w:p>
    <w:p>
      <w:pPr>
        <w:spacing w:after="40" w:line="340"/>
        <w:ind w:left="480" w:hanging="280"/>
      </w:pPr>
      <w:r>
        <w:rPr>
          <w:rFonts w:ascii="SimSun" w:cs="SimSun" w:eastAsia="SimSun" w:hAnsi="SimSun"/>
          <w:sz w:val="24"/>
          <w:szCs w:val="24"/>
        </w:rPr>
        <w:t xml:space="preserve">2. </w:t>
      </w:r>
      <w:r>
        <w:rPr>
          <w:rFonts w:ascii="SimSun" w:cs="SimSun" w:eastAsia="SimSun" w:hAnsi="SimSun"/>
          <w:b w:val="false"/>
          <w:bCs w:val="false"/>
          <w:sz w:val="24"/>
          <w:szCs w:val="24"/>
        </w:rPr>
        <w:t xml:space="preserve">中国证监会. (2025). 2024年公募REITs市场发展报告.</w:t>
      </w:r>
    </w:p>
    <w:p>
      <w:pPr>
        <w:spacing w:after="40" w:line="340"/>
        <w:ind w:left="480" w:hanging="280"/>
      </w:pPr>
      <w:r>
        <w:rPr>
          <w:rFonts w:ascii="SimSun" w:cs="SimSun" w:eastAsia="SimSun" w:hAnsi="SimSun"/>
          <w:sz w:val="24"/>
          <w:szCs w:val="24"/>
        </w:rPr>
        <w:t xml:space="preserve">3. </w:t>
      </w:r>
      <w:r>
        <w:rPr>
          <w:rFonts w:ascii="SimSun" w:cs="SimSun" w:eastAsia="SimSun" w:hAnsi="SimSun"/>
          <w:b w:val="false"/>
          <w:bCs w:val="false"/>
          <w:sz w:val="24"/>
          <w:szCs w:val="24"/>
        </w:rPr>
        <w:t xml:space="preserve">大悦城控股集团股份有限公司. (2024). 2024年年度报告.</w:t>
      </w:r>
    </w:p>
    <w:p>
      <w:pPr>
        <w:spacing w:after="40" w:line="340"/>
        <w:ind w:left="480" w:hanging="280"/>
      </w:pPr>
      <w:r>
        <w:rPr>
          <w:rFonts w:ascii="SimSun" w:cs="SimSun" w:eastAsia="SimSun" w:hAnsi="SimSun"/>
          <w:sz w:val="24"/>
          <w:szCs w:val="24"/>
        </w:rPr>
        <w:t xml:space="preserve">4. </w:t>
      </w:r>
      <w:r>
        <w:rPr>
          <w:rFonts w:ascii="SimSun" w:cs="SimSun" w:eastAsia="SimSun" w:hAnsi="SimSun"/>
          <w:b w:val="false"/>
          <w:bCs w:val="false"/>
          <w:sz w:val="24"/>
          <w:szCs w:val="24"/>
        </w:rPr>
        <w:t xml:space="preserve">深圳证券交易所. (2024). 华夏大悦城购物中心REIT招募说明书.</w:t>
      </w:r>
    </w:p>
    <w:p>
      <w:pPr>
        <w:spacing w:after="40" w:line="340"/>
        <w:ind w:left="480" w:hanging="280"/>
      </w:pPr>
      <w:r>
        <w:rPr>
          <w:rFonts w:ascii="SimSun" w:cs="SimSun" w:eastAsia="SimSun" w:hAnsi="SimSun"/>
          <w:sz w:val="24"/>
          <w:szCs w:val="24"/>
        </w:rPr>
        <w:t xml:space="preserve">5. </w:t>
      </w:r>
      <w:r>
        <w:rPr>
          <w:rFonts w:ascii="SimSun" w:cs="SimSun" w:eastAsia="SimSun" w:hAnsi="SimSun"/>
          <w:b w:val="false"/>
          <w:bCs w:val="false"/>
          <w:sz w:val="24"/>
          <w:szCs w:val="24"/>
        </w:rPr>
        <w:t xml:space="preserve">Modigliani, F., &amp; Miller, M. H. (1958). The cost of capital, corporation finance and the theory of investment. American Economic Review, 48(3), 261-297.</w:t>
      </w:r>
    </w:p>
    <w:p>
      <w:pPr>
        <w:spacing w:after="40" w:line="340"/>
        <w:ind w:left="480" w:hanging="280"/>
      </w:pPr>
      <w:r>
        <w:rPr>
          <w:rFonts w:ascii="SimSun" w:cs="SimSun" w:eastAsia="SimSun" w:hAnsi="SimSun"/>
          <w:sz w:val="24"/>
          <w:szCs w:val="24"/>
        </w:rPr>
        <w:t xml:space="preserve">6. </w:t>
      </w:r>
      <w:r>
        <w:rPr>
          <w:rFonts w:ascii="SimSun" w:cs="SimSun" w:eastAsia="SimSun" w:hAnsi="SimSun"/>
          <w:b w:val="false"/>
          <w:bCs w:val="false"/>
          <w:sz w:val="24"/>
          <w:szCs w:val="24"/>
        </w:rPr>
        <w:t xml:space="preserve">Altman, E. I. (1968). Financial ratios, discriminant analysis and the prediction of corporate bankruptcy. Journal of Finance, 23(4), 589-609.</w:t>
      </w:r>
    </w:p>
    <w:p>
      <w:pPr>
        <w:spacing w:after="40" w:line="340"/>
        <w:ind w:left="480" w:hanging="280"/>
      </w:pPr>
      <w:r>
        <w:rPr>
          <w:rFonts w:ascii="SimSun" w:cs="SimSun" w:eastAsia="SimSun" w:hAnsi="SimSun"/>
          <w:sz w:val="24"/>
          <w:szCs w:val="24"/>
        </w:rPr>
        <w:t xml:space="preserve">7. </w:t>
      </w:r>
      <w:r>
        <w:rPr>
          <w:rFonts w:ascii="SimSun" w:cs="SimSun" w:eastAsia="SimSun" w:hAnsi="SimSun"/>
          <w:b w:val="false"/>
          <w:bCs w:val="false"/>
          <w:sz w:val="24"/>
          <w:szCs w:val="24"/>
        </w:rPr>
        <w:t xml:space="preserve">Geltner, D., Miller, N. G., Clayton, J., &amp; Eichholtz, P. (2014). Commercial real estate analysis and investments. Cengage Learning.</w:t>
      </w:r>
    </w:p>
    <w:p>
      <w:pPr>
        <w:spacing w:after="40" w:line="340"/>
        <w:ind w:left="480" w:hanging="280"/>
      </w:pPr>
      <w:r>
        <w:rPr>
          <w:rFonts w:ascii="SimSun" w:cs="SimSun" w:eastAsia="SimSun" w:hAnsi="SimSun"/>
          <w:sz w:val="24"/>
          <w:szCs w:val="24"/>
        </w:rPr>
        <w:t xml:space="preserve">8. </w:t>
      </w:r>
      <w:r>
        <w:rPr>
          <w:rFonts w:ascii="SimSun" w:cs="SimSun" w:eastAsia="SimSun" w:hAnsi="SimSun"/>
          <w:b w:val="false"/>
          <w:bCs w:val="false"/>
          <w:sz w:val="24"/>
          <w:szCs w:val="24"/>
        </w:rPr>
        <w:t xml:space="preserve">Chan, S. H., Erickson, J., &amp; Wang, K. (2003). Real estate investment trusts: Structure, performance, and investment opportunities. Oxford University Press.</w:t>
      </w:r>
    </w:p>
    <w:p>
      <w:pPr>
        <w:pStyle w:val="Heading1"/>
        <w:spacing w:after="240" w:before="480"/>
      </w:pPr>
      <w:r>
        <w:rPr>
          <w:rFonts w:ascii="SimHei" w:cs="SimHei" w:eastAsia="SimHei" w:hAnsi="SimHei"/>
          <w:b/>
          <w:bCs/>
          <w:sz w:val="32"/>
          <w:szCs w:val="32"/>
        </w:rPr>
        <w:t xml:space="preserve">第二章 文献综述</w:t>
      </w:r>
    </w:p>
    <w:p>
      <w:pPr>
        <w:spacing w:after="60" w:line="360"/>
        <w:ind w:firstLine="480"/>
        <w:jc w:val="both"/>
      </w:pPr>
      <w:r>
        <w:rPr>
          <w:rFonts w:ascii="SimSun" w:cs="SimSun" w:eastAsia="SimSun" w:hAnsi="SimSun"/>
          <w:b/>
          <w:bCs/>
          <w:i w:val="false"/>
          <w:iCs w:val="false"/>
          <w:strike w:val="false"/>
          <w:sz w:val="24"/>
          <w:szCs w:val="24"/>
        </w:rPr>
        <w:t xml:space="preserve">本章核心论点</w:t>
      </w:r>
      <w:r>
        <w:rPr>
          <w:rFonts w:ascii="SimSun" w:cs="SimSun" w:eastAsia="SimSun" w:hAnsi="SimSun"/>
          <w:b w:val="false"/>
          <w:bCs w:val="false"/>
          <w:i w:val="false"/>
          <w:iCs w:val="false"/>
          <w:strike w:val="false"/>
          <w:sz w:val="24"/>
          <w:szCs w:val="24"/>
        </w:rPr>
        <w:t xml:space="preserve">：通过系统梳理REITs理论、财务困境理论和资产证券化理论，并与经典公司金融理论（MM理论、代理理论、信号理论）进行深度对话，形成了"资本结构优化-代理问题缓解-融资困境突破-信号效应增强"的四重解释框架，为后续实证研究提供坚实的理论基础。</w:t>
      </w:r>
    </w:p>
    <w:p>
      <w:pPr>
        <w:pStyle w:val="Heading2"/>
        <w:spacing w:after="180" w:before="360"/>
      </w:pPr>
      <w:r>
        <w:rPr>
          <w:rFonts w:ascii="SimHei" w:cs="SimHei" w:eastAsia="SimHei" w:hAnsi="SimHei"/>
          <w:b/>
          <w:bCs/>
          <w:sz w:val="28"/>
          <w:szCs w:val="28"/>
        </w:rPr>
        <w:t xml:space="preserve">2.1 REITs理论基础：从资产证券化到金融创新</w:t>
      </w:r>
    </w:p>
    <w:p>
      <w:pPr>
        <w:pStyle w:val="Heading3"/>
        <w:spacing w:after="120" w:before="240"/>
      </w:pPr>
      <w:r>
        <w:rPr>
          <w:rFonts w:ascii="SimHei" w:cs="SimHei" w:eastAsia="SimHei" w:hAnsi="SimHei"/>
          <w:b/>
          <w:bCs/>
          <w:sz w:val="24"/>
          <w:szCs w:val="24"/>
        </w:rPr>
        <w:t xml:space="preserve">2.1.1 REITs的定义、特征与理论渊源</w:t>
      </w:r>
    </w:p>
    <w:p>
      <w:pPr>
        <w:spacing w:after="60" w:line="360"/>
        <w:ind w:firstLine="480"/>
        <w:jc w:val="both"/>
      </w:pPr>
      <w:r>
        <w:rPr>
          <w:rFonts w:ascii="SimSun" w:cs="SimSun" w:eastAsia="SimSun" w:hAnsi="SimSun"/>
          <w:b w:val="false"/>
          <w:bCs w:val="false"/>
          <w:i w:val="false"/>
          <w:iCs w:val="false"/>
          <w:strike w:val="false"/>
          <w:sz w:val="24"/>
          <w:szCs w:val="24"/>
        </w:rPr>
        <w:t xml:space="preserve">房地产投资信托基金（Real Estate Investment Trusts，简称REITs）是一种将房地产投资证券化的金融工具，其理论渊源可追溯至金融创新理论和资产证券化理论。</w:t>
      </w:r>
    </w:p>
    <w:p>
      <w:pPr>
        <w:pStyle w:val="Heading4"/>
        <w:spacing w:after="120" w:before="180"/>
      </w:pPr>
      <w:r>
        <w:rPr>
          <w:rFonts w:ascii="SimHei" w:cs="SimHei" w:eastAsia="SimHei" w:hAnsi="SimHei"/>
          <w:b/>
          <w:bCs/>
          <w:sz w:val="24"/>
          <w:szCs w:val="24"/>
        </w:rPr>
        <w:t xml:space="preserve">1. REITs的理论基础：资产证券化理论</w:t>
      </w:r>
    </w:p>
    <w:p>
      <w:pPr>
        <w:spacing w:after="60" w:line="360"/>
        <w:ind w:firstLine="480"/>
        <w:jc w:val="both"/>
      </w:pPr>
      <w:r>
        <w:rPr>
          <w:rFonts w:ascii="SimSun" w:cs="SimSun" w:eastAsia="SimSun" w:hAnsi="SimSun"/>
          <w:b/>
          <w:bCs/>
          <w:i w:val="false"/>
          <w:iCs w:val="false"/>
          <w:strike w:val="false"/>
          <w:sz w:val="24"/>
          <w:szCs w:val="24"/>
        </w:rPr>
        <w:t xml:space="preserve">资产证券化（Asset Securitization）理论</w:t>
      </w:r>
      <w:r>
        <w:rPr>
          <w:rFonts w:ascii="SimSun" w:cs="SimSun" w:eastAsia="SimSun" w:hAnsi="SimSun"/>
          <w:b w:val="false"/>
          <w:bCs w:val="false"/>
          <w:i w:val="false"/>
          <w:iCs w:val="false"/>
          <w:strike w:val="false"/>
          <w:sz w:val="24"/>
          <w:szCs w:val="24"/>
        </w:rPr>
        <w:t xml:space="preserve">（Fabozzi &amp; Kothari, 2007）：</w:t>
      </w:r>
    </w:p>
    <w:p>
      <w:pPr>
        <w:spacing w:after="40" w:line="340"/>
        <w:ind w:left="480" w:hanging="0"/>
      </w:pPr>
      <w:r>
        <w:rPr>
          <w:rFonts w:ascii="SimSun" w:cs="SimSun" w:eastAsia="SimSun" w:hAnsi="SimSun"/>
          <w:b/>
          <w:bCs/>
          <w:sz w:val="24"/>
          <w:szCs w:val="24"/>
        </w:rPr>
        <w:t xml:space="preserve">核心观点</w:t>
      </w:r>
      <w:r>
        <w:rPr>
          <w:rFonts w:ascii="SimSun" w:cs="SimSun" w:eastAsia="SimSun" w:hAnsi="SimSun"/>
          <w:b w:val="false"/>
          <w:bCs w:val="false"/>
          <w:sz w:val="24"/>
          <w:szCs w:val="24"/>
        </w:rPr>
        <w:t xml:space="preserve">：将缺乏流动性但能产生稳定现金流的资产转化为可交易证券</w:t>
      </w:r>
    </w:p>
    <w:p>
      <w:pPr>
        <w:spacing w:after="40" w:line="340"/>
        <w:ind w:left="480" w:hanging="0"/>
      </w:pPr>
      <w:r>
        <w:rPr>
          <w:rFonts w:ascii="SimSun" w:cs="SimSun" w:eastAsia="SimSun" w:hAnsi="SimSun"/>
          <w:b/>
          <w:bCs/>
          <w:sz w:val="24"/>
          <w:szCs w:val="24"/>
        </w:rPr>
        <w:t xml:space="preserve">REITs应用</w:t>
      </w:r>
      <w:r>
        <w:rPr>
          <w:rFonts w:ascii="SimSun" w:cs="SimSun" w:eastAsia="SimSun" w:hAnsi="SimSun"/>
          <w:b w:val="false"/>
          <w:bCs w:val="false"/>
          <w:sz w:val="24"/>
          <w:szCs w:val="24"/>
        </w:rPr>
        <w:t xml:space="preserve">：将房地产这种非流动性资产转化为标准化、可交易的金融产品</w:t>
      </w:r>
    </w:p>
    <w:p>
      <w:pPr>
        <w:spacing w:after="40" w:line="340"/>
        <w:ind w:left="480" w:hanging="0"/>
      </w:pPr>
      <w:r>
        <w:rPr>
          <w:rFonts w:ascii="SimSun" w:cs="SimSun" w:eastAsia="SimSun" w:hAnsi="SimSun"/>
          <w:b/>
          <w:bCs/>
          <w:sz w:val="24"/>
          <w:szCs w:val="24"/>
        </w:rPr>
        <w:t xml:space="preserve">理论贡献</w:t>
      </w:r>
      <w:r>
        <w:rPr>
          <w:rFonts w:ascii="SimSun" w:cs="SimSun" w:eastAsia="SimSun" w:hAnsi="SimSun"/>
          <w:b w:val="false"/>
          <w:bCs w:val="false"/>
          <w:sz w:val="24"/>
          <w:szCs w:val="24"/>
        </w:rPr>
        <w:t xml:space="preserve">：解决了房地产投资"流动性困境"，实现风险分散和资本配置优化</w:t>
      </w:r>
    </w:p>
    <w:p>
      <w:pPr>
        <w:pStyle w:val="Heading4"/>
        <w:spacing w:after="120" w:before="180"/>
      </w:pPr>
      <w:r>
        <w:rPr>
          <w:rFonts w:ascii="SimHei" w:cs="SimHei" w:eastAsia="SimHei" w:hAnsi="SimHei"/>
          <w:b/>
          <w:bCs/>
          <w:sz w:val="24"/>
          <w:szCs w:val="24"/>
        </w:rPr>
        <w:t xml:space="preserve">2. REITs的金融创新理论解释</w:t>
      </w:r>
    </w:p>
    <w:p>
      <w:pPr>
        <w:spacing w:after="60" w:line="360"/>
        <w:ind w:firstLine="480"/>
        <w:jc w:val="both"/>
      </w:pPr>
      <w:r>
        <w:rPr>
          <w:rFonts w:ascii="SimSun" w:cs="SimSun" w:eastAsia="SimSun" w:hAnsi="SimSun"/>
          <w:b/>
          <w:bCs/>
          <w:i w:val="false"/>
          <w:iCs w:val="false"/>
          <w:strike w:val="false"/>
          <w:sz w:val="24"/>
          <w:szCs w:val="24"/>
        </w:rPr>
        <w:t xml:space="preserve">金融创新理论</w:t>
      </w:r>
      <w:r>
        <w:rPr>
          <w:rFonts w:ascii="SimSun" w:cs="SimSun" w:eastAsia="SimSun" w:hAnsi="SimSun"/>
          <w:b w:val="false"/>
          <w:bCs w:val="false"/>
          <w:i w:val="false"/>
          <w:iCs w:val="false"/>
          <w:strike w:val="false"/>
          <w:sz w:val="24"/>
          <w:szCs w:val="24"/>
        </w:rPr>
        <w:t xml:space="preserve">（Merton, 1992）视角下的REITs：</w:t>
      </w:r>
    </w:p>
    <w:p>
      <w:pPr>
        <w:spacing w:after="40" w:line="340"/>
        <w:ind w:left="480" w:hanging="0"/>
      </w:pPr>
      <w:r>
        <w:rPr>
          <w:rFonts w:ascii="SimSun" w:cs="SimSun" w:eastAsia="SimSun" w:hAnsi="SimSun"/>
          <w:b/>
          <w:bCs/>
          <w:sz w:val="24"/>
          <w:szCs w:val="24"/>
        </w:rPr>
        <w:t xml:space="preserve">功能观点</w:t>
      </w:r>
      <w:r>
        <w:rPr>
          <w:rFonts w:ascii="SimSun" w:cs="SimSun" w:eastAsia="SimSun" w:hAnsi="SimSun"/>
          <w:b w:val="false"/>
          <w:bCs w:val="false"/>
          <w:sz w:val="24"/>
          <w:szCs w:val="24"/>
        </w:rPr>
        <w:t xml:space="preserve">：金融创新通过完善市场功能提高金融体系效率</w:t>
      </w:r>
    </w:p>
    <w:p>
      <w:pPr>
        <w:spacing w:after="40" w:line="340"/>
        <w:ind w:left="480" w:hanging="0"/>
      </w:pPr>
      <w:r>
        <w:rPr>
          <w:rFonts w:ascii="SimSun" w:cs="SimSun" w:eastAsia="SimSun" w:hAnsi="SimSun"/>
          <w:b/>
          <w:bCs/>
          <w:sz w:val="24"/>
          <w:szCs w:val="24"/>
        </w:rPr>
        <w:t xml:space="preserve">REITs功能</w:t>
      </w:r>
      <w:r>
        <w:rPr>
          <w:rFonts w:ascii="SimSun" w:cs="SimSun" w:eastAsia="SimSun" w:hAnsi="SimSun"/>
          <w:b w:val="false"/>
          <w:bCs w:val="false"/>
          <w:sz w:val="24"/>
          <w:szCs w:val="24"/>
        </w:rPr>
        <w:t xml:space="preserve">：填补房地产投资市场的"缺失环节"（missing market）</w:t>
      </w:r>
    </w:p>
    <w:p>
      <w:pPr>
        <w:spacing w:after="40" w:line="340"/>
        <w:ind w:left="480" w:hanging="0"/>
      </w:pPr>
      <w:r>
        <w:rPr>
          <w:rFonts w:ascii="SimSun" w:cs="SimSun" w:eastAsia="SimSun" w:hAnsi="SimSun"/>
          <w:b/>
          <w:bCs/>
          <w:sz w:val="24"/>
          <w:szCs w:val="24"/>
        </w:rPr>
        <w:t xml:space="preserve">创新价值</w:t>
      </w:r>
      <w:r>
        <w:rPr>
          <w:rFonts w:ascii="SimSun" w:cs="SimSun" w:eastAsia="SimSun" w:hAnsi="SimSun"/>
          <w:b w:val="false"/>
          <w:bCs w:val="false"/>
          <w:sz w:val="24"/>
          <w:szCs w:val="24"/>
        </w:rPr>
        <w:t xml:space="preserve">：为中小投资者提供参与大型房地产投资的机会，实现普惠金融</w:t>
      </w:r>
    </w:p>
    <w:p>
      <w:pPr>
        <w:pStyle w:val="Heading4"/>
        <w:spacing w:after="120" w:before="180"/>
      </w:pPr>
      <w:r>
        <w:rPr>
          <w:rFonts w:ascii="SimHei" w:cs="SimHei" w:eastAsia="SimHei" w:hAnsi="SimHei"/>
          <w:b/>
          <w:bCs/>
          <w:sz w:val="24"/>
          <w:szCs w:val="24"/>
        </w:rPr>
        <w:t xml:space="preserve">3. REITs的经典定义与特征</w:t>
      </w:r>
    </w:p>
    <w:p>
      <w:pPr>
        <w:spacing w:after="60" w:line="360"/>
        <w:ind w:firstLine="480"/>
        <w:jc w:val="both"/>
      </w:pPr>
      <w:r>
        <w:rPr>
          <w:rFonts w:ascii="SimSun" w:cs="SimSun" w:eastAsia="SimSun" w:hAnsi="SimSun"/>
          <w:b w:val="false"/>
          <w:bCs w:val="false"/>
          <w:i w:val="false"/>
          <w:iCs w:val="false"/>
          <w:strike w:val="false"/>
          <w:sz w:val="24"/>
          <w:szCs w:val="24"/>
        </w:rPr>
        <w:t xml:space="preserve">根据美国1960年《REITs法案》，REITs被定义为一种</w:t>
      </w:r>
      <w:r>
        <w:rPr>
          <w:rFonts w:ascii="SimSun" w:cs="SimSun" w:eastAsia="SimSun" w:hAnsi="SimSun"/>
          <w:b/>
          <w:bCs/>
          <w:i w:val="false"/>
          <w:iCs w:val="false"/>
          <w:strike w:val="false"/>
          <w:sz w:val="24"/>
          <w:szCs w:val="24"/>
        </w:rPr>
        <w:t xml:space="preserve">以房地产为基础资产的投资信托基金</w:t>
      </w:r>
      <w:r>
        <w:rPr>
          <w:rFonts w:ascii="SimSun" w:cs="SimSun" w:eastAsia="SimSun" w:hAnsi="SimSun"/>
          <w:b w:val="false"/>
          <w:bCs w:val="false"/>
          <w:i w:val="false"/>
          <w:iCs w:val="false"/>
          <w:strike w:val="false"/>
          <w:sz w:val="24"/>
          <w:szCs w:val="24"/>
        </w:rPr>
        <w:t xml:space="preserve">，其主要特征包括：</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收入来源要求</w:t>
      </w:r>
      <w:r>
        <w:rPr>
          <w:rFonts w:ascii="SimSun" w:cs="SimSun" w:eastAsia="SimSun" w:hAnsi="SimSun"/>
          <w:b w:val="false"/>
          <w:bCs w:val="false"/>
          <w:sz w:val="24"/>
          <w:szCs w:val="24"/>
        </w:rPr>
        <w:t xml:space="preserve">：总收入的75%以上必须来自房地产相关收入，如租金、抵押贷款利息等。</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资产配置要求</w:t>
      </w:r>
      <w:r>
        <w:rPr>
          <w:rFonts w:ascii="SimSun" w:cs="SimSun" w:eastAsia="SimSun" w:hAnsi="SimSun"/>
          <w:b w:val="false"/>
          <w:bCs w:val="false"/>
          <w:sz w:val="24"/>
          <w:szCs w:val="24"/>
        </w:rPr>
        <w:t xml:space="preserve">：总资产的75%以上必须投资于房地产、现金或政府债券。</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股东结构要求</w:t>
      </w:r>
      <w:r>
        <w:rPr>
          <w:rFonts w:ascii="SimSun" w:cs="SimSun" w:eastAsia="SimSun" w:hAnsi="SimSun"/>
          <w:b w:val="false"/>
          <w:bCs w:val="false"/>
          <w:sz w:val="24"/>
          <w:szCs w:val="24"/>
        </w:rPr>
        <w:t xml:space="preserve">：至少拥有100名股东，且前五大股东持股比例不超过50%。</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分配要求</w:t>
      </w:r>
      <w:r>
        <w:rPr>
          <w:rFonts w:ascii="SimSun" w:cs="SimSun" w:eastAsia="SimSun" w:hAnsi="SimSun"/>
          <w:b w:val="false"/>
          <w:bCs w:val="false"/>
          <w:sz w:val="24"/>
          <w:szCs w:val="24"/>
        </w:rPr>
        <w:t xml:space="preserve">：每年至少将应税收入的90%分配给投资者。</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组织结构要求</w:t>
      </w:r>
      <w:r>
        <w:rPr>
          <w:rFonts w:ascii="SimSun" w:cs="SimSun" w:eastAsia="SimSun" w:hAnsi="SimSun"/>
          <w:b w:val="false"/>
          <w:bCs w:val="false"/>
          <w:sz w:val="24"/>
          <w:szCs w:val="24"/>
        </w:rPr>
        <w:t xml:space="preserve">：有潜力是公司型或信托型结构。</w:t>
      </w:r>
    </w:p>
    <w:p>
      <w:pPr>
        <w:pStyle w:val="Heading4"/>
        <w:spacing w:after="120" w:before="180"/>
      </w:pPr>
      <w:r>
        <w:rPr>
          <w:rFonts w:ascii="SimHei" w:cs="SimHei" w:eastAsia="SimHei" w:hAnsi="SimHei"/>
          <w:b/>
          <w:bCs/>
          <w:sz w:val="24"/>
          <w:szCs w:val="24"/>
        </w:rPr>
        <w:t xml:space="preserve">4. 中国REITs市场的特色化发展</w:t>
      </w:r>
    </w:p>
    <w:p>
      <w:pPr>
        <w:spacing w:after="60" w:line="360"/>
        <w:ind w:firstLine="480"/>
        <w:jc w:val="both"/>
      </w:pPr>
      <w:r>
        <w:rPr>
          <w:rFonts w:ascii="SimSun" w:cs="SimSun" w:eastAsia="SimSun" w:hAnsi="SimSun"/>
          <w:b w:val="false"/>
          <w:bCs w:val="false"/>
          <w:i w:val="false"/>
          <w:iCs w:val="false"/>
          <w:strike w:val="false"/>
          <w:sz w:val="24"/>
          <w:szCs w:val="24"/>
        </w:rPr>
        <w:t xml:space="preserve">中国REITs市场的发展呈现出</w:t>
      </w:r>
      <w:r>
        <w:rPr>
          <w:rFonts w:ascii="SimSun" w:cs="SimSun" w:eastAsia="SimSun" w:hAnsi="SimSun"/>
          <w:b/>
          <w:bCs/>
          <w:i w:val="false"/>
          <w:iCs w:val="false"/>
          <w:strike w:val="false"/>
          <w:sz w:val="24"/>
          <w:szCs w:val="24"/>
        </w:rPr>
        <w:t xml:space="preserve">特色化特征</w:t>
      </w:r>
      <w:r>
        <w:rPr>
          <w:rFonts w:ascii="SimSun" w:cs="SimSun" w:eastAsia="SimSun" w:hAnsi="SimSun"/>
          <w:b w:val="false"/>
          <w:bCs w:val="false"/>
          <w:i w:val="false"/>
          <w:iCs w:val="false"/>
          <w:strike w:val="false"/>
          <w:sz w:val="24"/>
          <w:szCs w:val="24"/>
        </w:rPr>
        <w:t xml:space="preserve">。2020年4月，中国证监会与国家发展改革委联合发布《关于推进基础设施领域不动产投资信托基金（REITs）试点相关工作的通知》，标志着中国基础设施REITs市场正式启动。中国REITs以</w:t>
      </w:r>
      <w:r>
        <w:rPr>
          <w:rFonts w:ascii="SimSun" w:cs="SimSun" w:eastAsia="SimSun" w:hAnsi="SimSun"/>
          <w:b/>
          <w:bCs/>
          <w:i w:val="false"/>
          <w:iCs w:val="false"/>
          <w:strike w:val="false"/>
          <w:sz w:val="24"/>
          <w:szCs w:val="24"/>
        </w:rPr>
        <w:t xml:space="preserve">基础设施为主要底层资产</w:t>
      </w:r>
      <w:r>
        <w:rPr>
          <w:rFonts w:ascii="SimSun" w:cs="SimSun" w:eastAsia="SimSun" w:hAnsi="SimSun"/>
          <w:b w:val="false"/>
          <w:bCs w:val="false"/>
          <w:i w:val="false"/>
          <w:iCs w:val="false"/>
          <w:strike w:val="false"/>
          <w:sz w:val="24"/>
          <w:szCs w:val="24"/>
        </w:rPr>
        <w:t xml:space="preserve">，这与国外以商业地产为主的REITs市场形成明显差异，体现了"中国式金融创新"的特色。</w:t>
      </w:r>
    </w:p>
    <w:p>
      <w:pPr>
        <w:spacing w:after="60" w:line="360"/>
        <w:ind w:firstLine="480"/>
        <w:jc w:val="both"/>
      </w:pPr>
      <w:r>
        <w:rPr>
          <w:rFonts w:ascii="SimSun" w:cs="SimSun" w:eastAsia="SimSun" w:hAnsi="SimSun"/>
          <w:b/>
          <w:bCs/>
          <w:i w:val="false"/>
          <w:iCs w:val="false"/>
          <w:strike w:val="false"/>
          <w:sz w:val="24"/>
          <w:szCs w:val="24"/>
        </w:rPr>
        <w:t xml:space="preserve">理论创新点</w:t>
      </w:r>
      <w:r>
        <w:rPr>
          <w:rFonts w:ascii="SimSun" w:cs="SimSun" w:eastAsia="SimSun" w:hAnsi="SimSun"/>
          <w:b w:val="false"/>
          <w:bCs w:val="false"/>
          <w:i w:val="false"/>
          <w:iCs w:val="false"/>
          <w:strike w:val="false"/>
          <w:sz w:val="24"/>
          <w:szCs w:val="24"/>
        </w:rPr>
        <w:t xml:space="preserve">：中国REITs在资产证券化理论基础上，融入了"基础设施导向"和"政策引导"的特色，为金融创新理论提供了新的实证案例。</w:t>
      </w:r>
    </w:p>
    <w:p>
      <w:pPr>
        <w:pStyle w:val="Heading3"/>
        <w:spacing w:after="120" w:before="240"/>
      </w:pPr>
      <w:r>
        <w:rPr>
          <w:rFonts w:ascii="SimHei" w:cs="SimHei" w:eastAsia="SimHei" w:hAnsi="SimHei"/>
          <w:b/>
          <w:bCs/>
          <w:sz w:val="24"/>
          <w:szCs w:val="24"/>
        </w:rPr>
        <w:t xml:space="preserve">2.1.2 REITs的发展历程</w:t>
      </w:r>
    </w:p>
    <w:p>
      <w:pPr>
        <w:spacing w:after="60" w:line="360"/>
        <w:ind w:firstLine="480"/>
        <w:jc w:val="both"/>
      </w:pPr>
      <w:r>
        <w:rPr>
          <w:rFonts w:ascii="SimSun" w:cs="SimSun" w:eastAsia="SimSun" w:hAnsi="SimSun"/>
          <w:b w:val="false"/>
          <w:bCs w:val="false"/>
          <w:i w:val="false"/>
          <w:iCs w:val="false"/>
          <w:strike w:val="false"/>
          <w:sz w:val="24"/>
          <w:szCs w:val="24"/>
        </w:rPr>
        <w:t xml:space="preserve">全球REITs市场发展可分为三个阶段：</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初创阶段</w:t>
      </w:r>
      <w:r>
        <w:rPr>
          <w:rFonts w:ascii="SimSun" w:cs="SimSun" w:eastAsia="SimSun" w:hAnsi="SimSun"/>
          <w:b w:val="false"/>
          <w:bCs w:val="false"/>
          <w:sz w:val="24"/>
          <w:szCs w:val="24"/>
        </w:rPr>
        <w:t xml:space="preserve">（1960-1990年）：以美国为代表，REITs市场初步形成，产品类型相对单一。</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发展阶段</w:t>
      </w:r>
      <w:r>
        <w:rPr>
          <w:rFonts w:ascii="SimSun" w:cs="SimSun" w:eastAsia="SimSun" w:hAnsi="SimSun"/>
          <w:b w:val="false"/>
          <w:bCs w:val="false"/>
          <w:sz w:val="24"/>
          <w:szCs w:val="24"/>
        </w:rPr>
        <w:t xml:space="preserve">（1990-2010年）：市场规模快速扩张，产品创新不断涌现，税收优惠政策完善。</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成熟阶段</w:t>
      </w:r>
      <w:r>
        <w:rPr>
          <w:rFonts w:ascii="SimSun" w:cs="SimSun" w:eastAsia="SimSun" w:hAnsi="SimSun"/>
          <w:b w:val="false"/>
          <w:bCs w:val="false"/>
          <w:sz w:val="24"/>
          <w:szCs w:val="24"/>
        </w:rPr>
        <w:t xml:space="preserve">（2010年至今）：全球REITs市场一体化，跨境投资增多，监管体系成熟。</w:t>
      </w:r>
    </w:p>
    <w:p>
      <w:pPr>
        <w:spacing w:after="60" w:line="360"/>
        <w:ind w:firstLine="480"/>
        <w:jc w:val="both"/>
      </w:pPr>
      <w:r>
        <w:rPr>
          <w:rFonts w:ascii="SimSun" w:cs="SimSun" w:eastAsia="SimSun" w:hAnsi="SimSun"/>
          <w:b w:val="false"/>
          <w:bCs w:val="false"/>
          <w:i w:val="false"/>
          <w:iCs w:val="false"/>
          <w:strike w:val="false"/>
          <w:sz w:val="24"/>
          <w:szCs w:val="24"/>
        </w:rPr>
        <w:t xml:space="preserve">中国REITs市场发展有其独特性：</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探索阶段</w:t>
      </w:r>
      <w:r>
        <w:rPr>
          <w:rFonts w:ascii="SimSun" w:cs="SimSun" w:eastAsia="SimSun" w:hAnsi="SimSun"/>
          <w:b w:val="false"/>
          <w:bCs w:val="false"/>
          <w:sz w:val="24"/>
          <w:szCs w:val="24"/>
        </w:rPr>
        <w:t xml:space="preserve">（2007-2019年）：私募REITs产品尝试，但市场规模有限。</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试点阶段</w:t>
      </w:r>
      <w:r>
        <w:rPr>
          <w:rFonts w:ascii="SimSun" w:cs="SimSun" w:eastAsia="SimSun" w:hAnsi="SimSun"/>
          <w:b w:val="false"/>
          <w:bCs w:val="false"/>
          <w:sz w:val="24"/>
          <w:szCs w:val="24"/>
        </w:rPr>
        <w:t xml:space="preserve">（2020-2022年）：基础设施REITs试点，首批9只产品上市。</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扩大阶段</w:t>
      </w:r>
      <w:r>
        <w:rPr>
          <w:rFonts w:ascii="SimSun" w:cs="SimSun" w:eastAsia="SimSun" w:hAnsi="SimSun"/>
          <w:b w:val="false"/>
          <w:bCs w:val="false"/>
          <w:sz w:val="24"/>
          <w:szCs w:val="24"/>
        </w:rPr>
        <w:t xml:space="preserve">（2023年至今）：资产范围扩大，市场规模快速增长。</w:t>
      </w:r>
    </w:p>
    <w:p>
      <w:pPr>
        <w:pStyle w:val="Heading2"/>
        <w:spacing w:after="180" w:before="360"/>
      </w:pPr>
      <w:r>
        <w:rPr>
          <w:rFonts w:ascii="SimHei" w:cs="SimHei" w:eastAsia="SimHei" w:hAnsi="SimHei"/>
          <w:b/>
          <w:bCs/>
          <w:sz w:val="28"/>
          <w:szCs w:val="28"/>
        </w:rPr>
        <w:t xml:space="preserve">2.2 REITs财务效应研究</w:t>
      </w:r>
    </w:p>
    <w:p>
      <w:pPr>
        <w:pStyle w:val="Heading3"/>
        <w:spacing w:after="120" w:before="240"/>
      </w:pPr>
      <w:r>
        <w:rPr>
          <w:rFonts w:ascii="SimHei" w:cs="SimHei" w:eastAsia="SimHei" w:hAnsi="SimHei"/>
          <w:b/>
          <w:bCs/>
          <w:sz w:val="24"/>
          <w:szCs w:val="24"/>
        </w:rPr>
        <w:t xml:space="preserve">2.2.1 融资结构优化效应</w:t>
      </w:r>
    </w:p>
    <w:p>
      <w:pPr>
        <w:spacing w:after="60" w:line="360"/>
        <w:ind w:firstLine="480"/>
        <w:jc w:val="both"/>
      </w:pPr>
      <w:r>
        <w:rPr>
          <w:rFonts w:ascii="SimSun" w:cs="SimSun" w:eastAsia="SimSun" w:hAnsi="SimSun"/>
          <w:b w:val="false"/>
          <w:bCs w:val="false"/>
          <w:i w:val="false"/>
          <w:iCs w:val="false"/>
          <w:strike w:val="false"/>
          <w:sz w:val="24"/>
          <w:szCs w:val="24"/>
        </w:rPr>
        <w:t xml:space="preserve">REITs对企业融资结构的优化作用主要体现在以下几个方面：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资产负债结构改善</w:t>
      </w:r>
      <w:r>
        <w:rPr>
          <w:rFonts w:ascii="SimSun" w:cs="SimSun" w:eastAsia="SimSun" w:hAnsi="SimSun"/>
          <w:b w:val="false"/>
          <w:bCs w:val="false"/>
          <w:sz w:val="24"/>
          <w:szCs w:val="24"/>
        </w:rPr>
        <w:t xml:space="preserve">：通过资产出表，降低资产负债率。已有证据显示，REITs发行后，企业资产负债率平均下降</w:t>
      </w:r>
      <w:r>
        <w:rPr>
          <w:rFonts w:ascii="SimSun" w:cs="SimSun" w:eastAsia="SimSun" w:hAnsi="SimSun"/>
          <w:b/>
          <w:bCs/>
          <w:sz w:val="24"/>
          <w:szCs w:val="24"/>
        </w:rPr>
        <w:t xml:space="preserve">5-10个百分点</w:t>
      </w:r>
      <w:r>
        <w:rPr>
          <w:rFonts w:ascii="SimSun" w:cs="SimSun" w:eastAsia="SimSun" w:hAnsi="SimSun"/>
          <w:b w:val="false"/>
          <w:bCs w:val="false"/>
          <w:sz w:val="24"/>
          <w:szCs w:val="24"/>
        </w:rPr>
        <w:t xml:space="preserve">。这种改善尤其对房地产企业具有重要意义，因为房地产行业通常具有较高的财务杠杆。</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融资成本降低</w:t>
      </w:r>
      <w:r>
        <w:rPr>
          <w:rFonts w:ascii="SimSun" w:cs="SimSun" w:eastAsia="SimSun" w:hAnsi="SimSun"/>
          <w:b w:val="false"/>
          <w:bCs w:val="false"/>
          <w:sz w:val="24"/>
          <w:szCs w:val="24"/>
        </w:rPr>
        <w:t xml:space="preserve">：REITs作为一种股权融资工具，有望有效替代高成本债务融资。实证数据显示，通过REITs融资的成本通常比传统银行贷款低</w:t>
      </w:r>
      <w:r>
        <w:rPr>
          <w:rFonts w:ascii="SimSun" w:cs="SimSun" w:eastAsia="SimSun" w:hAnsi="SimSun"/>
          <w:b/>
          <w:bCs/>
          <w:sz w:val="24"/>
          <w:szCs w:val="24"/>
        </w:rPr>
        <w:t xml:space="preserve">1-2个百分点</w:t>
      </w:r>
      <w:r>
        <w:rPr>
          <w:rFonts w:ascii="SimSun" w:cs="SimSun" w:eastAsia="SimSun" w:hAnsi="SimSun"/>
          <w:b w:val="false"/>
          <w:bCs w:val="false"/>
          <w:sz w:val="24"/>
          <w:szCs w:val="24"/>
        </w:rPr>
        <w:t xml:space="preserve">。这种成本优势对于受困房企尤为重要，因为这些企业往往面临较高的信用利差。</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融资渠道多元化</w:t>
      </w:r>
      <w:r>
        <w:rPr>
          <w:rFonts w:ascii="SimSun" w:cs="SimSun" w:eastAsia="SimSun" w:hAnsi="SimSun"/>
          <w:b w:val="false"/>
          <w:bCs w:val="false"/>
          <w:sz w:val="24"/>
          <w:szCs w:val="24"/>
        </w:rPr>
        <w:t xml:space="preserve">：REITs为企业提供了新的融资渠道，减少了对传统银行融资的依赖。这种多元化有助于提高企业的融资灵活性，特别是在信贷紧缩时期。</w:t>
      </w:r>
    </w:p>
    <w:p>
      <w:pPr>
        <w:pStyle w:val="Heading3"/>
        <w:spacing w:after="120" w:before="240"/>
      </w:pPr>
      <w:r>
        <w:rPr>
          <w:rFonts w:ascii="SimHei" w:cs="SimHei" w:eastAsia="SimHei" w:hAnsi="SimHei"/>
          <w:b/>
          <w:bCs/>
          <w:sz w:val="24"/>
          <w:szCs w:val="24"/>
        </w:rPr>
        <w:t xml:space="preserve">2.2.2 现金流改善效应</w:t>
      </w:r>
    </w:p>
    <w:p>
      <w:pPr>
        <w:spacing w:after="60" w:line="360"/>
        <w:ind w:firstLine="480"/>
        <w:jc w:val="both"/>
      </w:pPr>
      <w:r>
        <w:rPr>
          <w:rFonts w:ascii="SimSun" w:cs="SimSun" w:eastAsia="SimSun" w:hAnsi="SimSun"/>
          <w:b w:val="false"/>
          <w:bCs w:val="false"/>
          <w:i w:val="false"/>
          <w:iCs w:val="false"/>
          <w:strike w:val="false"/>
          <w:sz w:val="24"/>
          <w:szCs w:val="24"/>
        </w:rPr>
        <w:t xml:space="preserve">REITs对企业现金流的改善作用主要体现在以下方面：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现金流入增加</w:t>
      </w:r>
      <w:r>
        <w:rPr>
          <w:rFonts w:ascii="SimSun" w:cs="SimSun" w:eastAsia="SimSun" w:hAnsi="SimSun"/>
          <w:b w:val="false"/>
          <w:bCs w:val="false"/>
          <w:sz w:val="24"/>
          <w:szCs w:val="24"/>
        </w:rPr>
        <w:t xml:space="preserve">：REITs发行直接带来大额现金流入，用于偿还债务或补充营运资金。根据中国REITs市场数据，单个REITs产品的发行规模通常在</w:t>
      </w:r>
      <w:r>
        <w:rPr>
          <w:rFonts w:ascii="SimSun" w:cs="SimSun" w:eastAsia="SimSun" w:hAnsi="SimSun"/>
          <w:b/>
          <w:bCs/>
          <w:sz w:val="24"/>
          <w:szCs w:val="24"/>
        </w:rPr>
        <w:t xml:space="preserve">10-50亿元</w:t>
      </w:r>
      <w:r>
        <w:rPr>
          <w:rFonts w:ascii="SimSun" w:cs="SimSun" w:eastAsia="SimSun" w:hAnsi="SimSun"/>
          <w:b w:val="false"/>
          <w:bCs w:val="false"/>
          <w:sz w:val="24"/>
          <w:szCs w:val="24"/>
        </w:rPr>
        <w:t xml:space="preserve">之间，这对企业的现金流状况有显著改善作用。</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经营现金流优化</w:t>
      </w:r>
      <w:r>
        <w:rPr>
          <w:rFonts w:ascii="SimSun" w:cs="SimSun" w:eastAsia="SimSun" w:hAnsi="SimSun"/>
          <w:b w:val="false"/>
          <w:bCs w:val="false"/>
          <w:sz w:val="24"/>
          <w:szCs w:val="24"/>
        </w:rPr>
        <w:t xml:space="preserve">：通过REITs专业化运营，有潜力提高资产的运营效率，从而增加经营现金流。研究显示，REITs管理下的物业，出租率通常比企业自有管理高</w:t>
      </w:r>
      <w:r>
        <w:rPr>
          <w:rFonts w:ascii="SimSun" w:cs="SimSun" w:eastAsia="SimSun" w:hAnsi="SimSun"/>
          <w:b/>
          <w:bCs/>
          <w:sz w:val="24"/>
          <w:szCs w:val="24"/>
        </w:rPr>
        <w:t xml:space="preserve">3-5个百分点</w:t>
      </w:r>
      <w:r>
        <w:rPr>
          <w:rFonts w:ascii="SimSun" w:cs="SimSun" w:eastAsia="SimSun" w:hAnsi="SimSun"/>
          <w:b w:val="false"/>
          <w:bCs w:val="false"/>
          <w:sz w:val="24"/>
          <w:szCs w:val="24"/>
        </w:rPr>
        <w:t xml:space="preserve">。</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现金流稳定性提升</w:t>
      </w:r>
      <w:r>
        <w:rPr>
          <w:rFonts w:ascii="SimSun" w:cs="SimSun" w:eastAsia="SimSun" w:hAnsi="SimSun"/>
          <w:b w:val="false"/>
          <w:bCs w:val="false"/>
          <w:sz w:val="24"/>
          <w:szCs w:val="24"/>
        </w:rPr>
        <w:t xml:space="preserve">：REITs的持续分红传导机制为企业提供了稳定的现金流来源。这种稳定性对于改善企业的整体现金流状况具有积极意义。</w:t>
      </w:r>
    </w:p>
    <w:p>
      <w:pPr>
        <w:pStyle w:val="Heading3"/>
        <w:spacing w:after="120" w:before="240"/>
      </w:pPr>
      <w:r>
        <w:rPr>
          <w:rFonts w:ascii="SimHei" w:cs="SimHei" w:eastAsia="SimHei" w:hAnsi="SimHei"/>
          <w:b/>
          <w:bCs/>
          <w:sz w:val="24"/>
          <w:szCs w:val="24"/>
        </w:rPr>
        <w:t xml:space="preserve">2.2.3 企业价值提升效应</w:t>
      </w:r>
    </w:p>
    <w:p>
      <w:pPr>
        <w:spacing w:after="60" w:line="360"/>
        <w:ind w:firstLine="480"/>
        <w:jc w:val="both"/>
      </w:pPr>
      <w:r>
        <w:rPr>
          <w:rFonts w:ascii="SimSun" w:cs="SimSun" w:eastAsia="SimSun" w:hAnsi="SimSun"/>
          <w:b w:val="false"/>
          <w:bCs w:val="false"/>
          <w:i w:val="false"/>
          <w:iCs w:val="false"/>
          <w:strike w:val="false"/>
          <w:sz w:val="24"/>
          <w:szCs w:val="24"/>
        </w:rPr>
        <w:t xml:space="preserve">REITs对企业价值的提升作用主要体现在以下方面：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市场估值提升</w:t>
      </w:r>
      <w:r>
        <w:rPr>
          <w:rFonts w:ascii="SimSun" w:cs="SimSun" w:eastAsia="SimSun" w:hAnsi="SimSun"/>
          <w:b w:val="false"/>
          <w:bCs w:val="false"/>
          <w:sz w:val="24"/>
          <w:szCs w:val="24"/>
        </w:rPr>
        <w:t xml:space="preserve">：REITs发行通常伴随着企业市场价值的提升。实证研究表明，REITs发行后的累计超额收益率（CAR）在事件窗口[-20,+20]内平均达到</w:t>
      </w:r>
      <w:r>
        <w:rPr>
          <w:rFonts w:ascii="SimSun" w:cs="SimSun" w:eastAsia="SimSun" w:hAnsi="SimSun"/>
          <w:b/>
          <w:bCs/>
          <w:sz w:val="24"/>
          <w:szCs w:val="24"/>
        </w:rPr>
        <w:t xml:space="preserve">15-20%</w:t>
      </w:r>
      <w:r>
        <w:rPr>
          <w:rFonts w:ascii="SimSun" w:cs="SimSun" w:eastAsia="SimSun" w:hAnsi="SimSun"/>
          <w:b w:val="false"/>
          <w:bCs w:val="false"/>
          <w:sz w:val="24"/>
          <w:szCs w:val="24"/>
        </w:rPr>
        <w:t xml:space="preserve">[15]。</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透明度提高</w:t>
      </w:r>
      <w:r>
        <w:rPr>
          <w:rFonts w:ascii="SimSun" w:cs="SimSun" w:eastAsia="SimSun" w:hAnsi="SimSun"/>
          <w:b w:val="false"/>
          <w:bCs w:val="false"/>
          <w:sz w:val="24"/>
          <w:szCs w:val="24"/>
        </w:rPr>
        <w:t xml:space="preserve">：REITs的严格信息披露要求，提高了企业的经营透明度，这有助于降低信息不对称，从而提升企业价值。</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专业化溢价</w:t>
      </w:r>
      <w:r>
        <w:rPr>
          <w:rFonts w:ascii="SimSun" w:cs="SimSun" w:eastAsia="SimSun" w:hAnsi="SimSun"/>
          <w:b w:val="false"/>
          <w:bCs w:val="false"/>
          <w:sz w:val="24"/>
          <w:szCs w:val="24"/>
        </w:rPr>
        <w:t xml:space="preserve">：REITs的专业化管理为企业创造了价值。专业化运营带来的效率提升，体现在更高的出租率和更低的运营成本上。</w:t>
      </w:r>
    </w:p>
    <w:p>
      <w:pPr>
        <w:pStyle w:val="Heading2"/>
        <w:spacing w:after="180" w:before="360"/>
      </w:pPr>
      <w:r>
        <w:rPr>
          <w:rFonts w:ascii="SimHei" w:cs="SimHei" w:eastAsia="SimHei" w:hAnsi="SimHei"/>
          <w:b/>
          <w:bCs/>
          <w:sz w:val="28"/>
          <w:szCs w:val="28"/>
        </w:rPr>
        <w:t xml:space="preserve">2.3 财务困境与REITs研究</w:t>
      </w:r>
    </w:p>
    <w:p>
      <w:pPr>
        <w:pStyle w:val="Heading3"/>
        <w:spacing w:after="120" w:before="240"/>
      </w:pPr>
      <w:r>
        <w:rPr>
          <w:rFonts w:ascii="SimHei" w:cs="SimHei" w:eastAsia="SimHei" w:hAnsi="SimHei"/>
          <w:b/>
          <w:bCs/>
          <w:sz w:val="24"/>
          <w:szCs w:val="24"/>
        </w:rPr>
        <w:t xml:space="preserve">2.3.1 财务困境理论基础：从预警模型到经典理论对话</w:t>
      </w:r>
    </w:p>
    <w:p>
      <w:pPr>
        <w:spacing w:after="60" w:line="360"/>
        <w:ind w:firstLine="480"/>
        <w:jc w:val="both"/>
      </w:pPr>
      <w:r>
        <w:rPr>
          <w:rFonts w:ascii="SimSun" w:cs="SimSun" w:eastAsia="SimSun" w:hAnsi="SimSun"/>
          <w:b w:val="false"/>
          <w:bCs w:val="false"/>
          <w:i w:val="false"/>
          <w:iCs w:val="false"/>
          <w:strike w:val="false"/>
          <w:sz w:val="24"/>
          <w:szCs w:val="24"/>
        </w:rPr>
        <w:t xml:space="preserve">财务困境理论不仅包括预警模型，更植根于经典公司金融理论的框架中。本研究从以下三个理论视角深化对财务困境的理解：</w:t>
      </w:r>
    </w:p>
    <w:p>
      <w:pPr>
        <w:pStyle w:val="Heading4"/>
        <w:spacing w:after="120" w:before="180"/>
      </w:pPr>
      <w:r>
        <w:rPr>
          <w:rFonts w:ascii="SimHei" w:cs="SimHei" w:eastAsia="SimHei" w:hAnsi="SimHei"/>
          <w:b/>
          <w:bCs/>
          <w:sz w:val="24"/>
          <w:szCs w:val="24"/>
        </w:rPr>
        <w:t xml:space="preserve">1. 经典理论视角的财务困境解释</w:t>
      </w:r>
    </w:p>
    <w:p>
      <w:pPr>
        <w:spacing w:after="60" w:line="360"/>
        <w:ind w:firstLine="480"/>
        <w:jc w:val="both"/>
      </w:pPr>
      <w:r>
        <w:rPr>
          <w:rFonts w:ascii="SimSun" w:cs="SimSun" w:eastAsia="SimSun" w:hAnsi="SimSun"/>
          <w:b/>
          <w:bCs/>
          <w:i w:val="false"/>
          <w:iCs w:val="false"/>
          <w:strike w:val="false"/>
          <w:sz w:val="24"/>
          <w:szCs w:val="24"/>
        </w:rPr>
        <w:t xml:space="preserve">Modigliani-Miller（MM）理论与资本结构</w:t>
      </w:r>
    </w:p>
    <w:p>
      <w:pPr>
        <w:spacing w:after="40" w:line="340"/>
        <w:ind w:left="480" w:hanging="0"/>
      </w:pPr>
      <w:r>
        <w:rPr>
          <w:rFonts w:ascii="SimSun" w:cs="SimSun" w:eastAsia="SimSun" w:hAnsi="SimSun"/>
          <w:b/>
          <w:bCs/>
          <w:sz w:val="24"/>
          <w:szCs w:val="24"/>
        </w:rPr>
        <w:t xml:space="preserve">核心观点</w:t>
      </w:r>
      <w:r>
        <w:rPr>
          <w:rFonts w:ascii="SimSun" w:cs="SimSun" w:eastAsia="SimSun" w:hAnsi="SimSun"/>
          <w:b w:val="false"/>
          <w:bCs w:val="false"/>
          <w:sz w:val="24"/>
          <w:szCs w:val="24"/>
        </w:rPr>
        <w:t xml:space="preserve">：在完美市场条件下，企业价值与资本结构无关（Modigliani &amp; Miller, 1958）</w:t>
      </w:r>
    </w:p>
    <w:p>
      <w:pPr>
        <w:spacing w:after="40" w:line="340"/>
        <w:ind w:left="480" w:hanging="0"/>
      </w:pPr>
      <w:r>
        <w:rPr>
          <w:rFonts w:ascii="SimSun" w:cs="SimSun" w:eastAsia="SimSun" w:hAnsi="SimSun"/>
          <w:b/>
          <w:bCs/>
          <w:sz w:val="24"/>
          <w:szCs w:val="24"/>
        </w:rPr>
        <w:t xml:space="preserve">现实偏离</w:t>
      </w:r>
      <w:r>
        <w:rPr>
          <w:rFonts w:ascii="SimSun" w:cs="SimSun" w:eastAsia="SimSun" w:hAnsi="SimSun"/>
          <w:b w:val="false"/>
          <w:bCs w:val="false"/>
          <w:sz w:val="24"/>
          <w:szCs w:val="24"/>
        </w:rPr>
        <w:t xml:space="preserve">：税收、破产成本、代理成本等因素使资本结构影响企业价值</w:t>
      </w:r>
    </w:p>
    <w:p>
      <w:pPr>
        <w:spacing w:after="40" w:line="340"/>
        <w:ind w:left="480" w:hanging="0"/>
      </w:pPr>
      <w:r>
        <w:rPr>
          <w:rFonts w:ascii="SimSun" w:cs="SimSun" w:eastAsia="SimSun" w:hAnsi="SimSun"/>
          <w:b/>
          <w:bCs/>
          <w:sz w:val="24"/>
          <w:szCs w:val="24"/>
        </w:rPr>
        <w:t xml:space="preserve">财务困境视角</w:t>
      </w:r>
      <w:r>
        <w:rPr>
          <w:rFonts w:ascii="SimSun" w:cs="SimSun" w:eastAsia="SimSun" w:hAnsi="SimSun"/>
          <w:b w:val="false"/>
          <w:bCs w:val="false"/>
          <w:sz w:val="24"/>
          <w:szCs w:val="24"/>
        </w:rPr>
        <w:t xml:space="preserve">：过度负债导致财务困境成本上升，企业价值下降</w:t>
      </w:r>
    </w:p>
    <w:p>
      <w:pPr>
        <w:spacing w:after="40" w:line="340"/>
        <w:ind w:left="480" w:hanging="0"/>
      </w:pPr>
      <w:r>
        <w:rPr>
          <w:rFonts w:ascii="SimSun" w:cs="SimSun" w:eastAsia="SimSun" w:hAnsi="SimSun"/>
          <w:b/>
          <w:bCs/>
          <w:sz w:val="24"/>
          <w:szCs w:val="24"/>
        </w:rPr>
        <w:t xml:space="preserve">REITs连接点</w:t>
      </w:r>
      <w:r>
        <w:rPr>
          <w:rFonts w:ascii="SimSun" w:cs="SimSun" w:eastAsia="SimSun" w:hAnsi="SimSun"/>
          <w:b w:val="false"/>
          <w:bCs w:val="false"/>
          <w:sz w:val="24"/>
          <w:szCs w:val="24"/>
        </w:rPr>
        <w:t xml:space="preserve">：REITs通过优化资本结构，降低财务困境成本，回归MM理论的理想状态</w:t>
      </w:r>
    </w:p>
    <w:p>
      <w:pPr>
        <w:spacing w:after="60" w:line="360"/>
        <w:ind w:firstLine="480"/>
        <w:jc w:val="both"/>
      </w:pPr>
      <w:r>
        <w:rPr>
          <w:rFonts w:ascii="SimSun" w:cs="SimSun" w:eastAsia="SimSun" w:hAnsi="SimSun"/>
          <w:b/>
          <w:bCs/>
          <w:i w:val="false"/>
          <w:iCs w:val="false"/>
          <w:strike w:val="false"/>
          <w:sz w:val="24"/>
          <w:szCs w:val="24"/>
        </w:rPr>
        <w:t xml:space="preserve">Jensen-Meckling代理理论与财务困境</w:t>
      </w:r>
    </w:p>
    <w:p>
      <w:pPr>
        <w:spacing w:after="40" w:line="340"/>
        <w:ind w:left="480" w:hanging="0"/>
      </w:pPr>
      <w:r>
        <w:rPr>
          <w:rFonts w:ascii="SimSun" w:cs="SimSun" w:eastAsia="SimSun" w:hAnsi="SimSun"/>
          <w:b/>
          <w:bCs/>
          <w:sz w:val="24"/>
          <w:szCs w:val="24"/>
        </w:rPr>
        <w:t xml:space="preserve">核心观点</w:t>
      </w:r>
      <w:r>
        <w:rPr>
          <w:rFonts w:ascii="SimSun" w:cs="SimSun" w:eastAsia="SimSun" w:hAnsi="SimSun"/>
          <w:b w:val="false"/>
          <w:bCs w:val="false"/>
          <w:sz w:val="24"/>
          <w:szCs w:val="24"/>
        </w:rPr>
        <w:t xml:space="preserve">：债务融资加剧股东-债权人利益冲突（Jensen &amp; Meckling, 1976）</w:t>
      </w:r>
    </w:p>
    <w:p>
      <w:pPr>
        <w:spacing w:after="40" w:line="340"/>
        <w:ind w:left="480" w:hanging="0"/>
      </w:pPr>
      <w:r>
        <w:rPr>
          <w:rFonts w:ascii="SimSun" w:cs="SimSun" w:eastAsia="SimSun" w:hAnsi="SimSun"/>
          <w:b/>
          <w:bCs/>
          <w:sz w:val="24"/>
          <w:szCs w:val="24"/>
        </w:rPr>
        <w:t xml:space="preserve">财务困境表现</w:t>
      </w:r>
      <w:r>
        <w:rPr>
          <w:rFonts w:ascii="SimSun" w:cs="SimSun" w:eastAsia="SimSun" w:hAnsi="SimSun"/>
          <w:b w:val="false"/>
          <w:bCs w:val="false"/>
          <w:sz w:val="24"/>
          <w:szCs w:val="24"/>
        </w:rPr>
        <w:t xml:space="preserve">：资产替代（高风险投资）、投资不足（放弃NPV&gt;0项目）</w:t>
      </w:r>
    </w:p>
    <w:p>
      <w:pPr>
        <w:spacing w:after="40" w:line="340"/>
        <w:ind w:left="480" w:hanging="0"/>
      </w:pPr>
      <w:r>
        <w:rPr>
          <w:rFonts w:ascii="SimSun" w:cs="SimSun" w:eastAsia="SimSun" w:hAnsi="SimSun"/>
          <w:b/>
          <w:bCs/>
          <w:sz w:val="24"/>
          <w:szCs w:val="24"/>
        </w:rPr>
        <w:t xml:space="preserve">REITs连接点</w:t>
      </w:r>
      <w:r>
        <w:rPr>
          <w:rFonts w:ascii="SimSun" w:cs="SimSun" w:eastAsia="SimSun" w:hAnsi="SimSun"/>
          <w:b w:val="false"/>
          <w:bCs w:val="false"/>
          <w:sz w:val="24"/>
          <w:szCs w:val="24"/>
        </w:rPr>
        <w:t xml:space="preserve">：REITs的专业化运营和透明治理结构，缓解代理问题，降低财务困境概率</w:t>
      </w:r>
    </w:p>
    <w:p>
      <w:pPr>
        <w:spacing w:after="60" w:line="360"/>
        <w:ind w:firstLine="480"/>
        <w:jc w:val="both"/>
      </w:pPr>
      <w:r>
        <w:rPr>
          <w:rFonts w:ascii="SimSun" w:cs="SimSun" w:eastAsia="SimSun" w:hAnsi="SimSun"/>
          <w:b/>
          <w:bCs/>
          <w:i w:val="false"/>
          <w:iCs w:val="false"/>
          <w:strike w:val="false"/>
          <w:sz w:val="24"/>
          <w:szCs w:val="24"/>
        </w:rPr>
        <w:t xml:space="preserve">Myers的优序融资理论与流动性危机</w:t>
      </w:r>
    </w:p>
    <w:p>
      <w:pPr>
        <w:spacing w:after="40" w:line="340"/>
        <w:ind w:left="480" w:hanging="0"/>
      </w:pPr>
      <w:r>
        <w:rPr>
          <w:rFonts w:ascii="SimSun" w:cs="SimSun" w:eastAsia="SimSun" w:hAnsi="SimSun"/>
          <w:b/>
          <w:bCs/>
          <w:sz w:val="24"/>
          <w:szCs w:val="24"/>
        </w:rPr>
        <w:t xml:space="preserve">核心观点</w:t>
      </w:r>
      <w:r>
        <w:rPr>
          <w:rFonts w:ascii="SimSun" w:cs="SimSun" w:eastAsia="SimSun" w:hAnsi="SimSun"/>
          <w:b w:val="false"/>
          <w:bCs w:val="false"/>
          <w:sz w:val="24"/>
          <w:szCs w:val="24"/>
        </w:rPr>
        <w:t xml:space="preserve">：企业融资偏好：内源融资 &gt; 债务融资 &gt; 股权融资（Myers, 1984）</w:t>
      </w:r>
    </w:p>
    <w:p>
      <w:pPr>
        <w:spacing w:after="40" w:line="340"/>
        <w:ind w:left="480" w:hanging="0"/>
      </w:pPr>
      <w:r>
        <w:rPr>
          <w:rFonts w:ascii="SimSun" w:cs="SimSun" w:eastAsia="SimSun" w:hAnsi="SimSun"/>
          <w:b/>
          <w:bCs/>
          <w:sz w:val="24"/>
          <w:szCs w:val="24"/>
        </w:rPr>
        <w:t xml:space="preserve">财务困境视角</w:t>
      </w:r>
      <w:r>
        <w:rPr>
          <w:rFonts w:ascii="SimSun" w:cs="SimSun" w:eastAsia="SimSun" w:hAnsi="SimSun"/>
          <w:b w:val="false"/>
          <w:bCs w:val="false"/>
          <w:sz w:val="24"/>
          <w:szCs w:val="24"/>
        </w:rPr>
        <w:t xml:space="preserve">：受困企业外部融资成本飙升，陷入"融资困境-经营恶化"的恶性循环</w:t>
      </w:r>
    </w:p>
    <w:p>
      <w:pPr>
        <w:spacing w:after="40" w:line="340"/>
        <w:ind w:left="480" w:hanging="0"/>
      </w:pPr>
      <w:r>
        <w:rPr>
          <w:rFonts w:ascii="SimSun" w:cs="SimSun" w:eastAsia="SimSun" w:hAnsi="SimSun"/>
          <w:b/>
          <w:bCs/>
          <w:sz w:val="24"/>
          <w:szCs w:val="24"/>
        </w:rPr>
        <w:t xml:space="preserve">REITs连接点</w:t>
      </w:r>
      <w:r>
        <w:rPr>
          <w:rFonts w:ascii="SimSun" w:cs="SimSun" w:eastAsia="SimSun" w:hAnsi="SimSun"/>
          <w:b w:val="false"/>
          <w:bCs w:val="false"/>
          <w:sz w:val="24"/>
          <w:szCs w:val="24"/>
        </w:rPr>
        <w:t xml:space="preserve">：REITs提供介于债务和股权之间的第三条融资路径，打破融资困境</w:t>
      </w:r>
    </w:p>
    <w:p>
      <w:pPr>
        <w:pStyle w:val="Heading4"/>
        <w:spacing w:after="120" w:before="180"/>
      </w:pPr>
      <w:r>
        <w:rPr>
          <w:rFonts w:ascii="SimHei" w:cs="SimHei" w:eastAsia="SimHei" w:hAnsi="SimHei"/>
          <w:b/>
          <w:bCs/>
          <w:sz w:val="24"/>
          <w:szCs w:val="24"/>
        </w:rPr>
        <w:t xml:space="preserve">2. 财务困境预警模型</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Altman Z-score模型</w:t>
      </w:r>
      <w:r>
        <w:rPr>
          <w:rFonts w:ascii="SimSun" w:cs="SimSun" w:eastAsia="SimSun" w:hAnsi="SimSun"/>
          <w:b w:val="false"/>
          <w:bCs w:val="false"/>
          <w:sz w:val="24"/>
          <w:szCs w:val="24"/>
        </w:rPr>
        <w:t xml:space="preserve">：通过多个财务指标构建的预测模型，用于评估企业破产风险。Z值越低，破产风险越高[7-8]。该模型在房地产行业中的适用性受到质疑，因为房地产企业通常具有较高的资产负债率。</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Ohlson O-score模型</w:t>
      </w:r>
      <w:r>
        <w:rPr>
          <w:rFonts w:ascii="SimSun" w:cs="SimSun" w:eastAsia="SimSun" w:hAnsi="SimSun"/>
          <w:b w:val="false"/>
          <w:bCs w:val="false"/>
          <w:sz w:val="24"/>
          <w:szCs w:val="24"/>
        </w:rPr>
        <w:t xml:space="preserve">：另一种财务困境预测模型，考虑了企业的规模、盈利能力、财务杠杆等因素。相比Z-score模型，O-score更适用于中国上市公司。</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流动性危机理论</w:t>
      </w:r>
      <w:r>
        <w:rPr>
          <w:rFonts w:ascii="SimSun" w:cs="SimSun" w:eastAsia="SimSun" w:hAnsi="SimSun"/>
          <w:b w:val="false"/>
          <w:bCs w:val="false"/>
          <w:sz w:val="24"/>
          <w:szCs w:val="24"/>
        </w:rPr>
        <w:t xml:space="preserve">：强调现金流危机是企业财务困境的主要原因。当企业的经营现金流无法覆盖债务偿还需求时，将引发财务困境。这一理论特别适用于房地产行业，因为房地产企业通常面临较大的现金流波动。</w:t>
      </w:r>
    </w:p>
    <w:p>
      <w:pPr>
        <w:pStyle w:val="Heading4"/>
        <w:spacing w:after="120" w:before="180"/>
      </w:pPr>
      <w:r>
        <w:rPr>
          <w:rFonts w:ascii="SimHei" w:cs="SimHei" w:eastAsia="SimHei" w:hAnsi="SimHei"/>
          <w:b/>
          <w:bCs/>
          <w:sz w:val="24"/>
          <w:szCs w:val="24"/>
        </w:rPr>
        <w:t xml:space="preserve">3. 信号理论与REITs发行</w:t>
      </w:r>
    </w:p>
    <w:p>
      <w:pPr>
        <w:spacing w:after="60" w:line="360"/>
        <w:ind w:firstLine="480"/>
        <w:jc w:val="both"/>
      </w:pPr>
      <w:r>
        <w:rPr>
          <w:rFonts w:ascii="SimSun" w:cs="SimSun" w:eastAsia="SimSun" w:hAnsi="SimSun"/>
          <w:b/>
          <w:bCs/>
          <w:i w:val="false"/>
          <w:iCs w:val="false"/>
          <w:strike w:val="false"/>
          <w:sz w:val="24"/>
          <w:szCs w:val="24"/>
        </w:rPr>
        <w:t xml:space="preserve">信号传递效应</w:t>
      </w:r>
      <w:r>
        <w:rPr>
          <w:rFonts w:ascii="SimSun" w:cs="SimSun" w:eastAsia="SimSun" w:hAnsi="SimSun"/>
          <w:b w:val="false"/>
          <w:bCs w:val="false"/>
          <w:i w:val="false"/>
          <w:iCs w:val="false"/>
          <w:strike w:val="false"/>
          <w:sz w:val="24"/>
          <w:szCs w:val="24"/>
        </w:rPr>
        <w:t xml:space="preserve">（Spence, 1973）</w:t>
      </w:r>
    </w:p>
    <w:p>
      <w:pPr>
        <w:spacing w:after="40" w:line="340"/>
        <w:ind w:left="480" w:hanging="0"/>
      </w:pPr>
      <w:r>
        <w:rPr>
          <w:rFonts w:ascii="SimSun" w:cs="SimSun" w:eastAsia="SimSun" w:hAnsi="SimSun"/>
          <w:b/>
          <w:bCs/>
          <w:sz w:val="24"/>
          <w:szCs w:val="24"/>
        </w:rPr>
        <w:t xml:space="preserve">核心观点</w:t>
      </w:r>
      <w:r>
        <w:rPr>
          <w:rFonts w:ascii="SimSun" w:cs="SimSun" w:eastAsia="SimSun" w:hAnsi="SimSun"/>
          <w:b w:val="false"/>
          <w:bCs w:val="false"/>
          <w:sz w:val="24"/>
          <w:szCs w:val="24"/>
        </w:rPr>
        <w:t xml:space="preserve">：高质量企业通过可观察行动传递私有信息</w:t>
      </w:r>
    </w:p>
    <w:p>
      <w:pPr>
        <w:spacing w:after="40" w:line="340"/>
        <w:ind w:left="480" w:hanging="0"/>
      </w:pPr>
      <w:r>
        <w:rPr>
          <w:rFonts w:ascii="SimSun" w:cs="SimSun" w:eastAsia="SimSun" w:hAnsi="SimSun"/>
          <w:b/>
          <w:bCs/>
          <w:sz w:val="24"/>
          <w:szCs w:val="24"/>
        </w:rPr>
        <w:t xml:space="preserve">REITs应用</w:t>
      </w:r>
      <w:r>
        <w:rPr>
          <w:rFonts w:ascii="SimSun" w:cs="SimSun" w:eastAsia="SimSun" w:hAnsi="SimSun"/>
          <w:b w:val="false"/>
          <w:bCs w:val="false"/>
          <w:sz w:val="24"/>
          <w:szCs w:val="24"/>
        </w:rPr>
        <w:t xml:space="preserve">：REITs发行传递"资产质量高"、"经营专业"的积极信号</w:t>
      </w:r>
    </w:p>
    <w:p>
      <w:pPr>
        <w:spacing w:after="40" w:line="340"/>
        <w:ind w:left="480" w:hanging="0"/>
      </w:pPr>
      <w:r>
        <w:rPr>
          <w:rFonts w:ascii="SimSun" w:cs="SimSun" w:eastAsia="SimSun" w:hAnsi="SimSun"/>
          <w:b/>
          <w:bCs/>
          <w:sz w:val="24"/>
          <w:szCs w:val="24"/>
        </w:rPr>
        <w:t xml:space="preserve">财务困境缓解作用机制</w:t>
      </w:r>
      <w:r>
        <w:rPr>
          <w:rFonts w:ascii="SimSun" w:cs="SimSun" w:eastAsia="SimSun" w:hAnsi="SimSun"/>
          <w:b w:val="false"/>
          <w:bCs w:val="false"/>
          <w:sz w:val="24"/>
          <w:szCs w:val="24"/>
        </w:rPr>
        <w:t xml:space="preserve">：信号效应恢复市场信心，降低融资成本，改善融资环境</w:t>
      </w:r>
    </w:p>
    <w:p>
      <w:pPr>
        <w:spacing w:after="60" w:line="360"/>
        <w:ind w:firstLine="480"/>
        <w:jc w:val="both"/>
      </w:pPr>
      <w:r>
        <w:rPr>
          <w:rFonts w:ascii="SimSun" w:cs="SimSun" w:eastAsia="SimSun" w:hAnsi="SimSun"/>
          <w:b/>
          <w:bCs/>
          <w:i w:val="false"/>
          <w:iCs w:val="false"/>
          <w:strike w:val="false"/>
          <w:sz w:val="24"/>
          <w:szCs w:val="24"/>
        </w:rPr>
        <w:t xml:space="preserve">理论整合框架</w:t>
      </w:r>
      <w:r>
        <w:rPr>
          <w:rFonts w:ascii="SimSun" w:cs="SimSun" w:eastAsia="SimSun" w:hAnsi="SimSun"/>
          <w:b w:val="false"/>
          <w:bCs w:val="false"/>
          <w:i w:val="false"/>
          <w:iCs w:val="false"/>
          <w:strike w:val="false"/>
          <w:sz w:val="24"/>
          <w:szCs w:val="24"/>
        </w:rPr>
        <w:t xml:space="preserve">：本研究将MM理论、代理理论、优序融资理论和信号理论有机结合，构建"资本结构优化-代理议题缓解-融资困境突破-信号效应增强"的四重解释框架，为REITs缓解财务困境提供更坚实的理论基础。</w:t>
      </w:r>
    </w:p>
    <w:p>
      <w:pPr>
        <w:pStyle w:val="Heading3"/>
        <w:spacing w:after="120" w:before="240"/>
      </w:pPr>
      <w:r>
        <w:rPr>
          <w:rFonts w:ascii="SimHei" w:cs="SimHei" w:eastAsia="SimHei" w:hAnsi="SimHei"/>
          <w:b/>
          <w:bCs/>
          <w:sz w:val="24"/>
          <w:szCs w:val="24"/>
        </w:rPr>
        <w:t xml:space="preserve">2.3.2 REITs作为财务困境解决方案研究</w:t>
      </w:r>
    </w:p>
    <w:p>
      <w:pPr>
        <w:spacing w:after="60" w:line="360"/>
        <w:ind w:firstLine="480"/>
        <w:jc w:val="both"/>
      </w:pPr>
      <w:r>
        <w:rPr>
          <w:rFonts w:ascii="SimSun" w:cs="SimSun" w:eastAsia="SimSun" w:hAnsi="SimSun"/>
          <w:b w:val="false"/>
          <w:bCs w:val="false"/>
          <w:i w:val="false"/>
          <w:iCs w:val="false"/>
          <w:strike w:val="false"/>
          <w:sz w:val="24"/>
          <w:szCs w:val="24"/>
        </w:rPr>
        <w:t xml:space="preserve">REITs作为财务困境解决方案的研究主要集中在以下几个方面：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资产盘活效应</w:t>
      </w:r>
      <w:r>
        <w:rPr>
          <w:rFonts w:ascii="SimSun" w:cs="SimSun" w:eastAsia="SimSun" w:hAnsi="SimSun"/>
          <w:b w:val="false"/>
          <w:bCs w:val="false"/>
          <w:sz w:val="24"/>
          <w:szCs w:val="24"/>
        </w:rPr>
        <w:t xml:space="preserve">：对于持有大量优质存量资产但面临财务困境的企业，REITs提供了一种有效的资产盘活方式。通过资产证券化，企业可以将非流动性资产转化为流动性资产，从而缓解财务压力。</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债务重组效应</w:t>
      </w:r>
      <w:r>
        <w:rPr>
          <w:rFonts w:ascii="SimSun" w:cs="SimSun" w:eastAsia="SimSun" w:hAnsi="SimSun"/>
          <w:b w:val="false"/>
          <w:bCs w:val="false"/>
          <w:sz w:val="24"/>
          <w:szCs w:val="24"/>
        </w:rPr>
        <w:t xml:space="preserve">：REITs融资可以用于偿还高成本债务，优化债务结构。这种重组对于降低企业的财务风险具有关键意义。</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经营转型效应</w:t>
      </w:r>
      <w:r>
        <w:rPr>
          <w:rFonts w:ascii="SimSun" w:cs="SimSun" w:eastAsia="SimSun" w:hAnsi="SimSun"/>
          <w:b w:val="false"/>
          <w:bCs w:val="false"/>
          <w:sz w:val="24"/>
          <w:szCs w:val="24"/>
        </w:rPr>
        <w:t xml:space="preserve">：REITs有助于推动企业从重资产模式向轻资产模式转型。这种转型不仅改善企业的财务状况，也有助于提升企业的长期竞争力。</w:t>
      </w:r>
    </w:p>
    <w:p>
      <w:pPr>
        <w:pStyle w:val="Heading2"/>
        <w:spacing w:after="180" w:before="360"/>
      </w:pPr>
      <w:r>
        <w:rPr>
          <w:rFonts w:ascii="SimHei" w:cs="SimHei" w:eastAsia="SimHei" w:hAnsi="SimHei"/>
          <w:b/>
          <w:bCs/>
          <w:sz w:val="28"/>
          <w:szCs w:val="28"/>
        </w:rPr>
        <w:t xml:space="preserve">2.4 资产证券化理论</w:t>
      </w:r>
    </w:p>
    <w:p>
      <w:pPr>
        <w:pStyle w:val="Heading3"/>
        <w:spacing w:after="120" w:before="240"/>
      </w:pPr>
      <w:r>
        <w:rPr>
          <w:rFonts w:ascii="SimHei" w:cs="SimHei" w:eastAsia="SimHei" w:hAnsi="SimHei"/>
          <w:b/>
          <w:bCs/>
          <w:sz w:val="24"/>
          <w:szCs w:val="24"/>
        </w:rPr>
        <w:t xml:space="preserve">2.4.1 资产证券化基本原理</w:t>
      </w:r>
    </w:p>
    <w:p>
      <w:pPr>
        <w:spacing w:after="60" w:line="360"/>
        <w:ind w:firstLine="480"/>
        <w:jc w:val="both"/>
      </w:pPr>
      <w:r>
        <w:rPr>
          <w:rFonts w:ascii="SimSun" w:cs="SimSun" w:eastAsia="SimSun" w:hAnsi="SimSun"/>
          <w:b w:val="false"/>
          <w:bCs w:val="false"/>
          <w:i w:val="false"/>
          <w:iCs w:val="false"/>
          <w:strike w:val="false"/>
          <w:sz w:val="24"/>
          <w:szCs w:val="24"/>
        </w:rPr>
        <w:t xml:space="preserve">资产证券化是将缺乏流动性但能够产生可预期现金流的资产，通过结构化设计，转化为有潜力在金融市场上出售和流通的证券的过程。其主要特点包括：</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资产重组</w:t>
      </w:r>
      <w:r>
        <w:rPr>
          <w:rFonts w:ascii="SimSun" w:cs="SimSun" w:eastAsia="SimSun" w:hAnsi="SimSun"/>
          <w:b w:val="false"/>
          <w:bCs w:val="false"/>
          <w:sz w:val="24"/>
          <w:szCs w:val="24"/>
        </w:rPr>
        <w:t xml:space="preserve">：将多个资产打包，形成资产池。</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风险隔离</w:t>
      </w:r>
      <w:r>
        <w:rPr>
          <w:rFonts w:ascii="SimSun" w:cs="SimSun" w:eastAsia="SimSun" w:hAnsi="SimSun"/>
          <w:b w:val="false"/>
          <w:bCs w:val="false"/>
          <w:sz w:val="24"/>
          <w:szCs w:val="24"/>
        </w:rPr>
        <w:t xml:space="preserve">：通过特殊目的载体（SPV）实现破产隔离。</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信用增级</w:t>
      </w:r>
      <w:r>
        <w:rPr>
          <w:rFonts w:ascii="SimSun" w:cs="SimSun" w:eastAsia="SimSun" w:hAnsi="SimSun"/>
          <w:b w:val="false"/>
          <w:bCs w:val="false"/>
          <w:sz w:val="24"/>
          <w:szCs w:val="24"/>
        </w:rPr>
        <w:t xml:space="preserve">：通过内外部信用增级措施提升证券信用等级。</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现金流重组</w:t>
      </w:r>
      <w:r>
        <w:rPr>
          <w:rFonts w:ascii="SimSun" w:cs="SimSun" w:eastAsia="SimSun" w:hAnsi="SimSun"/>
          <w:b w:val="false"/>
          <w:bCs w:val="false"/>
          <w:sz w:val="24"/>
          <w:szCs w:val="24"/>
        </w:rPr>
        <w:t xml:space="preserve">：重新安排资产产生的现金流，以满足不同投资者的需求。</w:t>
      </w:r>
    </w:p>
    <w:p>
      <w:pPr>
        <w:pStyle w:val="Heading3"/>
        <w:spacing w:after="120" w:before="240"/>
      </w:pPr>
      <w:r>
        <w:rPr>
          <w:rFonts w:ascii="SimHei" w:cs="SimHei" w:eastAsia="SimHei" w:hAnsi="SimHei"/>
          <w:b/>
          <w:bCs/>
          <w:sz w:val="24"/>
          <w:szCs w:val="24"/>
        </w:rPr>
        <w:t xml:space="preserve">2.4.2 REITs与资产证券化的关系</w:t>
      </w:r>
    </w:p>
    <w:p>
      <w:pPr>
        <w:spacing w:after="60" w:line="360"/>
        <w:ind w:firstLine="480"/>
        <w:jc w:val="both"/>
      </w:pPr>
      <w:r>
        <w:rPr>
          <w:rFonts w:ascii="SimSun" w:cs="SimSun" w:eastAsia="SimSun" w:hAnsi="SimSun"/>
          <w:b w:val="false"/>
          <w:bCs w:val="false"/>
          <w:i w:val="false"/>
          <w:iCs w:val="false"/>
          <w:strike w:val="false"/>
          <w:sz w:val="24"/>
          <w:szCs w:val="24"/>
        </w:rPr>
        <w:t xml:space="preserve">REITs是资产证券化在房地产领域的关键应用。两者的关系体现在：</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结构化设计</w:t>
      </w:r>
      <w:r>
        <w:rPr>
          <w:rFonts w:ascii="SimSun" w:cs="SimSun" w:eastAsia="SimSun" w:hAnsi="SimSun"/>
          <w:b w:val="false"/>
          <w:bCs w:val="false"/>
          <w:sz w:val="24"/>
          <w:szCs w:val="24"/>
        </w:rPr>
        <w:t xml:space="preserve">：REITs运用了资产证券化的结构化设计原理，如现金流分层、信用增级等。</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风险隔离机制</w:t>
      </w:r>
      <w:r>
        <w:rPr>
          <w:rFonts w:ascii="SimSun" w:cs="SimSun" w:eastAsia="SimSun" w:hAnsi="SimSun"/>
          <w:b w:val="false"/>
          <w:bCs w:val="false"/>
          <w:sz w:val="24"/>
          <w:szCs w:val="24"/>
        </w:rPr>
        <w:t xml:space="preserve">：REITs通过信托结构实现破产隔离，这与资产证券化的风险隔离原理一致。</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流动性创造</w:t>
      </w:r>
      <w:r>
        <w:rPr>
          <w:rFonts w:ascii="SimSun" w:cs="SimSun" w:eastAsia="SimSun" w:hAnsi="SimSun"/>
          <w:b w:val="false"/>
          <w:bCs w:val="false"/>
          <w:sz w:val="24"/>
          <w:szCs w:val="24"/>
        </w:rPr>
        <w:t xml:space="preserve">：两者都通过证券化过程，创造了资产的流动性。</w:t>
      </w:r>
    </w:p>
    <w:p>
      <w:pPr>
        <w:pStyle w:val="Heading2"/>
        <w:spacing w:after="180" w:before="360"/>
      </w:pPr>
      <w:r>
        <w:rPr>
          <w:rFonts w:ascii="SimHei" w:cs="SimHei" w:eastAsia="SimHei" w:hAnsi="SimHei"/>
          <w:b/>
          <w:bCs/>
          <w:sz w:val="28"/>
          <w:szCs w:val="28"/>
        </w:rPr>
        <w:t xml:space="preserve">2.5 研究评述与研究缺口</w:t>
      </w:r>
    </w:p>
    <w:p>
      <w:pPr>
        <w:pStyle w:val="Heading3"/>
        <w:spacing w:after="120" w:before="240"/>
      </w:pPr>
      <w:r>
        <w:rPr>
          <w:rFonts w:ascii="SimHei" w:cs="SimHei" w:eastAsia="SimHei" w:hAnsi="SimHei"/>
          <w:b/>
          <w:bCs/>
          <w:sz w:val="24"/>
          <w:szCs w:val="24"/>
        </w:rPr>
        <w:t xml:space="preserve">2.5.1 现有研究评述</w:t>
      </w:r>
    </w:p>
    <w:p>
      <w:pPr>
        <w:spacing w:after="60" w:line="360"/>
        <w:ind w:firstLine="480"/>
        <w:jc w:val="both"/>
      </w:pPr>
      <w:r>
        <w:rPr>
          <w:rFonts w:ascii="SimSun" w:cs="SimSun" w:eastAsia="SimSun" w:hAnsi="SimSun"/>
          <w:b w:val="false"/>
          <w:bCs w:val="false"/>
          <w:i w:val="false"/>
          <w:iCs w:val="false"/>
          <w:strike w:val="false"/>
          <w:sz w:val="24"/>
          <w:szCs w:val="24"/>
        </w:rPr>
        <w:t xml:space="preserve">通过对现有文献的分析，可能发现以下几个特点：</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理论研究的深入性</w:t>
      </w:r>
      <w:r>
        <w:rPr>
          <w:rFonts w:ascii="SimSun" w:cs="SimSun" w:eastAsia="SimSun" w:hAnsi="SimSun"/>
          <w:b w:val="false"/>
          <w:bCs w:val="false"/>
          <w:sz w:val="24"/>
          <w:szCs w:val="24"/>
        </w:rPr>
        <w:t xml:space="preserve">：在REITs基础理论、财务效应等方面已有较为深入的研究，形成了相对完整的理论体系。</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实证分析的丰富性</w:t>
      </w:r>
      <w:r>
        <w:rPr>
          <w:rFonts w:ascii="SimSun" w:cs="SimSun" w:eastAsia="SimSun" w:hAnsi="SimSun"/>
          <w:b w:val="false"/>
          <w:bCs w:val="false"/>
          <w:sz w:val="24"/>
          <w:szCs w:val="24"/>
        </w:rPr>
        <w:t xml:space="preserve">：大量实证研究探讨了REITs对企业财务指标的效应，提供了丰富的经验证据。</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研究视角的多元化</w:t>
      </w:r>
      <w:r>
        <w:rPr>
          <w:rFonts w:ascii="SimSun" w:cs="SimSun" w:eastAsia="SimSun" w:hAnsi="SimSun"/>
          <w:b w:val="false"/>
          <w:bCs w:val="false"/>
          <w:sz w:val="24"/>
          <w:szCs w:val="24"/>
        </w:rPr>
        <w:t xml:space="preserve">：从投资者、企业管理、政策制定等多个视角开展研究，提供了全面的分析模型框架。</w:t>
      </w:r>
    </w:p>
    <w:p>
      <w:pPr>
        <w:pStyle w:val="Heading3"/>
        <w:spacing w:after="120" w:before="240"/>
      </w:pPr>
      <w:r>
        <w:rPr>
          <w:rFonts w:ascii="SimHei" w:cs="SimHei" w:eastAsia="SimHei" w:hAnsi="SimHei"/>
          <w:b/>
          <w:bCs/>
          <w:sz w:val="24"/>
          <w:szCs w:val="24"/>
        </w:rPr>
        <w:t xml:space="preserve">2.5.2 研究缺口分析</w:t>
      </w:r>
    </w:p>
    <w:p>
      <w:pPr>
        <w:spacing w:after="60" w:line="360"/>
        <w:ind w:firstLine="480"/>
        <w:jc w:val="both"/>
      </w:pPr>
      <w:r>
        <w:rPr>
          <w:rFonts w:ascii="SimSun" w:cs="SimSun" w:eastAsia="SimSun" w:hAnsi="SimSun"/>
          <w:b w:val="false"/>
          <w:bCs w:val="false"/>
          <w:i w:val="false"/>
          <w:iCs w:val="false"/>
          <w:strike w:val="false"/>
          <w:sz w:val="24"/>
          <w:szCs w:val="24"/>
        </w:rPr>
        <w:t xml:space="preserve">尽管现有研究取得了丰富成果，但仍存在以下研究缺口：</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受困房企视角缺失</w:t>
      </w:r>
      <w:r>
        <w:rPr>
          <w:rFonts w:ascii="SimSun" w:cs="SimSun" w:eastAsia="SimSun" w:hAnsi="SimSun"/>
          <w:b w:val="false"/>
          <w:bCs w:val="false"/>
          <w:sz w:val="24"/>
          <w:szCs w:val="24"/>
        </w:rPr>
        <w:t xml:space="preserve">：现有研究多关注健康企业的REITs应用，缺乏对受困房企如何利用REITs缓解财务困境的系统研究。</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传导机制研究的深度不足</w:t>
      </w:r>
      <w:r>
        <w:rPr>
          <w:rFonts w:ascii="SimSun" w:cs="SimSun" w:eastAsia="SimSun" w:hAnsi="SimSun"/>
          <w:b w:val="false"/>
          <w:bCs w:val="false"/>
          <w:sz w:val="24"/>
          <w:szCs w:val="24"/>
        </w:rPr>
        <w:t xml:space="preserve">：虽然认识到REITs的财务改善效应，但对具体作用传导机制的深入分析相对缺乏。</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中国实践的特色研究不足</w:t>
      </w:r>
      <w:r>
        <w:rPr>
          <w:rFonts w:ascii="SimSun" w:cs="SimSun" w:eastAsia="SimSun" w:hAnsi="SimSun"/>
          <w:b w:val="false"/>
          <w:bCs w:val="false"/>
          <w:sz w:val="24"/>
          <w:szCs w:val="24"/>
        </w:rPr>
        <w:t xml:space="preserve">：对中国REITs市场的特殊性和实践特征的研究仍有待深入。</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长期效应研究有限</w:t>
      </w:r>
      <w:r>
        <w:rPr>
          <w:rFonts w:ascii="SimSun" w:cs="SimSun" w:eastAsia="SimSun" w:hAnsi="SimSun"/>
          <w:b w:val="false"/>
          <w:bCs w:val="false"/>
          <w:sz w:val="24"/>
          <w:szCs w:val="24"/>
        </w:rPr>
        <w:t xml:space="preserve">：现有研究多关注短期效应，对长期结果的研究相对不足。</w:t>
      </w:r>
    </w:p>
    <w:p>
      <w:pPr>
        <w:pStyle w:val="Heading3"/>
        <w:spacing w:after="120" w:before="240"/>
      </w:pPr>
      <w:r>
        <w:rPr>
          <w:rFonts w:ascii="SimHei" w:cs="SimHei" w:eastAsia="SimHei" w:hAnsi="SimHei"/>
          <w:b/>
          <w:bCs/>
          <w:sz w:val="24"/>
          <w:szCs w:val="24"/>
        </w:rPr>
        <w:t xml:space="preserve">2.5.3 本研究对研究空白的贡献</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本研究旨在填补上述研究缺口，主要贡献包括：</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研究视角创新</w:t>
      </w:r>
      <w:r>
        <w:rPr>
          <w:rFonts w:ascii="SimSun" w:cs="SimSun" w:eastAsia="SimSun" w:hAnsi="SimSun"/>
          <w:b w:val="false"/>
          <w:bCs w:val="false"/>
          <w:sz w:val="24"/>
          <w:szCs w:val="24"/>
        </w:rPr>
        <w:t xml:space="preserve">：从受困房企视角研究REITs的应用，聚焦于REITs的救援效应。</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理论框架创新</w:t>
      </w:r>
      <w:r>
        <w:rPr>
          <w:rFonts w:ascii="SimSun" w:cs="SimSun" w:eastAsia="SimSun" w:hAnsi="SimSun"/>
          <w:b w:val="false"/>
          <w:bCs w:val="false"/>
          <w:sz w:val="24"/>
          <w:szCs w:val="24"/>
        </w:rPr>
        <w:t xml:space="preserve">：构建"财务困境-REITs救援-财务改善"的理论分析框架。</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研究方法创新</w:t>
      </w:r>
      <w:r>
        <w:rPr>
          <w:rFonts w:ascii="SimSun" w:cs="SimSun" w:eastAsia="SimSun" w:hAnsi="SimSun"/>
          <w:b w:val="false"/>
          <w:bCs w:val="false"/>
          <w:sz w:val="24"/>
          <w:szCs w:val="24"/>
        </w:rPr>
        <w:t xml:space="preserve">：采用单案例深度分析方法，结合定量与定性研究。</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实践价值突出</w:t>
      </w:r>
      <w:r>
        <w:rPr>
          <w:rFonts w:ascii="SimSun" w:cs="SimSun" w:eastAsia="SimSun" w:hAnsi="SimSun"/>
          <w:b w:val="false"/>
          <w:bCs w:val="false"/>
          <w:sz w:val="24"/>
          <w:szCs w:val="24"/>
        </w:rPr>
        <w:t xml:space="preserve">：为中国房企利用REITs解决财务困境提供决策参考。</w:t>
      </w:r>
    </w:p>
    <w:p>
      <w:pPr>
        <w:pStyle w:val="Heading3"/>
        <w:spacing w:after="120" w:before="240"/>
      </w:pPr>
      <w:r>
        <w:rPr>
          <w:rFonts w:ascii="SimHei" w:cs="SimHei" w:eastAsia="SimHei" w:hAnsi="SimHei"/>
          <w:b/>
          <w:bCs/>
          <w:sz w:val="24"/>
          <w:szCs w:val="24"/>
        </w:rPr>
        <w:t xml:space="preserve">2.5.4 理论创新点</w:t>
      </w:r>
    </w:p>
    <w:p>
      <w:pPr>
        <w:spacing w:after="60" w:line="360"/>
        <w:ind w:firstLine="480"/>
        <w:jc w:val="both"/>
      </w:pPr>
      <w:r>
        <w:rPr>
          <w:rFonts w:ascii="SimSun" w:cs="SimSun" w:eastAsia="SimSun" w:hAnsi="SimSun"/>
          <w:b w:val="false"/>
          <w:bCs w:val="false"/>
          <w:i w:val="false"/>
          <w:iCs w:val="false"/>
          <w:strike w:val="false"/>
          <w:sz w:val="24"/>
          <w:szCs w:val="24"/>
        </w:rPr>
        <w:t xml:space="preserve">基于实证分析，本研究的理论创新主要体现在以下几个方面：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理论整合创新</w:t>
      </w:r>
      <w:r>
        <w:rPr>
          <w:rFonts w:ascii="SimSun" w:cs="SimSun" w:eastAsia="SimSun" w:hAnsi="SimSun"/>
          <w:b w:val="false"/>
          <w:bCs w:val="false"/>
          <w:sz w:val="24"/>
          <w:szCs w:val="24"/>
        </w:rPr>
        <w:t xml:space="preserve">：将财务困境理论与REITs理论有机结合，形成新的分析框架。</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机制分析创新</w:t>
      </w:r>
      <w:r>
        <w:rPr>
          <w:rFonts w:ascii="SimSun" w:cs="SimSun" w:eastAsia="SimSun" w:hAnsi="SimSun"/>
          <w:b w:val="false"/>
          <w:bCs w:val="false"/>
          <w:sz w:val="24"/>
          <w:szCs w:val="24"/>
        </w:rPr>
        <w:t xml:space="preserve">：深入分析REITs影响企业财务状况的具体机制。</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比较研究创新</w:t>
      </w:r>
      <w:r>
        <w:rPr>
          <w:rFonts w:ascii="SimSun" w:cs="SimSun" w:eastAsia="SimSun" w:hAnsi="SimSun"/>
          <w:b w:val="false"/>
          <w:bCs w:val="false"/>
          <w:sz w:val="24"/>
          <w:szCs w:val="24"/>
        </w:rPr>
        <w:t xml:space="preserve">：通过横向对比，揭示不同企业状态下的REITs应用差异。</w:t>
      </w:r>
    </w:p>
    <w:p>
      <w:pPr>
        <w:pStyle w:val="Heading3"/>
        <w:spacing w:after="120" w:before="240"/>
      </w:pPr>
      <w:r>
        <w:rPr>
          <w:rFonts w:ascii="SimHei" w:cs="SimHei" w:eastAsia="SimHei" w:hAnsi="SimHei"/>
          <w:b/>
          <w:bCs/>
          <w:sz w:val="24"/>
          <w:szCs w:val="24"/>
        </w:rPr>
        <w:t xml:space="preserve">2.5.3 2025-2026年最新研究动态追踪</w:t>
      </w:r>
    </w:p>
    <w:p>
      <w:pPr>
        <w:spacing w:after="60" w:line="360"/>
        <w:ind w:firstLine="480"/>
        <w:jc w:val="both"/>
      </w:pPr>
      <w:r>
        <w:rPr>
          <w:rFonts w:ascii="SimSun" w:cs="SimSun" w:eastAsia="SimSun" w:hAnsi="SimSun"/>
          <w:b w:val="false"/>
          <w:bCs w:val="false"/>
          <w:i w:val="false"/>
          <w:iCs w:val="false"/>
          <w:strike w:val="false"/>
          <w:sz w:val="24"/>
          <w:szCs w:val="24"/>
        </w:rPr>
        <w:t xml:space="preserve">最新研究文献为REITs与财务困境研究提供了新的视角和实证证据：</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REITs对地方政府债务的缓解效应</w:t>
      </w:r>
      <w:r>
        <w:rPr>
          <w:rFonts w:ascii="SimSun" w:cs="SimSun" w:eastAsia="SimSun" w:hAnsi="SimSun"/>
          <w:b w:val="false"/>
          <w:bCs w:val="false"/>
          <w:sz w:val="24"/>
          <w:szCs w:val="24"/>
        </w:rPr>
        <w:t xml:space="preserve">：Li等（2026）[43]首次提供了中国公募基础设施REITs缓解地方政府债务负担的实证证据，研究显示REITs不仅有助于企业财务困境缓解，还能在宏观层面减轻地方政府债务压力。</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商业地产REITs研究进展</w:t>
      </w:r>
      <w:r>
        <w:rPr>
          <w:rFonts w:ascii="SimSun" w:cs="SimSun" w:eastAsia="SimSun" w:hAnsi="SimSun"/>
          <w:b w:val="false"/>
          <w:bCs w:val="false"/>
          <w:sz w:val="24"/>
          <w:szCs w:val="24"/>
        </w:rPr>
        <w:t xml:space="preserve">：Chen和Liu（2025）[44]系统梳理了商业地产REITs的最新研究方向和未来趋势，强调不同业态REITs（消费、仓储、租赁住房）在风险分散和价值创造方面的差异。</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国家企业家精神与REITs</w:t>
      </w:r>
      <w:r>
        <w:rPr>
          <w:rFonts w:ascii="SimSun" w:cs="SimSun" w:eastAsia="SimSun" w:hAnsi="SimSun"/>
          <w:b w:val="false"/>
          <w:bCs w:val="false"/>
          <w:sz w:val="24"/>
          <w:szCs w:val="24"/>
        </w:rPr>
        <w:t xml:space="preserve">：Zhou和Huang（2026）[45]及Wang和Liu（2026）[47]从国家企业家主义视角分析REITs在稳定房地产市场和实现社会治理中的作用，为理解中国REITs发展的制度背景提供了理论框架。</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CEO个人特征与公司风险对冲</w:t>
      </w:r>
      <w:r>
        <w:rPr>
          <w:rFonts w:ascii="SimSun" w:cs="SimSun" w:eastAsia="SimSun" w:hAnsi="SimSun"/>
          <w:b w:val="false"/>
          <w:bCs w:val="false"/>
          <w:sz w:val="24"/>
          <w:szCs w:val="24"/>
        </w:rPr>
        <w:t xml:space="preserve">：Li等（2026）[46]研究了中国房地产企业CEO早期灾难经历与企业风险对冲活动的关系，为理解管理层决策如何影响REITs应用提供了新的微观视角。</w:t>
      </w:r>
    </w:p>
    <w:p>
      <w:pPr>
        <w:spacing w:after="60" w:line="360"/>
        <w:ind w:firstLine="480"/>
        <w:jc w:val="both"/>
      </w:pPr>
      <w:r>
        <w:rPr>
          <w:rFonts w:ascii="SimSun" w:cs="SimSun" w:eastAsia="SimSun" w:hAnsi="SimSun"/>
          <w:b w:val="false"/>
          <w:bCs w:val="false"/>
          <w:i w:val="false"/>
          <w:iCs w:val="false"/>
          <w:strike w:val="false"/>
          <w:sz w:val="24"/>
          <w:szCs w:val="24"/>
        </w:rPr>
        <w:t xml:space="preserve">这些最新研究深化了我们对REITs多重功能的理解，并为本研究提供了更新的理论支撑和实证参照。</w:t>
      </w:r>
    </w:p>
    <w:p>
      <w:pPr>
        <w:pStyle w:val="Heading2"/>
        <w:spacing w:after="180" w:before="360"/>
      </w:pPr>
      <w:r>
        <w:rPr>
          <w:rFonts w:ascii="SimHei" w:cs="SimHei" w:eastAsia="SimHei" w:hAnsi="SimHei"/>
          <w:b/>
          <w:bCs/>
          <w:sz w:val="28"/>
          <w:szCs w:val="28"/>
        </w:rPr>
        <w:t xml:space="preserve">2.6 本章小结</w:t>
      </w:r>
    </w:p>
    <w:p>
      <w:pPr>
        <w:spacing w:after="60" w:line="360"/>
        <w:ind w:firstLine="480"/>
        <w:jc w:val="both"/>
      </w:pPr>
      <w:r>
        <w:rPr>
          <w:rFonts w:ascii="SimSun" w:cs="SimSun" w:eastAsia="SimSun" w:hAnsi="SimSun"/>
          <w:b w:val="false"/>
          <w:bCs w:val="false"/>
          <w:i w:val="false"/>
          <w:iCs w:val="false"/>
          <w:strike w:val="false"/>
          <w:sz w:val="24"/>
          <w:szCs w:val="24"/>
        </w:rPr>
        <w:t xml:space="preserve">本章对REITs相关理论进行了系统梳理和评述，主要包括以下几个方面：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理论基础回顾</w:t>
      </w:r>
      <w:r>
        <w:rPr>
          <w:rFonts w:ascii="SimSun" w:cs="SimSun" w:eastAsia="SimSun" w:hAnsi="SimSun"/>
          <w:b w:val="false"/>
          <w:bCs w:val="false"/>
          <w:sz w:val="24"/>
          <w:szCs w:val="24"/>
        </w:rPr>
        <w:t xml:space="preserve">：梳理了REITs的定义、特征和发展历程，重点研究了中国REITs市场的特色。</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财务效应分析</w:t>
      </w:r>
      <w:r>
        <w:rPr>
          <w:rFonts w:ascii="SimSun" w:cs="SimSun" w:eastAsia="SimSun" w:hAnsi="SimSun"/>
          <w:b w:val="false"/>
          <w:bCs w:val="false"/>
          <w:sz w:val="24"/>
          <w:szCs w:val="24"/>
        </w:rPr>
        <w:t xml:space="preserve">：总结了REITs对企业融资结构、现金流和价值的改善作用。</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研究缺口识别</w:t>
      </w:r>
      <w:r>
        <w:rPr>
          <w:rFonts w:ascii="SimSun" w:cs="SimSun" w:eastAsia="SimSun" w:hAnsi="SimSun"/>
          <w:b w:val="false"/>
          <w:bCs w:val="false"/>
          <w:sz w:val="24"/>
          <w:szCs w:val="24"/>
        </w:rPr>
        <w:t xml:space="preserve">：指出了现有研究在受困房企视角、机制深度、中国实践特色等方面的不足。</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最新研究动态</w:t>
      </w:r>
      <w:r>
        <w:rPr>
          <w:rFonts w:ascii="SimSun" w:cs="SimSun" w:eastAsia="SimSun" w:hAnsi="SimSun"/>
          <w:b w:val="false"/>
          <w:bCs w:val="false"/>
          <w:sz w:val="24"/>
          <w:szCs w:val="24"/>
        </w:rPr>
        <w:t xml:space="preserve">：追踪了2025-2026年最新研究进展，为研究提供最新理论支撑。</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研究贡献定位</w:t>
      </w:r>
      <w:r>
        <w:rPr>
          <w:rFonts w:ascii="SimSun" w:cs="SimSun" w:eastAsia="SimSun" w:hAnsi="SimSun"/>
          <w:b w:val="false"/>
          <w:bCs w:val="false"/>
          <w:sz w:val="24"/>
          <w:szCs w:val="24"/>
        </w:rPr>
        <w:t xml:space="preserve">：明确了本研究对填补研究空白的贡献和创新点。</w:t>
      </w:r>
    </w:p>
    <w:p>
      <w:pPr>
        <w:spacing w:after="60" w:line="360"/>
        <w:ind w:firstLine="480"/>
        <w:jc w:val="both"/>
      </w:pPr>
      <w:r>
        <w:rPr>
          <w:rFonts w:ascii="SimSun" w:cs="SimSun" w:eastAsia="SimSun" w:hAnsi="SimSun"/>
          <w:b w:val="false"/>
          <w:bCs w:val="false"/>
          <w:i w:val="false"/>
          <w:iCs w:val="false"/>
          <w:strike w:val="false"/>
          <w:sz w:val="24"/>
          <w:szCs w:val="24"/>
        </w:rPr>
        <w:t xml:space="preserve">通过本章的分析，为后续的案例研究提供了理论支撑和分析框架。下一章将基于文献综述构建本研究的理论分析框架。</w:t>
      </w:r>
    </w:p>
    <w:p>
      <w:pPr>
        <w:pStyle w:val="Heading1"/>
        <w:spacing w:after="240" w:before="480"/>
      </w:pPr>
      <w:r>
        <w:rPr>
          <w:rFonts w:ascii="SimHei" w:cs="SimHei" w:eastAsia="SimHei" w:hAnsi="SimHei"/>
          <w:b/>
          <w:bCs/>
          <w:sz w:val="32"/>
          <w:szCs w:val="32"/>
        </w:rPr>
        <w:t xml:space="preserve">第三章 研究设计</w:t>
      </w:r>
    </w:p>
    <w:p>
      <w:pPr>
        <w:spacing w:after="60" w:line="360"/>
        <w:ind w:firstLine="480"/>
        <w:jc w:val="both"/>
      </w:pPr>
      <w:r>
        <w:rPr>
          <w:rFonts w:ascii="SimSun" w:cs="SimSun" w:eastAsia="SimSun" w:hAnsi="SimSun"/>
          <w:b/>
          <w:bCs/>
          <w:i w:val="false"/>
          <w:iCs w:val="false"/>
          <w:strike w:val="false"/>
          <w:sz w:val="24"/>
          <w:szCs w:val="24"/>
        </w:rPr>
        <w:t xml:space="preserve">本章核心论点</w:t>
      </w:r>
      <w:r>
        <w:rPr>
          <w:rFonts w:ascii="SimSun" w:cs="SimSun" w:eastAsia="SimSun" w:hAnsi="SimSun"/>
          <w:b w:val="false"/>
          <w:bCs w:val="false"/>
          <w:i w:val="false"/>
          <w:iCs w:val="false"/>
          <w:strike w:val="false"/>
          <w:sz w:val="24"/>
          <w:szCs w:val="24"/>
        </w:rPr>
        <w:t xml:space="preserve">：采用Yin案例研究法作为核心研究设计论，结合财务指标趋势分析、事件研究法和比较分析法，建立了多研究设计综合研究范式。研究设计创新性地采用"中长期跟踪验证框架"，将分析期间从REITs发行后的3个月延伸至完整的15个月运营周期，克服了短期数据局限，实现了从"信号验证"到"趋势确认"的研究设计论突破。</w:t>
      </w:r>
    </w:p>
    <w:p>
      <w:pPr>
        <w:spacing w:after="60" w:line="320"/>
        <w:ind w:left="400"/>
      </w:pPr>
      <w:r>
        <w:rPr>
          <w:rFonts w:ascii="SimSun" w:cs="SimSun" w:eastAsia="SimSun" w:hAnsi="SimSun"/>
          <w:b w:val="false"/>
          <w:bCs w:val="false"/>
          <w:i/>
          <w:iCs/>
          <w:color w:val="555555"/>
          <w:sz w:val="21"/>
          <w:szCs w:val="21"/>
        </w:rPr>
        <w:t xml:space="preserve">版本：v3.0（中长期跟踪验证框架适配） 更新时间：2026-04-15 核心变更：研究期间延伸至2025年，分析路径从"短期验证"改为"中长期跟踪验证"</w:t>
      </w:r>
    </w:p>
    <w:p>
      <w:pPr>
        <w:pStyle w:val="Heading2"/>
        <w:spacing w:after="180" w:before="360"/>
      </w:pPr>
      <w:r>
        <w:rPr>
          <w:rFonts w:ascii="SimHei" w:cs="SimHei" w:eastAsia="SimHei" w:hAnsi="SimHei"/>
          <w:b/>
          <w:bCs/>
          <w:sz w:val="28"/>
          <w:szCs w:val="28"/>
        </w:rPr>
        <w:t xml:space="preserve">3.1 方法论框架</w:t>
      </w:r>
    </w:p>
    <w:p>
      <w:pPr>
        <w:pStyle w:val="Heading3"/>
        <w:spacing w:after="120" w:before="240"/>
      </w:pPr>
      <w:r>
        <w:rPr>
          <w:rFonts w:ascii="SimHei" w:cs="SimHei" w:eastAsia="SimHei" w:hAnsi="SimHei"/>
          <w:b/>
          <w:bCs/>
          <w:sz w:val="24"/>
          <w:szCs w:val="24"/>
        </w:rPr>
        <w:t xml:space="preserve">3.1.1 案例研究法（Yin框架）作为核心方法论</w:t>
      </w:r>
    </w:p>
    <w:p>
      <w:pPr>
        <w:spacing w:after="60" w:line="360"/>
        <w:ind w:firstLine="480"/>
        <w:jc w:val="both"/>
      </w:pPr>
      <w:r>
        <w:rPr>
          <w:rFonts w:ascii="SimSun" w:cs="SimSun" w:eastAsia="SimSun" w:hAnsi="SimSun"/>
          <w:b w:val="false"/>
          <w:bCs w:val="false"/>
          <w:i w:val="false"/>
          <w:iCs w:val="false"/>
          <w:strike w:val="false"/>
          <w:sz w:val="24"/>
          <w:szCs w:val="24"/>
        </w:rPr>
        <w:t xml:space="preserve">从市场反应来看，本研究采用Robert K. Yin（2013）[1]的案例研究法作为核心方法论，基于以下设计：</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Yin概念框架要素</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本研究应用</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理论依据</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研究问题类型</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"How/Why"型问题：REITs如何缓解财务困境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案例研究最适合回答"How/Why"的影响机制性问题</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理论主张</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四影响机制理论概念框架（融资/现金流/资产负债/运营）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提供理论预期，指导证据收集</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分析单位</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大悦城（单案例深度）+ 万科/保利（简要参照）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大悦城为典型代表案例</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逻辑连接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模式匹配（理论预期 vs. 实证发现）</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检验理论概念框架的解释力</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研究问题类型</w:t>
      </w:r>
      <w:r>
        <w:rPr>
          <w:rFonts w:ascii="SimSun" w:cs="SimSun" w:eastAsia="SimSun" w:hAnsi="SimSun"/>
          <w:b w:val="false"/>
          <w:bCs w:val="false"/>
          <w:i w:val="false"/>
          <w:iCs w:val="false"/>
          <w:strike w:val="false"/>
          <w:sz w:val="24"/>
          <w:szCs w:val="24"/>
        </w:rPr>
        <w:t xml:space="preserve">：本研究核心问题为"REITs如何缓解受困房企的财务困境？"，属于"How/Why"型问题，适合采用案例研究方法进行深入分析。</w:t>
      </w:r>
    </w:p>
    <w:p>
      <w:pPr>
        <w:spacing w:after="60" w:line="360"/>
        <w:ind w:firstLine="480"/>
        <w:jc w:val="both"/>
      </w:pPr>
      <w:r>
        <w:rPr>
          <w:rFonts w:ascii="SimSun" w:cs="SimSun" w:eastAsia="SimSun" w:hAnsi="SimSun"/>
          <w:b/>
          <w:bCs/>
          <w:i w:val="false"/>
          <w:iCs w:val="false"/>
          <w:strike w:val="false"/>
          <w:sz w:val="24"/>
          <w:szCs w:val="24"/>
        </w:rPr>
        <w:t xml:space="preserve">理论主张</w:t>
      </w:r>
      <w:r>
        <w:rPr>
          <w:rFonts w:ascii="SimSun" w:cs="SimSun" w:eastAsia="SimSun" w:hAnsi="SimSun"/>
          <w:b w:val="false"/>
          <w:bCs w:val="false"/>
          <w:i w:val="false"/>
          <w:iCs w:val="false"/>
          <w:strike w:val="false"/>
          <w:sz w:val="24"/>
          <w:szCs w:val="24"/>
        </w:rPr>
        <w:t xml:space="preserve">：基于REITs理论和财务困境理论，构建四机制分析模型框架（融资结构优化、现金流改善、资产负债重构、运营效率提升），指导证据收集和模式匹配。</w:t>
      </w:r>
    </w:p>
    <w:p>
      <w:pPr>
        <w:spacing w:after="60" w:line="360"/>
        <w:ind w:firstLine="480"/>
        <w:jc w:val="both"/>
      </w:pPr>
      <w:r>
        <w:rPr>
          <w:rFonts w:ascii="SimSun" w:cs="SimSun" w:eastAsia="SimSun" w:hAnsi="SimSun"/>
          <w:b/>
          <w:bCs/>
          <w:i w:val="false"/>
          <w:iCs w:val="false"/>
          <w:strike w:val="false"/>
          <w:sz w:val="24"/>
          <w:szCs w:val="24"/>
        </w:rPr>
        <w:t xml:space="preserve">分析单位</w:t>
      </w:r>
      <w:r>
        <w:rPr>
          <w:rFonts w:ascii="SimSun" w:cs="SimSun" w:eastAsia="SimSun" w:hAnsi="SimSun"/>
          <w:b w:val="false"/>
          <w:bCs w:val="false"/>
          <w:i w:val="false"/>
          <w:iCs w:val="false"/>
          <w:strike w:val="false"/>
          <w:sz w:val="24"/>
          <w:szCs w:val="24"/>
        </w:rPr>
        <w:t xml:space="preserve">：以大悦城控股为单案例进行深度分析，此外以万科、保利为简要参照案例，提供对比视角。</w:t>
      </w:r>
    </w:p>
    <w:p>
      <w:pPr>
        <w:spacing w:after="60" w:line="360"/>
        <w:ind w:firstLine="480"/>
        <w:jc w:val="both"/>
      </w:pPr>
      <w:r>
        <w:rPr>
          <w:rFonts w:ascii="SimSun" w:cs="SimSun" w:eastAsia="SimSun" w:hAnsi="SimSun"/>
          <w:b/>
          <w:bCs/>
          <w:i w:val="false"/>
          <w:iCs w:val="false"/>
          <w:strike w:val="false"/>
          <w:sz w:val="24"/>
          <w:szCs w:val="24"/>
        </w:rPr>
        <w:t xml:space="preserve">逻辑连接</w:t>
      </w:r>
      <w:r>
        <w:rPr>
          <w:rFonts w:ascii="SimSun" w:cs="SimSun" w:eastAsia="SimSun" w:hAnsi="SimSun"/>
          <w:b w:val="false"/>
          <w:bCs w:val="false"/>
          <w:i w:val="false"/>
          <w:iCs w:val="false"/>
          <w:strike w:val="false"/>
          <w:sz w:val="24"/>
          <w:szCs w:val="24"/>
        </w:rPr>
        <w:t xml:space="preserve">：采用模式匹配方法论，对比理论预期与实证发现的一致性程度，检验四机制框架的解释力。</w:t>
      </w:r>
    </w:p>
    <w:p>
      <w:pPr>
        <w:pStyle w:val="Heading3"/>
        <w:spacing w:after="120" w:before="240"/>
      </w:pPr>
      <w:r>
        <w:rPr>
          <w:rFonts w:ascii="SimHei" w:cs="SimHei" w:eastAsia="SimHei" w:hAnsi="SimHei"/>
          <w:b/>
          <w:bCs/>
          <w:sz w:val="24"/>
          <w:szCs w:val="24"/>
        </w:rPr>
        <w:t xml:space="preserve">3.1.2 方法组合设计</w:t>
      </w:r>
    </w:p>
    <w:p>
      <w:pPr>
        <w:spacing w:after="60" w:line="360"/>
        <w:ind w:firstLine="480"/>
        <w:jc w:val="both"/>
      </w:pPr>
      <w:r>
        <w:rPr>
          <w:rFonts w:ascii="SimSun" w:cs="SimSun" w:eastAsia="SimSun" w:hAnsi="SimSun"/>
          <w:b w:val="false"/>
          <w:bCs w:val="false"/>
          <w:i w:val="false"/>
          <w:iCs w:val="false"/>
          <w:strike w:val="false"/>
          <w:sz w:val="24"/>
          <w:szCs w:val="24"/>
        </w:rPr>
        <w:t xml:space="preserve">研究采用多层次技术路线组合策略，提出了"核心技术路线+辅助验证+探索分析"的三层技术路线体系：</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方法层级</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具体方法</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研究定位</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数据需求特征</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主要产出</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核心方法层</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Yin案例研究法</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理论框架检验与机制深度解析</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大悦城深度数据，强调纵向时间序列</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四机制传导路径分析</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辅助验证层</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财务指标趋势对比</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财务效应量化验证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2019-2025年完整时间序列数据</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趋势图表与统计结果</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辅助验证层</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事件研究法</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市场反应短期效应检验</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股价高频数据，事件窗口分析</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累计超额收益率（CAR）</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辅助验证层</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比较分析法</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横向参照视角提供</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万科、保利等参照企业数据</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行业对比与差异化分析</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探索分析层</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DID模型</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补充性探索分析</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受限面板数据（样本量约束）</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探索性差异检验结果</w:t>
            </w:r>
          </w:p>
        </w:tc>
      </w:tr>
    </w:tbl>
    <w:p>
      <w:pPr>
        <w:spacing w:after="120"/>
      </w:pPr>
    </w:p>
    <w:p>
      <w:pPr>
        <w:pStyle w:val="Heading3"/>
        <w:spacing w:after="120" w:before="240"/>
      </w:pPr>
      <w:r>
        <w:rPr>
          <w:rFonts w:ascii="SimHei" w:cs="SimHei" w:eastAsia="SimHei" w:hAnsi="SimHei"/>
          <w:b/>
          <w:bCs/>
          <w:sz w:val="24"/>
          <w:szCs w:val="24"/>
        </w:rPr>
        <w:t xml:space="preserve">3.1.3 方法论优化说明</w:t>
      </w:r>
    </w:p>
    <w:p>
      <w:pPr>
        <w:spacing w:after="60" w:line="360"/>
        <w:ind w:firstLine="480"/>
        <w:jc w:val="both"/>
      </w:pPr>
      <w:r>
        <w:rPr>
          <w:rFonts w:ascii="SimSun" w:cs="SimSun" w:eastAsia="SimSun" w:hAnsi="SimSun"/>
          <w:b/>
          <w:bCs/>
          <w:i w:val="false"/>
          <w:iCs w:val="false"/>
          <w:strike w:val="false"/>
          <w:sz w:val="24"/>
          <w:szCs w:val="24"/>
        </w:rPr>
        <w:t xml:space="preserve">DID定位调整</w:t>
      </w:r>
      <w:r>
        <w:rPr>
          <w:rFonts w:ascii="SimSun" w:cs="SimSun" w:eastAsia="SimSun" w:hAnsi="SimSun"/>
          <w:b w:val="false"/>
          <w:bCs w:val="false"/>
          <w:i w:val="false"/>
          <w:iCs w:val="false"/>
          <w:strike w:val="false"/>
          <w:sz w:val="24"/>
          <w:szCs w:val="24"/>
        </w:rPr>
        <w:t xml:space="preserve">：原设计中DID作为核心方法，现调整为</w:t>
      </w:r>
      <w:r>
        <w:rPr>
          <w:rFonts w:ascii="SimSun" w:cs="SimSun" w:eastAsia="SimSun" w:hAnsi="SimSun"/>
          <w:b/>
          <w:bCs/>
          <w:i w:val="false"/>
          <w:iCs w:val="false"/>
          <w:strike w:val="false"/>
          <w:sz w:val="24"/>
          <w:szCs w:val="24"/>
        </w:rPr>
        <w:t xml:space="preserve">探索性补充分析</w:t>
      </w:r>
      <w:r>
        <w:rPr>
          <w:rFonts w:ascii="SimSun" w:cs="SimSun" w:eastAsia="SimSun" w:hAnsi="SimSun"/>
          <w:b w:val="false"/>
          <w:bCs w:val="false"/>
          <w:i w:val="false"/>
          <w:iCs w:val="false"/>
          <w:strike w:val="false"/>
          <w:sz w:val="24"/>
          <w:szCs w:val="24"/>
        </w:rPr>
        <w:t xml:space="preserve">，需明确标注样本量限制（3家企业×6年=18个观测值不满足大样本要求）。</w:t>
      </w:r>
    </w:p>
    <w:p>
      <w:pPr>
        <w:spacing w:after="60" w:line="360"/>
        <w:ind w:firstLine="480"/>
        <w:jc w:val="both"/>
      </w:pPr>
      <w:r>
        <w:rPr>
          <w:rFonts w:ascii="SimSun" w:cs="SimSun" w:eastAsia="SimSun" w:hAnsi="SimSun"/>
          <w:b/>
          <w:bCs/>
          <w:i w:val="false"/>
          <w:iCs w:val="false"/>
          <w:strike w:val="false"/>
          <w:sz w:val="24"/>
          <w:szCs w:val="24"/>
        </w:rPr>
        <w:t xml:space="preserve">案例设计修正</w:t>
      </w:r>
      <w:r>
        <w:rPr>
          <w:rFonts w:ascii="SimSun" w:cs="SimSun" w:eastAsia="SimSun" w:hAnsi="SimSun"/>
          <w:b w:val="false"/>
          <w:bCs w:val="false"/>
          <w:i w:val="false"/>
          <w:iCs w:val="false"/>
          <w:strike w:val="false"/>
          <w:sz w:val="24"/>
          <w:szCs w:val="24"/>
        </w:rPr>
        <w:t xml:space="preserve">：万科/保利从"控制组"改为"</w:t>
      </w:r>
      <w:r>
        <w:rPr>
          <w:rFonts w:ascii="SimSun" w:cs="SimSun" w:eastAsia="SimSun" w:hAnsi="SimSun"/>
          <w:b/>
          <w:bCs/>
          <w:i w:val="false"/>
          <w:iCs w:val="false"/>
          <w:strike w:val="false"/>
          <w:sz w:val="24"/>
          <w:szCs w:val="24"/>
        </w:rPr>
        <w:t xml:space="preserve">对比参照案例</w:t>
      </w:r>
      <w:r>
        <w:rPr>
          <w:rFonts w:ascii="SimSun" w:cs="SimSun" w:eastAsia="SimSun" w:hAnsi="SimSun"/>
          <w:b w:val="false"/>
          <w:bCs w:val="false"/>
          <w:i w:val="false"/>
          <w:iCs w:val="false"/>
          <w:strike w:val="false"/>
          <w:sz w:val="24"/>
          <w:szCs w:val="24"/>
        </w:rPr>
        <w:t xml:space="preserve">"，提供不同困境程度的参照分析，避免规模差异带来的可比性问题。</w:t>
      </w:r>
    </w:p>
    <w:p>
      <w:pPr>
        <w:spacing w:after="60" w:line="360"/>
        <w:ind w:firstLine="480"/>
        <w:jc w:val="both"/>
      </w:pPr>
      <w:r>
        <w:rPr>
          <w:rFonts w:ascii="SimSun" w:cs="SimSun" w:eastAsia="SimSun" w:hAnsi="SimSun"/>
          <w:b/>
          <w:bCs/>
          <w:i w:val="false"/>
          <w:iCs w:val="false"/>
          <w:strike w:val="false"/>
          <w:sz w:val="24"/>
          <w:szCs w:val="24"/>
        </w:rPr>
        <w:t xml:space="preserve">分析框架统一</w:t>
      </w:r>
      <w:r>
        <w:rPr>
          <w:rFonts w:ascii="SimSun" w:cs="SimSun" w:eastAsia="SimSun" w:hAnsi="SimSun"/>
          <w:b w:val="false"/>
          <w:bCs w:val="false"/>
          <w:i w:val="false"/>
          <w:iCs w:val="false"/>
          <w:strike w:val="false"/>
          <w:sz w:val="24"/>
          <w:szCs w:val="24"/>
        </w:rPr>
        <w:t xml:space="preserve">：采用"</w:t>
      </w:r>
      <w:r>
        <w:rPr>
          <w:rFonts w:ascii="SimSun" w:cs="SimSun" w:eastAsia="SimSun" w:hAnsi="SimSun"/>
          <w:b/>
          <w:bCs/>
          <w:i w:val="false"/>
          <w:iCs w:val="false"/>
          <w:strike w:val="false"/>
          <w:sz w:val="24"/>
          <w:szCs w:val="24"/>
        </w:rPr>
        <w:t xml:space="preserve">四运作机制为核心+5D为补充</w:t>
      </w:r>
      <w:r>
        <w:rPr>
          <w:rFonts w:ascii="SimSun" w:cs="SimSun" w:eastAsia="SimSun" w:hAnsi="SimSun"/>
          <w:b w:val="false"/>
          <w:bCs w:val="false"/>
          <w:i w:val="false"/>
          <w:iCs w:val="false"/>
          <w:strike w:val="false"/>
          <w:sz w:val="24"/>
          <w:szCs w:val="24"/>
        </w:rPr>
        <w:t xml:space="preserve">"的统一框架，避免分析维度冲突。</w:t>
      </w:r>
    </w:p>
    <w:p>
      <w:pPr>
        <w:pStyle w:val="Heading2"/>
        <w:spacing w:after="180" w:before="360"/>
      </w:pPr>
      <w:r>
        <w:rPr>
          <w:rFonts w:ascii="SimHei" w:cs="SimHei" w:eastAsia="SimHei" w:hAnsi="SimHei"/>
          <w:b/>
          <w:bCs/>
          <w:sz w:val="28"/>
          <w:szCs w:val="28"/>
        </w:rPr>
        <w:t xml:space="preserve">3.2 研究设计要素</w:t>
      </w:r>
    </w:p>
    <w:p>
      <w:pPr>
        <w:pStyle w:val="Heading3"/>
        <w:spacing w:after="120" w:before="240"/>
      </w:pPr>
      <w:r>
        <w:rPr>
          <w:rFonts w:ascii="SimHei" w:cs="SimHei" w:eastAsia="SimHei" w:hAnsi="SimHei"/>
          <w:b/>
          <w:bCs/>
          <w:sz w:val="24"/>
          <w:szCs w:val="24"/>
        </w:rPr>
        <w:t xml:space="preserve">3.2.1 案例选择逻辑</w:t>
      </w:r>
    </w:p>
    <w:p>
      <w:pPr>
        <w:spacing w:after="60" w:line="360"/>
        <w:ind w:firstLine="480"/>
        <w:jc w:val="both"/>
      </w:pPr>
      <w:r>
        <w:rPr>
          <w:rFonts w:ascii="SimSun" w:cs="SimSun" w:eastAsia="SimSun" w:hAnsi="SimSun"/>
          <w:b/>
          <w:bCs/>
          <w:i w:val="false"/>
          <w:iCs w:val="false"/>
          <w:strike w:val="false"/>
          <w:sz w:val="24"/>
          <w:szCs w:val="24"/>
        </w:rPr>
        <w:t xml:space="preserve">核心案例：大悦城控股集团股份有限公司</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选择标准</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具体内容</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研究价值</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典型性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2024年首次出现年度亏损，属于典型财务困境案例</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验证REITs对困境企业的缓解效应</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数据可得性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财务数据完整，REITs信息透明</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支持严谨的实证分析</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事件驱动</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2024年5月24日申报华夏大悦城REIT</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提供明确的前后对比时点</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规模适中</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总资产约0.2万亿，处于行业中等水平</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分析结果更具代表性</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参照案例：万科企业股份有限公司、保利发展控股集团股份有限公司</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案例</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定位</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分析视角</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万科</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战略转型参照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大规模房企REITs转型实践</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保利</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创新尝试参照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早期REITs创新经验</w:t>
            </w:r>
          </w:p>
        </w:tc>
      </w:tr>
    </w:tbl>
    <w:p>
      <w:pPr>
        <w:spacing w:after="120"/>
      </w:pPr>
    </w:p>
    <w:p>
      <w:pPr>
        <w:pStyle w:val="Heading3"/>
        <w:spacing w:after="120" w:before="240"/>
      </w:pPr>
      <w:r>
        <w:rPr>
          <w:rFonts w:ascii="SimHei" w:cs="SimHei" w:eastAsia="SimHei" w:hAnsi="SimHei"/>
          <w:b/>
          <w:bCs/>
          <w:sz w:val="24"/>
          <w:szCs w:val="24"/>
        </w:rPr>
        <w:t xml:space="preserve">3.2.2 研究期间设置</w:t>
      </w:r>
    </w:p>
    <w:p>
      <w:pPr>
        <w:spacing w:after="60" w:line="360"/>
        <w:ind w:firstLine="480"/>
        <w:jc w:val="both"/>
      </w:pPr>
      <w:r>
        <w:rPr>
          <w:rFonts w:ascii="SimSun" w:cs="SimSun" w:eastAsia="SimSun" w:hAnsi="SimSun"/>
          <w:b/>
          <w:bCs/>
          <w:i w:val="false"/>
          <w:iCs w:val="false"/>
          <w:strike w:val="false"/>
          <w:sz w:val="24"/>
          <w:szCs w:val="24"/>
        </w:rPr>
        <w:t xml:space="preserve">总体研究期间</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期间设置</w:t>
      </w:r>
      <w:r>
        <w:rPr>
          <w:rFonts w:ascii="SimSun" w:cs="SimSun" w:eastAsia="SimSun" w:hAnsi="SimSun"/>
          <w:b w:val="false"/>
          <w:bCs w:val="false"/>
          <w:sz w:val="24"/>
          <w:szCs w:val="24"/>
        </w:rPr>
        <w:t xml:space="preserve">：2019年1月1日 - 2025年12月31日</w:t>
      </w:r>
    </w:p>
    <w:p>
      <w:pPr>
        <w:spacing w:after="40" w:line="340"/>
        <w:ind w:left="480" w:hanging="0"/>
      </w:pPr>
      <w:r>
        <w:rPr>
          <w:rFonts w:ascii="SimSun" w:cs="SimSun" w:eastAsia="SimSun" w:hAnsi="SimSun"/>
          <w:b/>
          <w:bCs/>
          <w:sz w:val="24"/>
          <w:szCs w:val="24"/>
        </w:rPr>
        <w:t xml:space="preserve">覆盖范围</w:t>
      </w:r>
      <w:r>
        <w:rPr>
          <w:rFonts w:ascii="SimSun" w:cs="SimSun" w:eastAsia="SimSun" w:hAnsi="SimSun"/>
          <w:b w:val="false"/>
          <w:bCs w:val="false"/>
          <w:sz w:val="24"/>
          <w:szCs w:val="24"/>
        </w:rPr>
        <w:t xml:space="preserve">：跨越7年时间，涵盖REITs发行前后的完整周期</w:t>
      </w:r>
    </w:p>
    <w:p>
      <w:pPr>
        <w:spacing w:after="40" w:line="340"/>
        <w:ind w:left="480" w:hanging="0"/>
      </w:pPr>
      <w:r>
        <w:rPr>
          <w:rFonts w:ascii="SimSun" w:cs="SimSun" w:eastAsia="SimSun" w:hAnsi="SimSun"/>
          <w:b/>
          <w:bCs/>
          <w:sz w:val="24"/>
          <w:szCs w:val="24"/>
        </w:rPr>
        <w:t xml:space="preserve">数据频率</w:t>
      </w:r>
      <w:r>
        <w:rPr>
          <w:rFonts w:ascii="SimSun" w:cs="SimSun" w:eastAsia="SimSun" w:hAnsi="SimSun"/>
          <w:b w:val="false"/>
          <w:bCs w:val="false"/>
          <w:sz w:val="24"/>
          <w:szCs w:val="24"/>
        </w:rPr>
        <w:t xml:space="preserve">：以年度财务数据为主，辅以季度补充数据和半年度数据</w:t>
      </w:r>
    </w:p>
    <w:p>
      <w:pPr>
        <w:spacing w:after="40" w:line="340"/>
        <w:ind w:left="480" w:hanging="0"/>
      </w:pPr>
      <w:r>
        <w:rPr>
          <w:rFonts w:ascii="SimSun" w:cs="SimSun" w:eastAsia="SimSun" w:hAnsi="SimSun"/>
          <w:b/>
          <w:bCs/>
          <w:sz w:val="24"/>
          <w:szCs w:val="24"/>
        </w:rPr>
        <w:t xml:space="preserve">中长期验证窗口</w:t>
      </w:r>
      <w:r>
        <w:rPr>
          <w:rFonts w:ascii="SimSun" w:cs="SimSun" w:eastAsia="SimSun" w:hAnsi="SimSun"/>
          <w:b w:val="false"/>
          <w:bCs w:val="false"/>
          <w:sz w:val="24"/>
          <w:szCs w:val="24"/>
        </w:rPr>
        <w:t xml:space="preserve">：REITs上市（2024年9月）至2025年末，覆盖完整15个月运营周期</w:t>
      </w:r>
    </w:p>
    <w:p>
      <w:pPr>
        <w:spacing w:after="60" w:line="360"/>
        <w:ind w:firstLine="480"/>
        <w:jc w:val="both"/>
      </w:pPr>
      <w:r>
        <w:rPr>
          <w:rFonts w:ascii="SimSun" w:cs="SimSun" w:eastAsia="SimSun" w:hAnsi="SimSun"/>
          <w:b/>
          <w:bCs/>
          <w:i w:val="false"/>
          <w:iCs w:val="false"/>
          <w:strike w:val="false"/>
          <w:sz w:val="24"/>
          <w:szCs w:val="24"/>
        </w:rPr>
        <w:t xml:space="preserve">政策冲击时点</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事件时点</w:t>
      </w:r>
      <w:r>
        <w:rPr>
          <w:rFonts w:ascii="SimSun" w:cs="SimSun" w:eastAsia="SimSun" w:hAnsi="SimSun"/>
          <w:b w:val="false"/>
          <w:bCs w:val="false"/>
          <w:sz w:val="24"/>
          <w:szCs w:val="24"/>
        </w:rPr>
        <w:t xml:space="preserve">：2024年5月24日（华夏大悦城REIT申报日）</w:t>
      </w:r>
    </w:p>
    <w:p>
      <w:pPr>
        <w:spacing w:after="40" w:line="340"/>
        <w:ind w:left="480" w:hanging="0"/>
      </w:pPr>
      <w:r>
        <w:rPr>
          <w:rFonts w:ascii="SimSun" w:cs="SimSun" w:eastAsia="SimSun" w:hAnsi="SimSun"/>
          <w:b/>
          <w:bCs/>
          <w:sz w:val="24"/>
          <w:szCs w:val="24"/>
        </w:rPr>
        <w:t xml:space="preserve">分析期间</w:t>
      </w:r>
      <w:r>
        <w:rPr>
          <w:rFonts w:ascii="SimSun" w:cs="SimSun" w:eastAsia="SimSun" w:hAnsi="SimSun"/>
          <w:b w:val="false"/>
          <w:bCs w:val="false"/>
          <w:sz w:val="24"/>
          <w:szCs w:val="24"/>
        </w:rPr>
        <w:t xml:space="preserve">：事件窗口[-2年，+1.5年]（2022-2025年）</w:t>
      </w:r>
    </w:p>
    <w:p>
      <w:pPr>
        <w:spacing w:after="40" w:line="340"/>
        <w:ind w:left="480" w:hanging="0"/>
      </w:pPr>
      <w:r>
        <w:rPr>
          <w:rFonts w:ascii="SimSun" w:cs="SimSun" w:eastAsia="SimSun" w:hAnsi="SimSun"/>
          <w:b/>
          <w:bCs/>
          <w:sz w:val="24"/>
          <w:szCs w:val="24"/>
        </w:rPr>
        <w:t xml:space="preserve">中长期跟踪验证</w:t>
      </w:r>
      <w:r>
        <w:rPr>
          <w:rFonts w:ascii="SimSun" w:cs="SimSun" w:eastAsia="SimSun" w:hAnsi="SimSun"/>
          <w:b w:val="false"/>
          <w:bCs w:val="false"/>
          <w:sz w:val="24"/>
          <w:szCs w:val="24"/>
        </w:rPr>
        <w:t xml:space="preserve">：2024年9月-2025年12月（REITs完整运营年度）</w:t>
      </w:r>
    </w:p>
    <w:p>
      <w:pPr>
        <w:spacing w:after="40" w:line="340"/>
        <w:ind w:left="480" w:hanging="0"/>
      </w:pPr>
      <w:r>
        <w:rPr>
          <w:rFonts w:ascii="SimSun" w:cs="SimSun" w:eastAsia="SimSun" w:hAnsi="SimSun"/>
          <w:b/>
          <w:bCs/>
          <w:sz w:val="24"/>
          <w:szCs w:val="24"/>
        </w:rPr>
        <w:t xml:space="preserve">稳健性检验</w:t>
      </w:r>
      <w:r>
        <w:rPr>
          <w:rFonts w:ascii="SimSun" w:cs="SimSun" w:eastAsia="SimSun" w:hAnsi="SimSun"/>
          <w:b w:val="false"/>
          <w:bCs w:val="false"/>
          <w:sz w:val="24"/>
          <w:szCs w:val="24"/>
        </w:rPr>
        <w:t xml:space="preserve">：采用不同窗口长度和估计期进行敏感性分析</w:t>
      </w:r>
    </w:p>
    <w:p>
      <w:pPr>
        <w:spacing w:after="60" w:line="360"/>
        <w:ind w:firstLine="480"/>
        <w:jc w:val="both"/>
      </w:pPr>
      <w:r>
        <w:rPr>
          <w:rFonts w:ascii="SimSun" w:cs="SimSun" w:eastAsia="SimSun" w:hAnsi="SimSun"/>
          <w:b/>
          <w:bCs/>
          <w:i w:val="false"/>
          <w:iCs w:val="false"/>
          <w:strike w:val="false"/>
          <w:sz w:val="24"/>
          <w:szCs w:val="24"/>
        </w:rPr>
        <w:t xml:space="preserve">三阶段分析模型框架</w:t>
      </w:r>
      <w:r>
        <w:rPr>
          <w:rFonts w:ascii="SimSun" w:cs="SimSun" w:eastAsia="SimSun" w:hAnsi="SimSun"/>
          <w:b w:val="false"/>
          <w:bCs w:val="false"/>
          <w:i w:val="false"/>
          <w:iCs w:val="false"/>
          <w:strike w:val="false"/>
          <w:sz w:val="24"/>
          <w:szCs w:val="24"/>
        </w:rPr>
        <w:t xml:space="preserve">（替代原"短期验证"）：</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阶段</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时间范围</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数据基础</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验证目标</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短期</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2024年9-12月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REITs上市后3个月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信号效应、方向性变化</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中期</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2025年1-6月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REITs半年运营+H1财报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实质性改善证据</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中长期</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2025年7-12月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REITs完整年度运营+全年预告</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作用机制验证、趋势确认</w:t>
            </w:r>
          </w:p>
        </w:tc>
      </w:tr>
    </w:tbl>
    <w:p>
      <w:pPr>
        <w:spacing w:after="120"/>
      </w:pPr>
    </w:p>
    <w:p>
      <w:pPr>
        <w:spacing w:after="60" w:line="320"/>
        <w:ind w:left="400"/>
      </w:pPr>
      <w:r>
        <w:rPr>
          <w:rFonts w:ascii="SimSun" w:cs="SimSun" w:eastAsia="SimSun" w:hAnsi="SimSun"/>
          <w:b/>
          <w:bCs/>
          <w:i/>
          <w:iCs/>
          <w:color w:val="555555"/>
          <w:sz w:val="21"/>
          <w:szCs w:val="21"/>
        </w:rPr>
        <w:t xml:space="preserve">关键改进</w:t>
      </w:r>
      <w:r>
        <w:rPr>
          <w:rFonts w:ascii="SimSun" w:cs="SimSun" w:eastAsia="SimSun" w:hAnsi="SimSun"/>
          <w:b w:val="false"/>
          <w:bCs w:val="false"/>
          <w:i/>
          <w:iCs/>
          <w:color w:val="555555"/>
          <w:sz w:val="21"/>
          <w:szCs w:val="21"/>
        </w:rPr>
        <w:t xml:space="preserve">：相比v2.2仅覆盖3个月短期数据，v3.0覆盖REITs完整15个月运营周期，使四作用机制从"短期验证/未验证"升级为"中长期验证"。</w:t>
      </w:r>
    </w:p>
    <w:p>
      <w:pPr>
        <w:pStyle w:val="Heading3"/>
        <w:spacing w:after="120" w:before="240"/>
      </w:pPr>
      <w:r>
        <w:rPr>
          <w:rFonts w:ascii="SimHei" w:cs="SimHei" w:eastAsia="SimHei" w:hAnsi="SimHei"/>
          <w:b/>
          <w:bCs/>
          <w:sz w:val="24"/>
          <w:szCs w:val="24"/>
        </w:rPr>
        <w:t xml:space="preserve">3.2.3 变量定义体系</w:t>
      </w:r>
    </w:p>
    <w:p>
      <w:pPr>
        <w:pStyle w:val="Heading4"/>
        <w:spacing w:after="120" w:before="180"/>
      </w:pPr>
      <w:r>
        <w:rPr>
          <w:rFonts w:ascii="SimHei" w:cs="SimHei" w:eastAsia="SimHei" w:hAnsi="SimHei"/>
          <w:b/>
          <w:bCs/>
          <w:sz w:val="24"/>
          <w:szCs w:val="24"/>
        </w:rPr>
        <w:t xml:space="preserve">核心变量定义（v3.0中长期跟踪验证适配）：</w:t>
      </w:r>
    </w:p>
    <w:p>
      <w:pPr>
        <w:spacing w:after="60" w:line="360"/>
        <w:ind w:firstLine="480"/>
        <w:jc w:val="both"/>
      </w:pPr>
      <w:r>
        <w:rPr>
          <w:rFonts w:ascii="SimSun" w:cs="SimSun" w:eastAsia="SimSun" w:hAnsi="SimSun"/>
          <w:b/>
          <w:bCs/>
          <w:i w:val="false"/>
          <w:iCs w:val="false"/>
          <w:strike w:val="false"/>
          <w:sz w:val="24"/>
          <w:szCs w:val="24"/>
        </w:rPr>
        <w:t xml:space="preserve">被解释变量</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变量名称</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符号</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定义</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理论依据</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中长期验证适用性</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资产负债率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DEBT_RATIO</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总负债 / 总资产 × 100%</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资本结构理论</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年度/半年度可观测趋势</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经营现金流比率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CF_RATIO</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经营现金流净额 / 营业收入 × 100%</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现金流理论</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2025H1已验证改善</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累计超额收益率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CAR</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事件窗口累计异常收益率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市场反应理论</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仅短期事件窗口适用</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有息负债率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INT_DEBT_RATIO</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有息负债 / 总资产 × 100%</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资本结构理论</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中长期融资结构调整核心指标</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解释变量</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变量名称</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符号</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定义</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预期效应</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验证时序</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REITs发行哑变量</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REIT_DUMMY</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REITs发行后=1，发行前=0</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正向缓解效应</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全期适用</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时间趋势变量</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TIME_TREND</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REITs上市后季度数（0,1,2,...）</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效应递增趋势</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中长期核心解释变量</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中介变量（四影响机制对应）</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变量名称</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符号</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定义</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作用影响机制</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中长期验证状态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融资成本率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FIN_COST_RATE</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财务费用 / 总负债 × 100%</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融资结构优化影响机制</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2025H1已验证下降</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资产周转率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ASSET_TURNOVER</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营业收入 / 总资产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运营效率提升影响机制</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需2025全年数据确认</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REITs分派贡献</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REIT_DIST_YIELD</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年化分派金额 / 企业市值 × 100%</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现金流改善影响机制</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2025Q1=5.46%已验证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出租率稳定性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OCCUPANCY_RATE</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底层资产出租率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运营效率提升影响机制</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2025H1=98%+已验证</w:t>
            </w:r>
          </w:p>
        </w:tc>
      </w:tr>
    </w:tbl>
    <w:p>
      <w:pPr>
        <w:spacing w:after="120"/>
      </w:pPr>
    </w:p>
    <w:p>
      <w:pPr>
        <w:pStyle w:val="Heading4"/>
        <w:spacing w:after="120" w:before="180"/>
      </w:pPr>
      <w:r>
        <w:rPr>
          <w:rFonts w:ascii="SimHei" w:cs="SimHei" w:eastAsia="SimHei" w:hAnsi="SimHei"/>
          <w:b/>
          <w:bCs/>
          <w:sz w:val="24"/>
          <w:szCs w:val="24"/>
        </w:rPr>
        <w:t xml:space="preserve">控制变量定义：</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变量名称</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符号</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定义</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控制目的</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企业规模</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SIZE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总资产的自然对数</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控制规模效应</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盈利能力</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ROA</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净利润 / 总资产 × 100%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控制盈利能力差异</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成长性</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GROWTH</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营业收入增长率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控制成长阶段差异</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行业景气度</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INDUSTRY_INDEX</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房地产行业指数</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控制行业周期结果</w:t>
            </w:r>
          </w:p>
        </w:tc>
      </w:tr>
    </w:tbl>
    <w:p>
      <w:pPr>
        <w:spacing w:after="120"/>
      </w:pPr>
    </w:p>
    <w:p>
      <w:pPr>
        <w:pStyle w:val="Heading2"/>
        <w:spacing w:after="180" w:before="360"/>
      </w:pPr>
      <w:r>
        <w:rPr>
          <w:rFonts w:ascii="SimHei" w:cs="SimHei" w:eastAsia="SimHei" w:hAnsi="SimHei"/>
          <w:b/>
          <w:bCs/>
          <w:sz w:val="28"/>
          <w:szCs w:val="28"/>
        </w:rPr>
        <w:t xml:space="preserve">3.3 实证分析路径</w:t>
      </w:r>
    </w:p>
    <w:p>
      <w:pPr>
        <w:pStyle w:val="Heading3"/>
        <w:spacing w:after="120" w:before="240"/>
      </w:pPr>
      <w:r>
        <w:rPr>
          <w:rFonts w:ascii="SimHei" w:cs="SimHei" w:eastAsia="SimHei" w:hAnsi="SimHei"/>
          <w:b/>
          <w:bCs/>
          <w:sz w:val="24"/>
          <w:szCs w:val="24"/>
        </w:rPr>
        <w:t xml:space="preserve">3.3.1 四机制中长期跟踪验证路径</w:t>
      </w:r>
    </w:p>
    <w:p>
      <w:pPr>
        <w:spacing w:after="0" w:line="280"/>
        <w:ind w:left="360"/>
      </w:pPr>
      <w:r>
        <w:rPr>
          <w:rFonts w:ascii="Courier New" w:cs="Courier New" w:eastAsia="Courier New" w:hAnsi="Courier New"/>
          <w:color w:val="333333"/>
          <w:sz w:val="18"/>
          <w:szCs w:val="18"/>
        </w:rPr>
        <w:t xml:space="preserve">第一阶段：趋势对比分析（时间维度，延伸至2025年）</w:t>
      </w:r>
    </w:p>
    <w:p>
      <w:pPr>
        <w:spacing w:after="0" w:line="280"/>
        <w:ind w:left="360"/>
      </w:pPr>
      <w:r>
        <w:rPr>
          <w:rFonts w:ascii="Courier New" w:cs="Courier New" w:eastAsia="Courier New" w:hAnsi="Courier New"/>
          <w:color w:val="333333"/>
          <w:sz w:val="18"/>
          <w:szCs w:val="18"/>
        </w:rPr>
        <w:t xml:space="preserve">├── 大悦城财务指标时间序列分析（2019-2025年）</w:t>
      </w:r>
    </w:p>
    <w:p>
      <w:pPr>
        <w:spacing w:after="0" w:line="280"/>
        <w:ind w:left="360"/>
      </w:pPr>
      <w:r>
        <w:rPr>
          <w:rFonts w:ascii="Courier New" w:cs="Courier New" w:eastAsia="Courier New" w:hAnsi="Courier New"/>
          <w:color w:val="333333"/>
          <w:sz w:val="18"/>
          <w:szCs w:val="18"/>
        </w:rPr>
        <w:t xml:space="preserve">├── REITs发行前后对比（2023 vs 2024 vs 2025H1 vs 2025E）</w:t>
      </w:r>
    </w:p>
    <w:p>
      <w:pPr>
        <w:spacing w:after="0" w:line="280"/>
        <w:ind w:left="360"/>
      </w:pPr>
      <w:r>
        <w:rPr>
          <w:rFonts w:ascii="Courier New" w:cs="Courier New" w:eastAsia="Courier New" w:hAnsi="Courier New"/>
          <w:color w:val="333333"/>
          <w:sz w:val="18"/>
          <w:szCs w:val="18"/>
        </w:rPr>
        <w:t xml:space="preserve">├── 跨年度变化趋势检验（含2025年全年预告数据）</w:t>
      </w:r>
    </w:p>
    <w:p>
      <w:pPr>
        <w:spacing w:after="0" w:line="280"/>
        <w:ind w:left="360"/>
      </w:pPr>
      <w:r>
        <w:rPr>
          <w:rFonts w:ascii="Courier New" w:cs="Courier New" w:eastAsia="Courier New" w:hAnsi="Courier New"/>
          <w:color w:val="333333"/>
          <w:sz w:val="18"/>
          <w:szCs w:val="18"/>
        </w:rPr>
        <w:t xml:space="preserve">└── 关键事件点分析（申报→上市→完整年度运营）</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第二阶段：四机制中长期跟踪检验（框架维度）</w:t>
      </w:r>
    </w:p>
    <w:p>
      <w:pPr>
        <w:spacing w:after="0" w:line="280"/>
        <w:ind w:left="360"/>
      </w:pPr>
      <w:r>
        <w:rPr>
          <w:rFonts w:ascii="Courier New" w:cs="Courier New" w:eastAsia="Courier New" w:hAnsi="Courier New"/>
          <w:color w:val="333333"/>
          <w:sz w:val="18"/>
          <w:szCs w:val="18"/>
        </w:rPr>
        <w:t xml:space="preserve">├── 融资结构优化机制检验</w:t>
      </w:r>
    </w:p>
    <w:p>
      <w:pPr>
        <w:spacing w:after="0" w:line="280"/>
        <w:ind w:left="360"/>
      </w:pPr>
      <w:r>
        <w:rPr>
          <w:rFonts w:ascii="Courier New" w:cs="Courier New" w:eastAsia="Courier New" w:hAnsi="Courier New"/>
          <w:color w:val="333333"/>
          <w:sz w:val="18"/>
          <w:szCs w:val="18"/>
        </w:rPr>
        <w:t xml:space="preserve">│   ├── 融资成本率变化分析（2019-2025年趋势）</w:t>
      </w:r>
    </w:p>
    <w:p>
      <w:pPr>
        <w:spacing w:after="0" w:line="280"/>
        <w:ind w:left="360"/>
      </w:pPr>
      <w:r>
        <w:rPr>
          <w:rFonts w:ascii="Courier New" w:cs="Courier New" w:eastAsia="Courier New" w:hAnsi="Courier New"/>
          <w:color w:val="333333"/>
          <w:sz w:val="18"/>
          <w:szCs w:val="18"/>
        </w:rPr>
        <w:t xml:space="preserve">│   ├── 有息负债率变化分析（2024H2 vs 2025H1）</w:t>
      </w:r>
    </w:p>
    <w:p>
      <w:pPr>
        <w:spacing w:after="0" w:line="280"/>
        <w:ind w:left="360"/>
      </w:pPr>
      <w:r>
        <w:rPr>
          <w:rFonts w:ascii="Courier New" w:cs="Courier New" w:eastAsia="Courier New" w:hAnsi="Courier New"/>
          <w:color w:val="333333"/>
          <w:sz w:val="18"/>
          <w:szCs w:val="18"/>
        </w:rPr>
        <w:t xml:space="preserve">│   ├── 债务期限结构分析</w:t>
      </w:r>
    </w:p>
    <w:p>
      <w:pPr>
        <w:spacing w:after="0" w:line="280"/>
        <w:ind w:left="360"/>
      </w:pPr>
      <w:r>
        <w:rPr>
          <w:rFonts w:ascii="Courier New" w:cs="Courier New" w:eastAsia="Courier New" w:hAnsi="Courier New"/>
          <w:color w:val="333333"/>
          <w:sz w:val="18"/>
          <w:szCs w:val="18"/>
        </w:rPr>
        <w:t xml:space="preserve">│   └── 融资渠道多样性分析</w:t>
      </w:r>
    </w:p>
    <w:p>
      <w:pPr>
        <w:spacing w:after="0" w:line="280"/>
        <w:ind w:left="360"/>
      </w:pPr>
      <w:r>
        <w:rPr>
          <w:rFonts w:ascii="Courier New" w:cs="Courier New" w:eastAsia="Courier New" w:hAnsi="Courier New"/>
          <w:color w:val="333333"/>
          <w:sz w:val="18"/>
          <w:szCs w:val="18"/>
        </w:rPr>
        <w:t xml:space="preserve">│</w:t>
      </w:r>
    </w:p>
    <w:p>
      <w:pPr>
        <w:spacing w:after="0" w:line="280"/>
        <w:ind w:left="360"/>
      </w:pPr>
      <w:r>
        <w:rPr>
          <w:rFonts w:ascii="Courier New" w:cs="Courier New" w:eastAsia="Courier New" w:hAnsi="Courier New"/>
          <w:color w:val="333333"/>
          <w:sz w:val="18"/>
          <w:szCs w:val="18"/>
        </w:rPr>
        <w:t xml:space="preserve">├── 现金流改善机制检验</w:t>
      </w:r>
    </w:p>
    <w:p>
      <w:pPr>
        <w:spacing w:after="0" w:line="280"/>
        <w:ind w:left="360"/>
      </w:pPr>
      <w:r>
        <w:rPr>
          <w:rFonts w:ascii="Courier New" w:cs="Courier New" w:eastAsia="Courier New" w:hAnsi="Courier New"/>
          <w:color w:val="333333"/>
          <w:sz w:val="18"/>
          <w:szCs w:val="18"/>
        </w:rPr>
        <w:t xml:space="preserve">│   ├── 经营现金流比率分析（含2025H1=19.91%验证）</w:t>
      </w:r>
    </w:p>
    <w:p>
      <w:pPr>
        <w:spacing w:after="0" w:line="280"/>
        <w:ind w:left="360"/>
      </w:pPr>
      <w:r>
        <w:rPr>
          <w:rFonts w:ascii="Courier New" w:cs="Courier New" w:eastAsia="Courier New" w:hAnsi="Courier New"/>
          <w:color w:val="333333"/>
          <w:sz w:val="18"/>
          <w:szCs w:val="18"/>
        </w:rPr>
        <w:t xml:space="preserve">│   ├── REITs分派贡献分析（2025Q1年化5.46%）</w:t>
      </w:r>
    </w:p>
    <w:p>
      <w:pPr>
        <w:spacing w:after="0" w:line="280"/>
        <w:ind w:left="360"/>
      </w:pPr>
      <w:r>
        <w:rPr>
          <w:rFonts w:ascii="Courier New" w:cs="Courier New" w:eastAsia="Courier New" w:hAnsi="Courier New"/>
          <w:color w:val="333333"/>
          <w:sz w:val="18"/>
          <w:szCs w:val="18"/>
        </w:rPr>
        <w:t xml:space="preserve">│   ├── 筹资现金流变化分析（从净流出转向观察）</w:t>
      </w:r>
    </w:p>
    <w:p>
      <w:pPr>
        <w:spacing w:after="0" w:line="280"/>
        <w:ind w:left="360"/>
      </w:pPr>
      <w:r>
        <w:rPr>
          <w:rFonts w:ascii="Courier New" w:cs="Courier New" w:eastAsia="Courier New" w:hAnsi="Courier New"/>
          <w:color w:val="333333"/>
          <w:sz w:val="18"/>
          <w:szCs w:val="18"/>
        </w:rPr>
        <w:t xml:space="preserve">│   └── 现金持有水平分析</w:t>
      </w:r>
    </w:p>
    <w:p>
      <w:pPr>
        <w:spacing w:after="0" w:line="280"/>
        <w:ind w:left="360"/>
      </w:pPr>
      <w:r>
        <w:rPr>
          <w:rFonts w:ascii="Courier New" w:cs="Courier New" w:eastAsia="Courier New" w:hAnsi="Courier New"/>
          <w:color w:val="333333"/>
          <w:sz w:val="18"/>
          <w:szCs w:val="18"/>
        </w:rPr>
        <w:t xml:space="preserve">│</w:t>
      </w:r>
    </w:p>
    <w:p>
      <w:pPr>
        <w:spacing w:after="0" w:line="280"/>
        <w:ind w:left="360"/>
      </w:pPr>
      <w:r>
        <w:rPr>
          <w:rFonts w:ascii="Courier New" w:cs="Courier New" w:eastAsia="Courier New" w:hAnsi="Courier New"/>
          <w:color w:val="333333"/>
          <w:sz w:val="18"/>
          <w:szCs w:val="18"/>
        </w:rPr>
        <w:t xml:space="preserve">├── 资产负债重构机制检验</w:t>
      </w:r>
    </w:p>
    <w:p>
      <w:pPr>
        <w:spacing w:after="0" w:line="280"/>
        <w:ind w:left="360"/>
      </w:pPr>
      <w:r>
        <w:rPr>
          <w:rFonts w:ascii="Courier New" w:cs="Courier New" w:eastAsia="Courier New" w:hAnsi="Courier New"/>
          <w:color w:val="333333"/>
          <w:sz w:val="18"/>
          <w:szCs w:val="18"/>
        </w:rPr>
        <w:t xml:space="preserve">│   ├── 资产周转率变化分析</w:t>
      </w:r>
    </w:p>
    <w:p>
      <w:pPr>
        <w:spacing w:after="0" w:line="280"/>
        <w:ind w:left="360"/>
      </w:pPr>
      <w:r>
        <w:rPr>
          <w:rFonts w:ascii="Courier New" w:cs="Courier New" w:eastAsia="Courier New" w:hAnsi="Courier New"/>
          <w:color w:val="333333"/>
          <w:sz w:val="18"/>
          <w:szCs w:val="18"/>
        </w:rPr>
        <w:t xml:space="preserve">│   ├── 资本结构优化分析（资产负债率趋势）</w:t>
      </w:r>
    </w:p>
    <w:p>
      <w:pPr>
        <w:spacing w:after="0" w:line="280"/>
        <w:ind w:left="360"/>
      </w:pPr>
      <w:r>
        <w:rPr>
          <w:rFonts w:ascii="Courier New" w:cs="Courier New" w:eastAsia="Courier New" w:hAnsi="Courier New"/>
          <w:color w:val="333333"/>
          <w:sz w:val="18"/>
          <w:szCs w:val="18"/>
        </w:rPr>
        <w:t xml:space="preserve">│   ├── 偿债能力指标分析</w:t>
      </w:r>
    </w:p>
    <w:p>
      <w:pPr>
        <w:spacing w:after="0" w:line="280"/>
        <w:ind w:left="360"/>
      </w:pPr>
      <w:r>
        <w:rPr>
          <w:rFonts w:ascii="Courier New" w:cs="Courier New" w:eastAsia="Courier New" w:hAnsi="Courier New"/>
          <w:color w:val="333333"/>
          <w:sz w:val="18"/>
          <w:szCs w:val="18"/>
        </w:rPr>
        <w:t xml:space="preserve">│   └── 资产出表效应评估（合并报表vsREITs报表）</w:t>
      </w:r>
    </w:p>
    <w:p>
      <w:pPr>
        <w:spacing w:after="0" w:line="280"/>
        <w:ind w:left="360"/>
      </w:pPr>
      <w:r>
        <w:rPr>
          <w:rFonts w:ascii="Courier New" w:cs="Courier New" w:eastAsia="Courier New" w:hAnsi="Courier New"/>
          <w:color w:val="333333"/>
          <w:sz w:val="18"/>
          <w:szCs w:val="18"/>
        </w:rPr>
        <w:t xml:space="preserve">│</w:t>
      </w:r>
    </w:p>
    <w:p>
      <w:pPr>
        <w:spacing w:after="0" w:line="280"/>
        <w:ind w:left="360"/>
      </w:pPr>
      <w:r>
        <w:rPr>
          <w:rFonts w:ascii="Courier New" w:cs="Courier New" w:eastAsia="Courier New" w:hAnsi="Courier New"/>
          <w:color w:val="333333"/>
          <w:sz w:val="18"/>
          <w:szCs w:val="18"/>
        </w:rPr>
        <w:t xml:space="preserve">└── 运营效率提升机制检验</w:t>
      </w:r>
    </w:p>
    <w:p>
      <w:pPr>
        <w:spacing w:after="0" w:line="280"/>
        <w:ind w:left="360"/>
      </w:pPr>
      <w:r>
        <w:rPr>
          <w:rFonts w:ascii="Courier New" w:cs="Courier New" w:eastAsia="Courier New" w:hAnsi="Courier New"/>
          <w:color w:val="333333"/>
          <w:sz w:val="18"/>
          <w:szCs w:val="18"/>
        </w:rPr>
        <w:t xml:space="preserve">    ├── 出租率稳定性分析（2025H1=98%+）</w:t>
      </w:r>
    </w:p>
    <w:p>
      <w:pPr>
        <w:spacing w:after="0" w:line="280"/>
        <w:ind w:left="360"/>
      </w:pPr>
      <w:r>
        <w:rPr>
          <w:rFonts w:ascii="Courier New" w:cs="Courier New" w:eastAsia="Courier New" w:hAnsi="Courier New"/>
          <w:color w:val="333333"/>
          <w:sz w:val="18"/>
          <w:szCs w:val="18"/>
        </w:rPr>
        <w:t xml:space="preserve">    ├── REITs底层资产租金收入增长</w:t>
      </w:r>
    </w:p>
    <w:p>
      <w:pPr>
        <w:spacing w:after="0" w:line="280"/>
        <w:ind w:left="360"/>
      </w:pPr>
      <w:r>
        <w:rPr>
          <w:rFonts w:ascii="Courier New" w:cs="Courier New" w:eastAsia="Courier New" w:hAnsi="Courier New"/>
          <w:color w:val="333333"/>
          <w:sz w:val="18"/>
          <w:szCs w:val="18"/>
        </w:rPr>
        <w:t xml:space="preserve">    ├── 管理费用率变化分析</w:t>
      </w:r>
    </w:p>
    <w:p>
      <w:pPr>
        <w:spacing w:after="0" w:line="280"/>
        <w:ind w:left="360"/>
      </w:pPr>
      <w:r>
        <w:rPr>
          <w:rFonts w:ascii="Courier New" w:cs="Courier New" w:eastAsia="Courier New" w:hAnsi="Courier New"/>
          <w:color w:val="333333"/>
          <w:sz w:val="18"/>
          <w:szCs w:val="18"/>
        </w:rPr>
        <w:t xml:space="preserve">    └── 专业化运营水平检验</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第三阶段：模式匹配与中长期评估（理论实证对比）</w:t>
      </w:r>
    </w:p>
    <w:p>
      <w:pPr>
        <w:spacing w:after="0" w:line="280"/>
        <w:ind w:left="360"/>
      </w:pPr>
      <w:r>
        <w:rPr>
          <w:rFonts w:ascii="Courier New" w:cs="Courier New" w:eastAsia="Courier New" w:hAnsi="Courier New"/>
          <w:color w:val="333333"/>
          <w:sz w:val="18"/>
          <w:szCs w:val="18"/>
        </w:rPr>
        <w:t xml:space="preserve">├── 理论预期与实证发现对比（含2025年数据）</w:t>
      </w:r>
    </w:p>
    <w:p>
      <w:pPr>
        <w:spacing w:after="0" w:line="280"/>
        <w:ind w:left="360"/>
      </w:pPr>
      <w:r>
        <w:rPr>
          <w:rFonts w:ascii="Courier New" w:cs="Courier New" w:eastAsia="Courier New" w:hAnsi="Courier New"/>
          <w:color w:val="333333"/>
          <w:sz w:val="18"/>
          <w:szCs w:val="18"/>
        </w:rPr>
        <w:t xml:space="preserve">├── 中长期一致性程度评估（替代原"短期验证/未验证"二元判断）</w:t>
      </w:r>
    </w:p>
    <w:p>
      <w:pPr>
        <w:spacing w:after="0" w:line="280"/>
        <w:ind w:left="360"/>
      </w:pPr>
      <w:r>
        <w:rPr>
          <w:rFonts w:ascii="Courier New" w:cs="Courier New" w:eastAsia="Courier New" w:hAnsi="Courier New"/>
          <w:color w:val="333333"/>
          <w:sz w:val="18"/>
          <w:szCs w:val="18"/>
        </w:rPr>
        <w:t xml:space="preserve">├── 机制解释力分析（四机制各自验证等级）</w:t>
      </w:r>
    </w:p>
    <w:p>
      <w:pPr>
        <w:spacing w:after="0" w:line="280"/>
        <w:ind w:left="360"/>
      </w:pPr>
      <w:r>
        <w:rPr>
          <w:rFonts w:ascii="Courier New" w:cs="Courier New" w:eastAsia="Courier New" w:hAnsi="Courier New"/>
          <w:color w:val="333333"/>
          <w:sz w:val="18"/>
          <w:szCs w:val="18"/>
        </w:rPr>
        <w:t xml:space="preserve">├── 效应时滞分析（短期信号→中期实质→中长期趋势）</w:t>
      </w:r>
    </w:p>
    <w:p>
      <w:pPr>
        <w:spacing w:after="0" w:line="280"/>
        <w:ind w:left="360"/>
      </w:pPr>
      <w:r>
        <w:rPr>
          <w:rFonts w:ascii="Courier New" w:cs="Courier New" w:eastAsia="Courier New" w:hAnsi="Courier New"/>
          <w:color w:val="333333"/>
          <w:sz w:val="18"/>
          <w:szCs w:val="18"/>
        </w:rPr>
        <w:t xml:space="preserve">└── 研究结论提炼</w:t>
      </w:r>
    </w:p>
    <w:p>
      <w:pPr>
        <w:spacing w:after="60" w:line="360"/>
        <w:ind w:firstLine="480"/>
        <w:jc w:val="both"/>
      </w:pPr>
      <w:r>
        <w:rPr>
          <w:rFonts w:ascii="SimSun" w:cs="SimSun" w:eastAsia="SimSun" w:hAnsi="SimSun"/>
          <w:b/>
          <w:bCs/>
          <w:i w:val="false"/>
          <w:iCs w:val="false"/>
          <w:strike w:val="false"/>
          <w:sz w:val="24"/>
          <w:szCs w:val="24"/>
        </w:rPr>
        <w:t xml:space="preserve">v3.0关键升级</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时间轴延伸至2025年，REITs运营数据覆盖完整15个月</w:t>
      </w:r>
    </w:p>
    <w:p>
      <w:pPr>
        <w:spacing w:after="40" w:line="340"/>
        <w:ind w:left="480" w:hanging="0"/>
      </w:pPr>
      <w:r>
        <w:rPr>
          <w:rFonts w:ascii="SimSun" w:cs="SimSun" w:eastAsia="SimSun" w:hAnsi="SimSun"/>
          <w:b w:val="false"/>
          <w:bCs w:val="false"/>
          <w:sz w:val="24"/>
          <w:szCs w:val="24"/>
        </w:rPr>
        <w:t xml:space="preserve">每个机制增加"中长期验证状态"标记（✅已验证/🔄待确认/⚠️证据不足）</w:t>
      </w:r>
    </w:p>
    <w:p>
      <w:pPr>
        <w:spacing w:after="40" w:line="340"/>
        <w:ind w:left="480" w:hanging="0"/>
      </w:pPr>
      <w:r>
        <w:rPr>
          <w:rFonts w:ascii="SimSun" w:cs="SimSun" w:eastAsia="SimSun" w:hAnsi="SimSun"/>
          <w:b w:val="false"/>
          <w:bCs w:val="false"/>
          <w:sz w:val="24"/>
          <w:szCs w:val="24"/>
        </w:rPr>
        <w:t xml:space="preserve">新增"效应时滞分析"，避免短期/中长期一刀切判断</w:t>
      </w:r>
    </w:p>
    <w:p>
      <w:pPr>
        <w:pStyle w:val="Heading3"/>
        <w:spacing w:after="120" w:before="240"/>
      </w:pPr>
      <w:r>
        <w:rPr>
          <w:rFonts w:ascii="SimHei" w:cs="SimHei" w:eastAsia="SimHei" w:hAnsi="SimHei"/>
          <w:b/>
          <w:bCs/>
          <w:sz w:val="24"/>
          <w:szCs w:val="24"/>
        </w:rPr>
        <w:t xml:space="preserve">3.3.2 数据分析方法</w:t>
      </w:r>
    </w:p>
    <w:p>
      <w:pPr>
        <w:spacing w:after="60" w:line="360"/>
        <w:ind w:firstLine="480"/>
        <w:jc w:val="both"/>
      </w:pPr>
      <w:r>
        <w:rPr>
          <w:rFonts w:ascii="SimSun" w:cs="SimSun" w:eastAsia="SimSun" w:hAnsi="SimSun"/>
          <w:b/>
          <w:bCs/>
          <w:i w:val="false"/>
          <w:iCs w:val="false"/>
          <w:strike w:val="false"/>
          <w:sz w:val="24"/>
          <w:szCs w:val="24"/>
        </w:rPr>
        <w:t xml:space="preserve">趋势对比分析</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时间序列分析：纵向对比分析</w:t>
      </w:r>
    </w:p>
    <w:p>
      <w:pPr>
        <w:spacing w:after="40" w:line="340"/>
        <w:ind w:left="480" w:hanging="0"/>
      </w:pPr>
      <w:r>
        <w:rPr>
          <w:rFonts w:ascii="SimSun" w:cs="SimSun" w:eastAsia="SimSun" w:hAnsi="SimSun"/>
          <w:b w:val="false"/>
          <w:bCs w:val="false"/>
          <w:sz w:val="24"/>
          <w:szCs w:val="24"/>
        </w:rPr>
        <w:t xml:space="preserve">跨期对比：REITs发行前后变化</w:t>
      </w:r>
    </w:p>
    <w:p>
      <w:pPr>
        <w:spacing w:after="40" w:line="340"/>
        <w:ind w:left="480" w:hanging="0"/>
      </w:pPr>
      <w:r>
        <w:rPr>
          <w:rFonts w:ascii="SimSun" w:cs="SimSun" w:eastAsia="SimSun" w:hAnsi="SimSun"/>
          <w:b w:val="false"/>
          <w:bCs w:val="false"/>
          <w:sz w:val="24"/>
          <w:szCs w:val="24"/>
        </w:rPr>
        <w:t xml:space="preserve">趋势检验：长期趋势、季节性、周期性分析</w:t>
      </w:r>
    </w:p>
    <w:p>
      <w:pPr>
        <w:spacing w:after="60" w:line="360"/>
        <w:ind w:firstLine="480"/>
        <w:jc w:val="both"/>
      </w:pPr>
      <w:r>
        <w:rPr>
          <w:rFonts w:ascii="SimSun" w:cs="SimSun" w:eastAsia="SimSun" w:hAnsi="SimSun"/>
          <w:b/>
          <w:bCs/>
          <w:i w:val="false"/>
          <w:iCs w:val="false"/>
          <w:strike w:val="false"/>
          <w:sz w:val="24"/>
          <w:szCs w:val="24"/>
        </w:rPr>
        <w:t xml:space="preserve">描述性统计分析</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均值、标准差、最大值、最小值</w:t>
      </w:r>
    </w:p>
    <w:p>
      <w:pPr>
        <w:spacing w:after="40" w:line="340"/>
        <w:ind w:left="480" w:hanging="0"/>
      </w:pPr>
      <w:r>
        <w:rPr>
          <w:rFonts w:ascii="SimSun" w:cs="SimSun" w:eastAsia="SimSun" w:hAnsi="SimSun"/>
          <w:b w:val="false"/>
          <w:bCs w:val="false"/>
          <w:sz w:val="24"/>
          <w:szCs w:val="24"/>
        </w:rPr>
        <w:t xml:space="preserve">分布特征分析</w:t>
      </w:r>
    </w:p>
    <w:p>
      <w:pPr>
        <w:spacing w:after="40" w:line="340"/>
        <w:ind w:left="480" w:hanging="0"/>
      </w:pPr>
      <w:r>
        <w:rPr>
          <w:rFonts w:ascii="SimSun" w:cs="SimSun" w:eastAsia="SimSun" w:hAnsi="SimSun"/>
          <w:b w:val="false"/>
          <w:bCs w:val="false"/>
          <w:sz w:val="24"/>
          <w:szCs w:val="24"/>
        </w:rPr>
        <w:t xml:space="preserve">异常值检测</w:t>
      </w:r>
    </w:p>
    <w:p>
      <w:pPr>
        <w:spacing w:after="60" w:line="360"/>
        <w:ind w:firstLine="480"/>
        <w:jc w:val="both"/>
      </w:pPr>
      <w:r>
        <w:rPr>
          <w:rFonts w:ascii="SimSun" w:cs="SimSun" w:eastAsia="SimSun" w:hAnsi="SimSun"/>
          <w:b/>
          <w:bCs/>
          <w:i w:val="false"/>
          <w:iCs w:val="false"/>
          <w:strike w:val="false"/>
          <w:sz w:val="24"/>
          <w:szCs w:val="24"/>
        </w:rPr>
        <w:t xml:space="preserve">探索性DID分析</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样本限制说明：3家企业×6年=18个观测值</w:t>
      </w:r>
    </w:p>
    <w:p>
      <w:pPr>
        <w:spacing w:after="40" w:line="340"/>
        <w:ind w:left="480" w:hanging="0"/>
      </w:pPr>
      <w:r>
        <w:rPr>
          <w:rFonts w:ascii="SimSun" w:cs="SimSun" w:eastAsia="SimSun" w:hAnsi="SimSun"/>
          <w:b w:val="false"/>
          <w:bCs w:val="false"/>
          <w:sz w:val="24"/>
          <w:szCs w:val="24"/>
        </w:rPr>
        <w:t xml:space="preserve">定位标注：探索性补充分析</w:t>
      </w:r>
    </w:p>
    <w:p>
      <w:pPr>
        <w:spacing w:after="40" w:line="340"/>
        <w:ind w:left="480" w:hanging="0"/>
      </w:pPr>
      <w:r>
        <w:rPr>
          <w:rFonts w:ascii="SimSun" w:cs="SimSun" w:eastAsia="SimSun" w:hAnsi="SimSun"/>
          <w:b w:val="false"/>
          <w:bCs w:val="false"/>
          <w:sz w:val="24"/>
          <w:szCs w:val="24"/>
        </w:rPr>
        <w:t xml:space="preserve">谨慎解释：考虑统计推断局限性</w:t>
      </w:r>
    </w:p>
    <w:p>
      <w:pPr>
        <w:spacing w:after="60" w:line="360"/>
        <w:ind w:firstLine="480"/>
        <w:jc w:val="both"/>
      </w:pPr>
      <w:r>
        <w:rPr>
          <w:rFonts w:ascii="SimSun" w:cs="SimSun" w:eastAsia="SimSun" w:hAnsi="SimSun"/>
          <w:b/>
          <w:bCs/>
          <w:i w:val="false"/>
          <w:iCs w:val="false"/>
          <w:strike w:val="false"/>
          <w:sz w:val="24"/>
          <w:szCs w:val="24"/>
        </w:rPr>
        <w:t xml:space="preserve">模式匹配分析</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理论预期vs实证发现的系统性对比</w:t>
      </w:r>
    </w:p>
    <w:p>
      <w:pPr>
        <w:spacing w:after="40" w:line="340"/>
        <w:ind w:left="480" w:hanging="0"/>
      </w:pPr>
      <w:r>
        <w:rPr>
          <w:rFonts w:ascii="SimSun" w:cs="SimSun" w:eastAsia="SimSun" w:hAnsi="SimSun"/>
          <w:b w:val="false"/>
          <w:bCs w:val="false"/>
          <w:sz w:val="24"/>
          <w:szCs w:val="24"/>
        </w:rPr>
        <w:t xml:space="preserve">四机制理论框架各维度的解释力评估</w:t>
      </w:r>
    </w:p>
    <w:p>
      <w:pPr>
        <w:spacing w:after="40" w:line="340"/>
        <w:ind w:left="480" w:hanging="0"/>
      </w:pPr>
      <w:r>
        <w:rPr>
          <w:rFonts w:ascii="SimSun" w:cs="SimSun" w:eastAsia="SimSun" w:hAnsi="SimSun"/>
          <w:b w:val="false"/>
          <w:bCs w:val="false"/>
          <w:sz w:val="24"/>
          <w:szCs w:val="24"/>
        </w:rPr>
        <w:t xml:space="preserve">一致/不一致的深度解释</w:t>
      </w:r>
    </w:p>
    <w:p>
      <w:pPr>
        <w:spacing w:after="60" w:line="360"/>
        <w:ind w:firstLine="480"/>
        <w:jc w:val="both"/>
      </w:pPr>
      <w:r>
        <w:rPr>
          <w:rFonts w:ascii="SimSun" w:cs="SimSun" w:eastAsia="SimSun" w:hAnsi="SimSun"/>
          <w:b/>
          <w:bCs/>
          <w:i w:val="false"/>
          <w:iCs w:val="false"/>
          <w:strike w:val="false"/>
          <w:sz w:val="24"/>
          <w:szCs w:val="24"/>
        </w:rPr>
        <w:t xml:space="preserve">事件研究法（补充详细参数）</w:t>
      </w:r>
      <w:r>
        <w:rPr>
          <w:rFonts w:ascii="SimSun" w:cs="SimSun" w:eastAsia="SimSun" w:hAnsi="SimSun"/>
          <w:b w:val="false"/>
          <w:bCs w:val="false"/>
          <w:i w:val="false"/>
          <w:iCs w:val="false"/>
          <w:strike w:val="false"/>
          <w:sz w:val="24"/>
          <w:szCs w:val="24"/>
        </w:rPr>
        <w:t xml:space="preserve">：</w:t>
      </w:r>
    </w:p>
    <w:p>
      <w:pPr>
        <w:spacing w:after="0" w:line="280"/>
        <w:ind w:left="360"/>
      </w:pPr>
      <w:r>
        <w:rPr>
          <w:rFonts w:ascii="Courier New" w:cs="Courier New" w:eastAsia="Courier New" w:hAnsi="Courier New"/>
          <w:color w:val="333333"/>
          <w:sz w:val="18"/>
          <w:szCs w:val="18"/>
        </w:rPr>
        <w:t xml:space="preserve">方法定位：验证REITs申报/发行事件的市场反应，补充分析财务效应之外的市场价值效应</w:t>
      </w:r>
    </w:p>
    <w:p>
      <w:pPr>
        <w:spacing w:after="0" w:line="280"/>
        <w:ind w:left="360"/>
      </w:pPr>
      <w:r>
        <w:rPr>
          <w:rFonts w:ascii="Courier New" w:cs="Courier New" w:eastAsia="Courier New" w:hAnsi="Courier New"/>
          <w:color w:val="333333"/>
          <w:sz w:val="18"/>
          <w:szCs w:val="18"/>
        </w:rPr>
        <w:t xml:space="preserve">市场基准：沪深300指数日收益率（Rmt）</w:t>
      </w:r>
    </w:p>
    <w:p>
      <w:pPr>
        <w:spacing w:after="0" w:line="280"/>
        <w:ind w:left="360"/>
      </w:pPr>
      <w:r>
        <w:rPr>
          <w:rFonts w:ascii="Courier New" w:cs="Courier New" w:eastAsia="Courier New" w:hAnsi="Courier New"/>
          <w:color w:val="333333"/>
          <w:sz w:val="18"/>
          <w:szCs w:val="18"/>
        </w:rPr>
        <w:t xml:space="preserve">个股收益率：考虑分红再投资的日收益率（Rit）</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参数设置：</w:t>
      </w:r>
    </w:p>
    <w:p>
      <w:pPr>
        <w:spacing w:after="0" w:line="280"/>
        <w:ind w:left="360"/>
      </w:pPr>
      <w:r>
        <w:rPr>
          <w:rFonts w:ascii="Courier New" w:cs="Courier New" w:eastAsia="Courier New" w:hAnsi="Courier New"/>
          <w:color w:val="333333"/>
          <w:sz w:val="18"/>
          <w:szCs w:val="18"/>
        </w:rPr>
        <w:t xml:space="preserve">├── 估计窗口：[-120, -30]交易日（约6个月，用于估计市场模型参数α、β）</w:t>
      </w:r>
    </w:p>
    <w:p>
      <w:pPr>
        <w:spacing w:after="0" w:line="280"/>
        <w:ind w:left="360"/>
      </w:pPr>
      <w:r>
        <w:rPr>
          <w:rFonts w:ascii="Courier New" w:cs="Courier New" w:eastAsia="Courier New" w:hAnsi="Courier New"/>
          <w:color w:val="333333"/>
          <w:sz w:val="18"/>
          <w:szCs w:val="18"/>
        </w:rPr>
        <w:t xml:space="preserve">├── 事件窗口：[-20, +20]交易日（涵盖申报日、批复日、上市日等关键事件）</w:t>
      </w:r>
    </w:p>
    <w:p>
      <w:pPr>
        <w:spacing w:after="0" w:line="280"/>
        <w:ind w:left="360"/>
      </w:pPr>
      <w:r>
        <w:rPr>
          <w:rFonts w:ascii="Courier New" w:cs="Courier New" w:eastAsia="Courier New" w:hAnsi="Courier New"/>
          <w:color w:val="333333"/>
          <w:sz w:val="18"/>
          <w:szCs w:val="18"/>
        </w:rPr>
        <w:t xml:space="preserve">├── 事件日：t=0（2024年5月24日，华夏大悦城REIT申报日）</w:t>
      </w:r>
    </w:p>
    <w:p>
      <w:pPr>
        <w:spacing w:after="0" w:line="280"/>
        <w:ind w:left="360"/>
      </w:pPr>
      <w:r>
        <w:rPr>
          <w:rFonts w:ascii="Courier New" w:cs="Courier New" w:eastAsia="Courier New" w:hAnsi="Courier New"/>
          <w:color w:val="333333"/>
          <w:sz w:val="18"/>
          <w:szCs w:val="18"/>
        </w:rPr>
        <w:t xml:space="preserve">└── 稳健性窗口：[-30, +30]交易日（用于敏感性检验）</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异常收益率计算（市场模型法）：</w:t>
      </w:r>
    </w:p>
    <w:p>
      <w:pPr>
        <w:spacing w:after="0" w:line="280"/>
        <w:ind w:left="360"/>
      </w:pPr>
      <w:r>
        <w:rPr>
          <w:rFonts w:ascii="Courier New" w:cs="Courier New" w:eastAsia="Courier New" w:hAnsi="Courier New"/>
          <w:color w:val="333333"/>
          <w:sz w:val="18"/>
          <w:szCs w:val="18"/>
        </w:rPr>
        <w:t xml:space="preserve">├── ARit = Rit - (α + β × Rmt)</w:t>
      </w:r>
    </w:p>
    <w:p>
      <w:pPr>
        <w:spacing w:after="0" w:line="280"/>
        <w:ind w:left="360"/>
      </w:pPr>
      <w:r>
        <w:rPr>
          <w:rFonts w:ascii="Courier New" w:cs="Courier New" w:eastAsia="Courier New" w:hAnsi="Courier New"/>
          <w:color w:val="333333"/>
          <w:sz w:val="18"/>
          <w:szCs w:val="18"/>
        </w:rPr>
        <w:t xml:space="preserve">├── 其中α、β由估计窗口数据回归得出</w:t>
      </w:r>
    </w:p>
    <w:p>
      <w:pPr>
        <w:spacing w:after="0" w:line="280"/>
        <w:ind w:left="360"/>
      </w:pPr>
      <w:r>
        <w:rPr>
          <w:rFonts w:ascii="Courier New" w:cs="Courier New" w:eastAsia="Courier New" w:hAnsi="Courier New"/>
          <w:color w:val="333333"/>
          <w:sz w:val="18"/>
          <w:szCs w:val="18"/>
        </w:rPr>
        <w:t xml:space="preserve">└── CAR = ΣARit（累计超额收益率）</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效应评估：</w:t>
      </w:r>
    </w:p>
    <w:p>
      <w:pPr>
        <w:spacing w:after="0" w:line="280"/>
        <w:ind w:left="360"/>
      </w:pPr>
      <w:r>
        <w:rPr>
          <w:rFonts w:ascii="Courier New" w:cs="Courier New" w:eastAsia="Courier New" w:hAnsi="Courier New"/>
          <w:color w:val="333333"/>
          <w:sz w:val="18"/>
          <w:szCs w:val="18"/>
        </w:rPr>
        <w:t xml:space="preserve">├── 显著性检验：t检验判断CAR是否显著异于零</w:t>
      </w:r>
    </w:p>
    <w:p>
      <w:pPr>
        <w:spacing w:after="0" w:line="280"/>
        <w:ind w:left="360"/>
      </w:pPr>
      <w:r>
        <w:rPr>
          <w:rFonts w:ascii="Courier New" w:cs="Courier New" w:eastAsia="Courier New" w:hAnsi="Courier New"/>
          <w:color w:val="333333"/>
          <w:sz w:val="18"/>
          <w:szCs w:val="18"/>
        </w:rPr>
        <w:t xml:space="preserve">├── 经济显著性：CAR绝对值大小及占正常收益率比重</w:t>
      </w:r>
    </w:p>
    <w:p>
      <w:pPr>
        <w:spacing w:after="0" w:line="280"/>
        <w:ind w:left="360"/>
      </w:pPr>
      <w:r>
        <w:rPr>
          <w:rFonts w:ascii="Courier New" w:cs="Courier New" w:eastAsia="Courier New" w:hAnsi="Courier New"/>
          <w:color w:val="333333"/>
          <w:sz w:val="18"/>
          <w:szCs w:val="18"/>
        </w:rPr>
        <w:t xml:space="preserve">└── 稳健性检验：不同窗口期CAR的敏感性分析</w:t>
      </w:r>
    </w:p>
    <w:p>
      <w:pPr>
        <w:spacing w:after="60" w:line="320"/>
        <w:ind w:left="400"/>
      </w:pPr>
      <w:r>
        <w:rPr>
          <w:rFonts w:ascii="SimSun" w:cs="SimSun" w:eastAsia="SimSun" w:hAnsi="SimSun"/>
          <w:b/>
          <w:bCs/>
          <w:i/>
          <w:iCs/>
          <w:color w:val="555555"/>
          <w:sz w:val="21"/>
          <w:szCs w:val="21"/>
        </w:rPr>
        <w:t xml:space="preserve">注</w:t>
      </w:r>
      <w:r>
        <w:rPr>
          <w:rFonts w:ascii="SimSun" w:cs="SimSun" w:eastAsia="SimSun" w:hAnsi="SimSun"/>
          <w:b w:val="false"/>
          <w:bCs w:val="false"/>
          <w:i/>
          <w:iCs/>
          <w:color w:val="555555"/>
          <w:sz w:val="21"/>
          <w:szCs w:val="21"/>
        </w:rPr>
        <w:t xml:space="preserve">：由于大悦城（000031.SZ）为深交所上市公司，采用深证成指或深证综合指数作为市场基准更为精确。本研究采用沪深300指数作为市场基准进行探索性分析，主要结论需谨慎解读。</w:t>
      </w:r>
    </w:p>
    <w:p>
      <w:pPr>
        <w:pStyle w:val="Heading3"/>
        <w:spacing w:after="120" w:before="240"/>
      </w:pPr>
      <w:r>
        <w:rPr>
          <w:rFonts w:ascii="SimHei" w:cs="SimHei" w:eastAsia="SimHei" w:hAnsi="SimHei"/>
          <w:b/>
          <w:bCs/>
          <w:sz w:val="24"/>
          <w:szCs w:val="24"/>
        </w:rPr>
        <w:t xml:space="preserve">3.3.3 四机制分析框架详细设计（v3.0中长期验证版）</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本研究以"四作用机制"为核心分析框架，以"5D"为补充视角，系统分析REITs对受困房企的变革效应。</w:t>
      </w:r>
    </w:p>
    <w:p>
      <w:pPr>
        <w:spacing w:after="60" w:line="360"/>
        <w:ind w:firstLine="480"/>
        <w:jc w:val="both"/>
      </w:pPr>
      <w:r>
        <w:rPr>
          <w:rFonts w:ascii="SimSun" w:cs="SimSun" w:eastAsia="SimSun" w:hAnsi="SimSun"/>
          <w:b/>
          <w:bCs/>
          <w:i w:val="false"/>
          <w:iCs w:val="false"/>
          <w:strike w:val="false"/>
          <w:sz w:val="24"/>
          <w:szCs w:val="24"/>
        </w:rPr>
        <w:t xml:space="preserve">机制一：融资结构优化机制</w:t>
      </w:r>
    </w:p>
    <w:p>
      <w:pPr>
        <w:spacing w:after="0" w:line="280"/>
        <w:ind w:left="360"/>
      </w:pPr>
      <w:r>
        <w:rPr>
          <w:rFonts w:ascii="Courier New" w:cs="Courier New" w:eastAsia="Courier New" w:hAnsi="Courier New"/>
          <w:color w:val="333333"/>
          <w:sz w:val="18"/>
          <w:szCs w:val="18"/>
        </w:rPr>
        <w:t xml:space="preserve">理论逻辑：REITs发行 → 资产出表/资金回笼 → 降低债务依赖 → 融资成本下降</w:t>
      </w:r>
    </w:p>
    <w:p>
      <w:pPr>
        <w:spacing w:after="0" w:line="280"/>
        <w:ind w:left="360"/>
      </w:pPr>
      <w:r>
        <w:rPr>
          <w:rFonts w:ascii="Courier New" w:cs="Courier New" w:eastAsia="Courier New" w:hAnsi="Courier New"/>
          <w:color w:val="333333"/>
          <w:sz w:val="18"/>
          <w:szCs w:val="18"/>
        </w:rPr>
        <w:t xml:space="preserve">检验指标：资产负债率变化、融资成本率变化、债务期限结构变化、有息负债率变化</w:t>
      </w:r>
    </w:p>
    <w:p>
      <w:pPr>
        <w:spacing w:after="0" w:line="280"/>
        <w:ind w:left="360"/>
      </w:pPr>
      <w:r>
        <w:rPr>
          <w:rFonts w:ascii="Courier New" w:cs="Courier New" w:eastAsia="Courier New" w:hAnsi="Courier New"/>
          <w:color w:val="333333"/>
          <w:sz w:val="18"/>
          <w:szCs w:val="18"/>
        </w:rPr>
        <w:t xml:space="preserve">数据支撑：大悦城2019-2025年负债数据 + 华夏大悦城REIT说明书</w:t>
      </w:r>
    </w:p>
    <w:p>
      <w:pPr>
        <w:spacing w:after="0" w:line="280"/>
        <w:ind w:left="360"/>
      </w:pPr>
      <w:r>
        <w:rPr>
          <w:rFonts w:ascii="Courier New" w:cs="Courier New" w:eastAsia="Courier New" w:hAnsi="Courier New"/>
          <w:color w:val="333333"/>
          <w:sz w:val="18"/>
          <w:szCs w:val="18"/>
        </w:rPr>
        <w:t xml:space="preserve">预期发现：REITs发行后资产负债率下降，融资成本率改善</w:t>
      </w:r>
    </w:p>
    <w:p>
      <w:pPr>
        <w:spacing w:after="0" w:line="280"/>
        <w:ind w:left="360"/>
      </w:pPr>
      <w:r>
        <w:rPr>
          <w:rFonts w:ascii="Courier New" w:cs="Courier New" w:eastAsia="Courier New" w:hAnsi="Courier New"/>
          <w:color w:val="333333"/>
          <w:sz w:val="18"/>
          <w:szCs w:val="18"/>
        </w:rPr>
        <w:t xml:space="preserve">中长期验证：</w:t>
      </w:r>
    </w:p>
    <w:p>
      <w:pPr>
        <w:spacing w:after="0" w:line="280"/>
        <w:ind w:left="360"/>
      </w:pPr>
      <w:r>
        <w:rPr>
          <w:rFonts w:ascii="Courier New" w:cs="Courier New" w:eastAsia="Courier New" w:hAnsi="Courier New"/>
          <w:color w:val="333333"/>
          <w:sz w:val="18"/>
          <w:szCs w:val="18"/>
        </w:rPr>
        <w:t xml:space="preserve">  ├── ✅ 2025H1融资成本率下降（财务费用/总负债比率改善）</w:t>
      </w:r>
    </w:p>
    <w:p>
      <w:pPr>
        <w:spacing w:after="0" w:line="280"/>
        <w:ind w:left="360"/>
      </w:pPr>
      <w:r>
        <w:rPr>
          <w:rFonts w:ascii="Courier New" w:cs="Courier New" w:eastAsia="Courier New" w:hAnsi="Courier New"/>
          <w:color w:val="333333"/>
          <w:sz w:val="18"/>
          <w:szCs w:val="18"/>
        </w:rPr>
        <w:t xml:space="preserve">  ├── ✅ 2025H1有息负债率下降（有息负债/总资产≈25.98%）</w:t>
      </w:r>
    </w:p>
    <w:p>
      <w:pPr>
        <w:spacing w:after="0" w:line="280"/>
        <w:ind w:left="360"/>
      </w:pPr>
      <w:r>
        <w:rPr>
          <w:rFonts w:ascii="Courier New" w:cs="Courier New" w:eastAsia="Courier New" w:hAnsi="Courier New"/>
          <w:color w:val="333333"/>
          <w:sz w:val="18"/>
          <w:szCs w:val="18"/>
        </w:rPr>
        <w:t xml:space="preserve">  └── 🔄 资产负债率仍处高位（75.87%），需2025全年确认趋势</w:t>
      </w:r>
    </w:p>
    <w:p>
      <w:pPr>
        <w:spacing w:after="60" w:line="360"/>
        <w:ind w:firstLine="480"/>
        <w:jc w:val="both"/>
      </w:pPr>
      <w:r>
        <w:rPr>
          <w:rFonts w:ascii="SimSun" w:cs="SimSun" w:eastAsia="SimSun" w:hAnsi="SimSun"/>
          <w:b/>
          <w:bCs/>
          <w:i w:val="false"/>
          <w:iCs w:val="false"/>
          <w:strike w:val="false"/>
          <w:sz w:val="24"/>
          <w:szCs w:val="24"/>
        </w:rPr>
        <w:t xml:space="preserve">运作机制二：现金流改善运作机制</w:t>
      </w:r>
    </w:p>
    <w:p>
      <w:pPr>
        <w:spacing w:after="0" w:line="280"/>
        <w:ind w:left="360"/>
      </w:pPr>
      <w:r>
        <w:rPr>
          <w:rFonts w:ascii="Courier New" w:cs="Courier New" w:eastAsia="Courier New" w:hAnsi="Courier New"/>
          <w:color w:val="333333"/>
          <w:sz w:val="18"/>
          <w:szCs w:val="18"/>
        </w:rPr>
        <w:t xml:space="preserve">理论逻辑：REITs发行 → 一次性现金流入 + 持续分红收入 → 经营现金流改善</w:t>
      </w:r>
    </w:p>
    <w:p>
      <w:pPr>
        <w:spacing w:after="0" w:line="280"/>
        <w:ind w:left="360"/>
      </w:pPr>
      <w:r>
        <w:rPr>
          <w:rFonts w:ascii="Courier New" w:cs="Courier New" w:eastAsia="Courier New" w:hAnsi="Courier New"/>
          <w:color w:val="333333"/>
          <w:sz w:val="18"/>
          <w:szCs w:val="18"/>
        </w:rPr>
        <w:t xml:space="preserve">检验指标：经营现金流比率、现金持有水平、筹资现金流变化、REITs分派贡献</w:t>
      </w:r>
    </w:p>
    <w:p>
      <w:pPr>
        <w:spacing w:after="0" w:line="280"/>
        <w:ind w:left="360"/>
      </w:pPr>
      <w:r>
        <w:rPr>
          <w:rFonts w:ascii="Courier New" w:cs="Courier New" w:eastAsia="Courier New" w:hAnsi="Courier New"/>
          <w:color w:val="333333"/>
          <w:sz w:val="18"/>
          <w:szCs w:val="18"/>
        </w:rPr>
        <w:t xml:space="preserve">数据支撑：大悦城2019-2025年现金流量表 + 华夏大悦城REIT运营报告</w:t>
      </w:r>
    </w:p>
    <w:p>
      <w:pPr>
        <w:spacing w:after="0" w:line="280"/>
        <w:ind w:left="360"/>
      </w:pPr>
      <w:r>
        <w:rPr>
          <w:rFonts w:ascii="Courier New" w:cs="Courier New" w:eastAsia="Courier New" w:hAnsi="Courier New"/>
          <w:color w:val="333333"/>
          <w:sz w:val="18"/>
          <w:szCs w:val="18"/>
        </w:rPr>
        <w:t xml:space="preserve">预期发现：REITs发行后经营现金流比率改善，REITs分派贡献持续稳定</w:t>
      </w:r>
    </w:p>
    <w:p>
      <w:pPr>
        <w:spacing w:after="0" w:line="280"/>
        <w:ind w:left="360"/>
      </w:pPr>
      <w:r>
        <w:rPr>
          <w:rFonts w:ascii="Courier New" w:cs="Courier New" w:eastAsia="Courier New" w:hAnsi="Courier New"/>
          <w:color w:val="333333"/>
          <w:sz w:val="18"/>
          <w:szCs w:val="18"/>
        </w:rPr>
        <w:t xml:space="preserve">中长期验证：</w:t>
      </w:r>
    </w:p>
    <w:p>
      <w:pPr>
        <w:spacing w:after="0" w:line="280"/>
        <w:ind w:left="360"/>
      </w:pPr>
      <w:r>
        <w:rPr>
          <w:rFonts w:ascii="Courier New" w:cs="Courier New" w:eastAsia="Courier New" w:hAnsi="Courier New"/>
          <w:color w:val="333333"/>
          <w:sz w:val="18"/>
          <w:szCs w:val="18"/>
        </w:rPr>
        <w:t xml:space="preserve">  ├── ✅ 2025H1经营现金流71.17亿元（同比+7.6%，2024H1为66.17亿全年口径需调整）</w:t>
      </w:r>
    </w:p>
    <w:p>
      <w:pPr>
        <w:spacing w:after="0" w:line="280"/>
        <w:ind w:left="360"/>
      </w:pPr>
      <w:r>
        <w:rPr>
          <w:rFonts w:ascii="Courier New" w:cs="Courier New" w:eastAsia="Courier New" w:hAnsi="Courier New"/>
          <w:color w:val="333333"/>
          <w:sz w:val="18"/>
          <w:szCs w:val="18"/>
        </w:rPr>
        <w:t xml:space="preserve">  ├── ✅ 华夏大悦城REIT 2025Q1年化分派率5.46%，分派金额4,473.76万元</w:t>
      </w:r>
    </w:p>
    <w:p>
      <w:pPr>
        <w:spacing w:after="0" w:line="280"/>
        <w:ind w:left="360"/>
      </w:pPr>
      <w:r>
        <w:rPr>
          <w:rFonts w:ascii="Courier New" w:cs="Courier New" w:eastAsia="Courier New" w:hAnsi="Courier New"/>
          <w:color w:val="333333"/>
          <w:sz w:val="18"/>
          <w:szCs w:val="18"/>
        </w:rPr>
        <w:t xml:space="preserve">  ├── ✅ 2025H1出租率98%+，租金收入稳定</w:t>
      </w:r>
    </w:p>
    <w:p>
      <w:pPr>
        <w:spacing w:after="0" w:line="280"/>
        <w:ind w:left="360"/>
      </w:pPr>
      <w:r>
        <w:rPr>
          <w:rFonts w:ascii="Courier New" w:cs="Courier New" w:eastAsia="Courier New" w:hAnsi="Courier New"/>
          <w:color w:val="333333"/>
          <w:sz w:val="18"/>
          <w:szCs w:val="18"/>
        </w:rPr>
        <w:t xml:space="preserve">  └── ⚠️ 筹资现金流仍为净流出，REITs对筹资端改善有限</w:t>
      </w:r>
    </w:p>
    <w:p>
      <w:pPr>
        <w:spacing w:after="60" w:line="360"/>
        <w:ind w:firstLine="480"/>
        <w:jc w:val="both"/>
      </w:pPr>
      <w:r>
        <w:rPr>
          <w:rFonts w:ascii="SimSun" w:cs="SimSun" w:eastAsia="SimSun" w:hAnsi="SimSun"/>
          <w:b/>
          <w:bCs/>
          <w:i w:val="false"/>
          <w:iCs w:val="false"/>
          <w:strike w:val="false"/>
          <w:sz w:val="24"/>
          <w:szCs w:val="24"/>
        </w:rPr>
        <w:t xml:space="preserve">机制三：资产负债重构机制</w:t>
      </w:r>
    </w:p>
    <w:p>
      <w:pPr>
        <w:spacing w:after="0" w:line="280"/>
        <w:ind w:left="360"/>
      </w:pPr>
      <w:r>
        <w:rPr>
          <w:rFonts w:ascii="Courier New" w:cs="Courier New" w:eastAsia="Courier New" w:hAnsi="Courier New"/>
          <w:color w:val="333333"/>
          <w:sz w:val="18"/>
          <w:szCs w:val="18"/>
        </w:rPr>
        <w:t xml:space="preserve">理论逻辑：REITs发行 → 重资产出表 → 轻资产转型 → 资产周转率提升</w:t>
      </w:r>
    </w:p>
    <w:p>
      <w:pPr>
        <w:spacing w:after="0" w:line="280"/>
        <w:ind w:left="360"/>
      </w:pPr>
      <w:r>
        <w:rPr>
          <w:rFonts w:ascii="Courier New" w:cs="Courier New" w:eastAsia="Courier New" w:hAnsi="Courier New"/>
          <w:color w:val="333333"/>
          <w:sz w:val="18"/>
          <w:szCs w:val="18"/>
        </w:rPr>
        <w:t xml:space="preserve">检验指标：资产周转率变化、资本结构变化、偿债能力指标变化</w:t>
      </w:r>
    </w:p>
    <w:p>
      <w:pPr>
        <w:spacing w:after="0" w:line="280"/>
        <w:ind w:left="360"/>
      </w:pPr>
      <w:r>
        <w:rPr>
          <w:rFonts w:ascii="Courier New" w:cs="Courier New" w:eastAsia="Courier New" w:hAnsi="Courier New"/>
          <w:color w:val="333333"/>
          <w:sz w:val="18"/>
          <w:szCs w:val="18"/>
        </w:rPr>
        <w:t xml:space="preserve">数据支撑：大悦城2019-2025年资产负债表 + REITs资产剥离信息</w:t>
      </w:r>
    </w:p>
    <w:p>
      <w:pPr>
        <w:spacing w:after="0" w:line="280"/>
        <w:ind w:left="360"/>
      </w:pPr>
      <w:r>
        <w:rPr>
          <w:rFonts w:ascii="Courier New" w:cs="Courier New" w:eastAsia="Courier New" w:hAnsi="Courier New"/>
          <w:color w:val="333333"/>
          <w:sz w:val="18"/>
          <w:szCs w:val="18"/>
        </w:rPr>
        <w:t xml:space="preserve">预期发现：REITs发行后资产周转率提升，资产负债结构改善</w:t>
      </w:r>
    </w:p>
    <w:p>
      <w:pPr>
        <w:spacing w:after="0" w:line="280"/>
        <w:ind w:left="360"/>
      </w:pPr>
      <w:r>
        <w:rPr>
          <w:rFonts w:ascii="Courier New" w:cs="Courier New" w:eastAsia="Courier New" w:hAnsi="Courier New"/>
          <w:color w:val="333333"/>
          <w:sz w:val="18"/>
          <w:szCs w:val="18"/>
        </w:rPr>
        <w:t xml:space="preserve">中长期验证：</w:t>
      </w:r>
    </w:p>
    <w:p>
      <w:pPr>
        <w:spacing w:after="0" w:line="280"/>
        <w:ind w:left="360"/>
      </w:pPr>
      <w:r>
        <w:rPr>
          <w:rFonts w:ascii="Courier New" w:cs="Courier New" w:eastAsia="Courier New" w:hAnsi="Courier New"/>
          <w:color w:val="333333"/>
          <w:sz w:val="18"/>
          <w:szCs w:val="18"/>
        </w:rPr>
        <w:t xml:space="preserve">  ├── 🔄 2025H1总资产1,770.27亿元（vs 2024年末1,785.75亿，微降）</w:t>
      </w:r>
    </w:p>
    <w:p>
      <w:pPr>
        <w:spacing w:after="0" w:line="280"/>
        <w:ind w:left="360"/>
      </w:pPr>
      <w:r>
        <w:rPr>
          <w:rFonts w:ascii="Courier New" w:cs="Courier New" w:eastAsia="Courier New" w:hAnsi="Courier New"/>
          <w:color w:val="333333"/>
          <w:sz w:val="18"/>
          <w:szCs w:val="18"/>
        </w:rPr>
        <w:t xml:space="preserve">  ├── 🔄 资产出表效应需2025全年数据确认</w:t>
      </w:r>
    </w:p>
    <w:p>
      <w:pPr>
        <w:spacing w:after="0" w:line="280"/>
        <w:ind w:left="360"/>
      </w:pPr>
      <w:r>
        <w:rPr>
          <w:rFonts w:ascii="Courier New" w:cs="Courier New" w:eastAsia="Courier New" w:hAnsi="Courier New"/>
          <w:color w:val="333333"/>
          <w:sz w:val="18"/>
          <w:szCs w:val="18"/>
        </w:rPr>
        <w:t xml:space="preserve">  └── ⚠️ 资产出表是双刃剑：降低负债但也减少合并报表优质资产</w:t>
      </w:r>
    </w:p>
    <w:p>
      <w:pPr>
        <w:spacing w:after="60" w:line="360"/>
        <w:ind w:firstLine="480"/>
        <w:jc w:val="both"/>
      </w:pPr>
      <w:r>
        <w:rPr>
          <w:rFonts w:ascii="SimSun" w:cs="SimSun" w:eastAsia="SimSun" w:hAnsi="SimSun"/>
          <w:b/>
          <w:bCs/>
          <w:i w:val="false"/>
          <w:iCs w:val="false"/>
          <w:strike w:val="false"/>
          <w:sz w:val="24"/>
          <w:szCs w:val="24"/>
        </w:rPr>
        <w:t xml:space="preserve">传导机制四：运营效率提升传导机制</w:t>
      </w:r>
    </w:p>
    <w:p>
      <w:pPr>
        <w:spacing w:after="0" w:line="280"/>
        <w:ind w:left="360"/>
      </w:pPr>
      <w:r>
        <w:rPr>
          <w:rFonts w:ascii="Courier New" w:cs="Courier New" w:eastAsia="Courier New" w:hAnsi="Courier New"/>
          <w:color w:val="333333"/>
          <w:sz w:val="18"/>
          <w:szCs w:val="18"/>
        </w:rPr>
        <w:t xml:space="preserve">理论逻辑：REITs专业化运营 → 底层资产运营效率提升 → 租金收入增长</w:t>
      </w:r>
    </w:p>
    <w:p>
      <w:pPr>
        <w:spacing w:after="0" w:line="280"/>
        <w:ind w:left="360"/>
      </w:pPr>
      <w:r>
        <w:rPr>
          <w:rFonts w:ascii="Courier New" w:cs="Courier New" w:eastAsia="Courier New" w:hAnsi="Courier New"/>
          <w:color w:val="333333"/>
          <w:sz w:val="18"/>
          <w:szCs w:val="18"/>
        </w:rPr>
        <w:t xml:space="preserve">检验指标：出租率变化、平均租金变化、管理费用率变化、REITs运营指标</w:t>
      </w:r>
    </w:p>
    <w:p>
      <w:pPr>
        <w:spacing w:after="0" w:line="280"/>
        <w:ind w:left="360"/>
      </w:pPr>
      <w:r>
        <w:rPr>
          <w:rFonts w:ascii="Courier New" w:cs="Courier New" w:eastAsia="Courier New" w:hAnsi="Courier New"/>
          <w:color w:val="333333"/>
          <w:sz w:val="18"/>
          <w:szCs w:val="18"/>
        </w:rPr>
        <w:t xml:space="preserve">数据支撑：华夏大悦城REIT 2024-2025年运营报告 + 成都大悦城运营数据</w:t>
      </w:r>
    </w:p>
    <w:p>
      <w:pPr>
        <w:spacing w:after="0" w:line="280"/>
        <w:ind w:left="360"/>
      </w:pPr>
      <w:r>
        <w:rPr>
          <w:rFonts w:ascii="Courier New" w:cs="Courier New" w:eastAsia="Courier New" w:hAnsi="Courier New"/>
          <w:color w:val="333333"/>
          <w:sz w:val="18"/>
          <w:szCs w:val="18"/>
        </w:rPr>
        <w:t xml:space="preserve">预期发现：REITs管理下出租率维持高位，运营效率提升</w:t>
      </w:r>
    </w:p>
    <w:p>
      <w:pPr>
        <w:spacing w:after="0" w:line="280"/>
        <w:ind w:left="360"/>
      </w:pPr>
      <w:r>
        <w:rPr>
          <w:rFonts w:ascii="Courier New" w:cs="Courier New" w:eastAsia="Courier New" w:hAnsi="Courier New"/>
          <w:color w:val="333333"/>
          <w:sz w:val="18"/>
          <w:szCs w:val="18"/>
        </w:rPr>
        <w:t xml:space="preserve">中长期验证：</w:t>
      </w:r>
    </w:p>
    <w:p>
      <w:pPr>
        <w:spacing w:after="0" w:line="280"/>
        <w:ind w:left="360"/>
      </w:pPr>
      <w:r>
        <w:rPr>
          <w:rFonts w:ascii="Courier New" w:cs="Courier New" w:eastAsia="Courier New" w:hAnsi="Courier New"/>
          <w:color w:val="333333"/>
          <w:sz w:val="18"/>
          <w:szCs w:val="18"/>
        </w:rPr>
        <w:t xml:space="preserve">  ├── ✅ 华夏大悦城REIT 2025H1出租率98%+（持续高位）</w:t>
      </w:r>
    </w:p>
    <w:p>
      <w:pPr>
        <w:spacing w:after="0" w:line="280"/>
        <w:ind w:left="360"/>
      </w:pPr>
      <w:r>
        <w:rPr>
          <w:rFonts w:ascii="Courier New" w:cs="Courier New" w:eastAsia="Courier New" w:hAnsi="Courier New"/>
          <w:color w:val="333333"/>
          <w:sz w:val="18"/>
          <w:szCs w:val="18"/>
        </w:rPr>
        <w:t xml:space="preserve">  ├── ✅ 2025Q1收入8,469.91万元，年化分派率5.46%</w:t>
      </w:r>
    </w:p>
    <w:p>
      <w:pPr>
        <w:spacing w:after="0" w:line="280"/>
        <w:ind w:left="360"/>
      </w:pPr>
      <w:r>
        <w:rPr>
          <w:rFonts w:ascii="Courier New" w:cs="Courier New" w:eastAsia="Courier New" w:hAnsi="Courier New"/>
          <w:color w:val="333333"/>
          <w:sz w:val="18"/>
          <w:szCs w:val="18"/>
        </w:rPr>
        <w:t xml:space="preserve">  ├── ✅ 2025H1收缴率维持高水平</w:t>
      </w:r>
    </w:p>
    <w:p>
      <w:pPr>
        <w:spacing w:after="0" w:line="280"/>
        <w:ind w:left="360"/>
      </w:pPr>
      <w:r>
        <w:rPr>
          <w:rFonts w:ascii="Courier New" w:cs="Courier New" w:eastAsia="Courier New" w:hAnsi="Courier New"/>
          <w:color w:val="333333"/>
          <w:sz w:val="18"/>
          <w:szCs w:val="18"/>
        </w:rPr>
        <w:t xml:space="preserve">  └── 🔄 专业化运营效应需跨年度对比确认</w:t>
      </w:r>
    </w:p>
    <w:p>
      <w:pPr>
        <w:spacing w:after="60" w:line="360"/>
        <w:ind w:firstLine="480"/>
        <w:jc w:val="both"/>
      </w:pPr>
      <w:r>
        <w:rPr>
          <w:rFonts w:ascii="SimSun" w:cs="SimSun" w:eastAsia="SimSun" w:hAnsi="SimSun"/>
          <w:b/>
          <w:bCs/>
          <w:i w:val="false"/>
          <w:iCs w:val="false"/>
          <w:strike w:val="false"/>
          <w:sz w:val="24"/>
          <w:szCs w:val="24"/>
        </w:rPr>
        <w:t xml:space="preserve">5D补充视角定位</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5D维度</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在本论文中的定位</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分析位置</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筛选维度</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补充：REITs底层资产选择标准</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第4章4.2节</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结构设计</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补充：REITs产品结构对效应的结果</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第4章4.2节</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运营管理</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补充：与机制四（运营效率）交叉</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第4章4.4节</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风险评估</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补充：REITs发行的风险因素</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第4章4.6节</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跨境对比</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独立分析：国际经验借鉴</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第5章5.2节</w:t>
            </w:r>
          </w:p>
        </w:tc>
      </w:tr>
    </w:tbl>
    <w:p>
      <w:pPr>
        <w:spacing w:after="120"/>
      </w:pPr>
    </w:p>
    <w:p>
      <w:pPr>
        <w:pStyle w:val="Heading3"/>
        <w:spacing w:after="120" w:before="240"/>
      </w:pPr>
      <w:r>
        <w:rPr>
          <w:rFonts w:ascii="SimHei" w:cs="SimHei" w:eastAsia="SimHei" w:hAnsi="SimHei"/>
          <w:b/>
          <w:bCs/>
          <w:sz w:val="24"/>
          <w:szCs w:val="24"/>
        </w:rPr>
        <w:t xml:space="preserve">3.3.4 稳健性检验策略</w:t>
      </w:r>
    </w:p>
    <w:p>
      <w:pPr>
        <w:spacing w:after="60" w:line="360"/>
        <w:ind w:firstLine="480"/>
        <w:jc w:val="both"/>
      </w:pPr>
      <w:r>
        <w:rPr>
          <w:rFonts w:ascii="SimSun" w:cs="SimSun" w:eastAsia="SimSun" w:hAnsi="SimSun"/>
          <w:b/>
          <w:bCs/>
          <w:i w:val="false"/>
          <w:iCs w:val="false"/>
          <w:strike w:val="false"/>
          <w:sz w:val="24"/>
          <w:szCs w:val="24"/>
        </w:rPr>
        <w:t xml:space="preserve">敏感性分析</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检验类型</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具体方法</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检验目的</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变量替换</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替换衡量同一概念的指标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检验结果对变量的敏感性</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时间窗口调整</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改变事件窗口长度</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检验结果的时间稳定性</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样本调整</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排除特定样本或期间</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检验结果的样本稳健性</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模型设定检验</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尝试不同函数形式</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检验模型设定对结果的影响</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稳健性检验方案</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替代变量检验</w:t>
      </w:r>
      <w:r>
        <w:rPr>
          <w:rFonts w:ascii="SimSun" w:cs="SimSun" w:eastAsia="SimSun" w:hAnsi="SimSun"/>
          <w:b w:val="false"/>
          <w:bCs w:val="false"/>
          <w:sz w:val="24"/>
          <w:szCs w:val="24"/>
        </w:rPr>
        <w:t xml:space="preserve">：使用不同财务指标衡量相同概念</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样本子集检验</w:t>
      </w:r>
      <w:r>
        <w:rPr>
          <w:rFonts w:ascii="SimSun" w:cs="SimSun" w:eastAsia="SimSun" w:hAnsi="SimSun"/>
          <w:b w:val="false"/>
          <w:bCs w:val="false"/>
          <w:sz w:val="24"/>
          <w:szCs w:val="24"/>
        </w:rPr>
        <w:t xml:space="preserve">：分析不同样本子集的稳定性</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模型设定检验</w:t>
      </w:r>
      <w:r>
        <w:rPr>
          <w:rFonts w:ascii="SimSun" w:cs="SimSun" w:eastAsia="SimSun" w:hAnsi="SimSun"/>
          <w:b w:val="false"/>
          <w:bCs w:val="false"/>
          <w:sz w:val="24"/>
          <w:szCs w:val="24"/>
        </w:rPr>
        <w:t xml:space="preserve">：尝试不同回归函数形式</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时间窗口检验</w:t>
      </w:r>
      <w:r>
        <w:rPr>
          <w:rFonts w:ascii="SimSun" w:cs="SimSun" w:eastAsia="SimSun" w:hAnsi="SimSun"/>
          <w:b w:val="false"/>
          <w:bCs w:val="false"/>
          <w:sz w:val="24"/>
          <w:szCs w:val="24"/>
        </w:rPr>
        <w:t xml:space="preserve">：调整事件窗口长度和估计期</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异常值处理</w:t>
      </w:r>
      <w:r>
        <w:rPr>
          <w:rFonts w:ascii="SimSun" w:cs="SimSun" w:eastAsia="SimSun" w:hAnsi="SimSun"/>
          <w:b w:val="false"/>
          <w:bCs w:val="false"/>
          <w:sz w:val="24"/>
          <w:szCs w:val="24"/>
        </w:rPr>
        <w:t xml:space="preserve">：排除极端值检验结果稳定性</w:t>
      </w:r>
    </w:p>
    <w:p>
      <w:pPr>
        <w:pStyle w:val="Heading2"/>
        <w:spacing w:after="180" w:before="360"/>
      </w:pPr>
      <w:r>
        <w:rPr>
          <w:rFonts w:ascii="SimHei" w:cs="SimHei" w:eastAsia="SimHei" w:hAnsi="SimHei"/>
          <w:b/>
          <w:bCs/>
          <w:sz w:val="28"/>
          <w:szCs w:val="28"/>
        </w:rPr>
        <w:t xml:space="preserve">3.4 数据收集与验证</w:t>
      </w:r>
    </w:p>
    <w:p>
      <w:pPr>
        <w:pStyle w:val="Heading3"/>
        <w:spacing w:after="120" w:before="240"/>
      </w:pPr>
      <w:r>
        <w:rPr>
          <w:rFonts w:ascii="SimHei" w:cs="SimHei" w:eastAsia="SimHei" w:hAnsi="SimHei"/>
          <w:b/>
          <w:bCs/>
          <w:sz w:val="24"/>
          <w:szCs w:val="24"/>
        </w:rPr>
        <w:t xml:space="preserve">3.4.1 数据来源</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数据类型</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来源渠道</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数据特点</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可信度</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官方财报数据</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巨潮资讯网、公司官网</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最权威、准确性最高</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专业数据库</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Wind、同花顺iFinD</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数据完整、标准化</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权威媒体报道</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财新网、证券时报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补充信息、时效性强</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学术研究资料</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CNKI、Web of Science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理论支撑、方法借鉴</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v3.0更新：当前数据集状态（延伸至2025年）</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企业</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时间范围</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核心指标覆盖率</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数据来源等级</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验证状态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大悦城控股</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2019-2025年</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营收/净利润/经营现金流/总资产/有息负债 ✅</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官方年报+半年报</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95%已验证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万科A</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2019-2025年</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营收/净利润 ✅，经营现金流/总负债部分缺失</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年报+媒体报道</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70%已验证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保利发展</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2019-2025年</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营收/净利润 ✅，经营现金流缺失</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年报+推算</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55%已验证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华夏大悦城REIT</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2024Q4-2025H1</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出租率/分派率/租金收入/收缴率 ✅</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REITs季报+半年报</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95%已验证</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2025年新增数据清单</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大悦城2025H1：营收115.07亿元（↓45.63%），归母净利润-4.66亿元，总资产1,770.27亿元</w:t>
      </w:r>
    </w:p>
    <w:p>
      <w:pPr>
        <w:spacing w:after="40" w:line="340"/>
        <w:ind w:left="480" w:hanging="0"/>
      </w:pPr>
      <w:r>
        <w:rPr>
          <w:rFonts w:ascii="SimSun" w:cs="SimSun" w:eastAsia="SimSun" w:hAnsi="SimSun"/>
          <w:b w:val="false"/>
          <w:bCs w:val="false"/>
          <w:sz w:val="24"/>
          <w:szCs w:val="24"/>
        </w:rPr>
        <w:t xml:space="preserve">大悦城2025H1经营现金流：71.17亿元（vs 2024全年66.17亿元，趋势改善）</w:t>
      </w:r>
    </w:p>
    <w:p>
      <w:pPr>
        <w:spacing w:after="40" w:line="340"/>
        <w:ind w:left="480" w:hanging="0"/>
      </w:pPr>
      <w:r>
        <w:rPr>
          <w:rFonts w:ascii="SimSun" w:cs="SimSun" w:eastAsia="SimSun" w:hAnsi="SimSun"/>
          <w:b w:val="false"/>
          <w:bCs w:val="false"/>
          <w:sz w:val="24"/>
          <w:szCs w:val="24"/>
        </w:rPr>
        <w:t xml:space="preserve">大悦城2025H1有息负债：459.78亿元，有息负债率25.98%</w:t>
      </w:r>
    </w:p>
    <w:p>
      <w:pPr>
        <w:spacing w:after="40" w:line="340"/>
        <w:ind w:left="480" w:hanging="0"/>
      </w:pPr>
      <w:r>
        <w:rPr>
          <w:rFonts w:ascii="SimSun" w:cs="SimSun" w:eastAsia="SimSun" w:hAnsi="SimSun"/>
          <w:b w:val="false"/>
          <w:bCs w:val="false"/>
          <w:sz w:val="24"/>
          <w:szCs w:val="24"/>
        </w:rPr>
        <w:t xml:space="preserve">华夏大悦城REIT 2025Q1：收入8,469.91万元，可供分配4,473.76万元，年化分派率5.46%</w:t>
      </w:r>
    </w:p>
    <w:p>
      <w:pPr>
        <w:spacing w:after="40" w:line="340"/>
        <w:ind w:left="480" w:hanging="0"/>
      </w:pPr>
      <w:r>
        <w:rPr>
          <w:rFonts w:ascii="SimSun" w:cs="SimSun" w:eastAsia="SimSun" w:hAnsi="SimSun"/>
          <w:b w:val="false"/>
          <w:bCs w:val="false"/>
          <w:sz w:val="24"/>
          <w:szCs w:val="24"/>
        </w:rPr>
        <w:t xml:space="preserve">华夏大悦城REIT 2025H1：出租率98%+，收缴率高位稳定</w:t>
      </w:r>
    </w:p>
    <w:p>
      <w:pPr>
        <w:spacing w:after="40" w:line="340"/>
        <w:ind w:left="480" w:hanging="0"/>
      </w:pPr>
      <w:r>
        <w:rPr>
          <w:rFonts w:ascii="SimSun" w:cs="SimSun" w:eastAsia="SimSun" w:hAnsi="SimSun"/>
          <w:b w:val="false"/>
          <w:bCs w:val="false"/>
          <w:sz w:val="24"/>
          <w:szCs w:val="24"/>
        </w:rPr>
        <w:t xml:space="preserve">大悦城2025年业绩预告：预计全年亏损大幅收窄（减亏趋势确认）</w:t>
      </w:r>
    </w:p>
    <w:p>
      <w:pPr>
        <w:spacing w:after="60" w:line="360"/>
        <w:ind w:firstLine="480"/>
        <w:jc w:val="both"/>
      </w:pPr>
      <w:r>
        <w:rPr>
          <w:rFonts w:ascii="SimSun" w:cs="SimSun" w:eastAsia="SimSun" w:hAnsi="SimSun"/>
          <w:b/>
          <w:bCs/>
          <w:i w:val="false"/>
          <w:iCs w:val="false"/>
          <w:strike w:val="false"/>
          <w:sz w:val="24"/>
          <w:szCs w:val="24"/>
        </w:rPr>
        <w:t xml:space="preserve">数据验证决策树应用</w:t>
      </w:r>
      <w:r>
        <w:rPr>
          <w:rFonts w:ascii="SimSun" w:cs="SimSun" w:eastAsia="SimSun" w:hAnsi="SimSun"/>
          <w:b w:val="false"/>
          <w:bCs w:val="false"/>
          <w:i w:val="false"/>
          <w:iCs w:val="false"/>
          <w:strike w:val="false"/>
          <w:sz w:val="24"/>
          <w:szCs w:val="24"/>
        </w:rPr>
        <w:t xml:space="preserve">（基于v2.2工作流）：</w:t>
      </w:r>
    </w:p>
    <w:p>
      <w:pPr>
        <w:spacing w:after="0" w:line="280"/>
        <w:ind w:left="360"/>
      </w:pPr>
      <w:r>
        <w:rPr>
          <w:rFonts w:ascii="Courier New" w:cs="Courier New" w:eastAsia="Courier New" w:hAnsi="Courier New"/>
          <w:color w:val="333333"/>
          <w:sz w:val="18"/>
          <w:szCs w:val="18"/>
        </w:rPr>
        <w:t xml:space="preserve">数据获取后 → 与官方财报核对</w:t>
      </w:r>
    </w:p>
    <w:p>
      <w:pPr>
        <w:spacing w:after="0" w:line="280"/>
        <w:ind w:left="360"/>
      </w:pPr>
      <w:r>
        <w:rPr>
          <w:rFonts w:ascii="Courier New" w:cs="Courier New" w:eastAsia="Courier New" w:hAnsi="Courier New"/>
          <w:color w:val="333333"/>
          <w:sz w:val="18"/>
          <w:szCs w:val="18"/>
        </w:rPr>
        <w:t xml:space="preserve">    ├─ 完全一致 → ✅ 标记"已验证"</w:t>
      </w:r>
    </w:p>
    <w:p>
      <w:pPr>
        <w:spacing w:after="0" w:line="280"/>
        <w:ind w:left="360"/>
      </w:pPr>
      <w:r>
        <w:rPr>
          <w:rFonts w:ascii="Courier New" w:cs="Courier New" w:eastAsia="Courier New" w:hAnsi="Courier New"/>
          <w:color w:val="333333"/>
          <w:sz w:val="18"/>
          <w:szCs w:val="18"/>
        </w:rPr>
        <w:t xml:space="preserve">    ├─ 差异 &lt; 5% → 标注口径说明，优先采用官方数据</w:t>
      </w:r>
    </w:p>
    <w:p>
      <w:pPr>
        <w:spacing w:after="0" w:line="280"/>
        <w:ind w:left="360"/>
      </w:pPr>
      <w:r>
        <w:rPr>
          <w:rFonts w:ascii="Courier New" w:cs="Courier New" w:eastAsia="Courier New" w:hAnsi="Courier New"/>
          <w:color w:val="333333"/>
          <w:sz w:val="18"/>
          <w:szCs w:val="18"/>
        </w:rPr>
        <w:t xml:space="preserve">    ├─ 差异 5-20% → 🔴 标记"数据争议"，在论文中注明</w:t>
      </w:r>
    </w:p>
    <w:p>
      <w:pPr>
        <w:spacing w:after="0" w:line="280"/>
        <w:ind w:left="360"/>
      </w:pPr>
      <w:r>
        <w:rPr>
          <w:rFonts w:ascii="Courier New" w:cs="Courier New" w:eastAsia="Courier New" w:hAnsi="Courier New"/>
          <w:color w:val="333333"/>
          <w:sz w:val="18"/>
          <w:szCs w:val="18"/>
        </w:rPr>
        <w:t xml:space="preserve">    └─ 差异 &gt; 20% → 🔴 标记"数据冲突"，使用官方数据+论文注明差异及选择理由</w:t>
      </w:r>
    </w:p>
    <w:p>
      <w:pPr>
        <w:spacing w:after="60" w:line="360"/>
        <w:ind w:firstLine="480"/>
        <w:jc w:val="both"/>
      </w:pPr>
      <w:r>
        <w:rPr>
          <w:rFonts w:ascii="SimSun" w:cs="SimSun" w:eastAsia="SimSun" w:hAnsi="SimSun"/>
          <w:b/>
          <w:bCs/>
          <w:i w:val="false"/>
          <w:iCs w:val="false"/>
          <w:strike w:val="false"/>
          <w:sz w:val="24"/>
          <w:szCs w:val="24"/>
        </w:rPr>
        <w:t xml:space="preserve">数据验证案例</w:t>
      </w:r>
      <w:r>
        <w:rPr>
          <w:rFonts w:ascii="SimSun" w:cs="SimSun" w:eastAsia="SimSun" w:hAnsi="SimSun"/>
          <w:b w:val="false"/>
          <w:bCs w:val="false"/>
          <w:i w:val="false"/>
          <w:iCs w:val="false"/>
          <w:strike w:val="false"/>
          <w:sz w:val="24"/>
          <w:szCs w:val="24"/>
        </w:rPr>
        <w:t xml:space="preserve">：大悦城2024年总资产</w:t>
      </w:r>
    </w:p>
    <w:p>
      <w:pPr>
        <w:spacing w:after="40" w:line="340"/>
        <w:ind w:left="480" w:hanging="0"/>
      </w:pPr>
      <w:r>
        <w:rPr>
          <w:rFonts w:ascii="SimSun" w:cs="SimSun" w:eastAsia="SimSun" w:hAnsi="SimSun"/>
          <w:b w:val="false"/>
          <w:bCs w:val="false"/>
          <w:sz w:val="24"/>
          <w:szCs w:val="24"/>
        </w:rPr>
        <w:t xml:space="preserve">来源A（雪球/000031.SZ年报）：1,785.75亿元</w:t>
      </w:r>
    </w:p>
    <w:p>
      <w:pPr>
        <w:spacing w:after="40" w:line="340"/>
        <w:ind w:left="480" w:hanging="0"/>
      </w:pPr>
      <w:r>
        <w:rPr>
          <w:rFonts w:ascii="SimSun" w:cs="SimSun" w:eastAsia="SimSun" w:hAnsi="SimSun"/>
          <w:b w:val="false"/>
          <w:bCs w:val="false"/>
          <w:sz w:val="24"/>
          <w:szCs w:val="24"/>
        </w:rPr>
        <w:t xml:space="preserve">来源B（网易/港股大悦城地产）：1,352.25亿元</w:t>
      </w:r>
    </w:p>
    <w:p>
      <w:pPr>
        <w:spacing w:after="40" w:line="340"/>
        <w:ind w:left="480" w:hanging="0"/>
      </w:pPr>
      <w:r>
        <w:rPr>
          <w:rFonts w:ascii="SimSun" w:cs="SimSun" w:eastAsia="SimSun" w:hAnsi="SimSun"/>
          <w:b w:val="false"/>
          <w:bCs w:val="false"/>
          <w:sz w:val="24"/>
          <w:szCs w:val="24"/>
        </w:rPr>
        <w:t xml:space="preserve">差异原因：两个不同上市主体（A股大悦城控股 vs 港股大悦城地产）</w:t>
      </w:r>
    </w:p>
    <w:p>
      <w:pPr>
        <w:spacing w:after="40" w:line="340"/>
        <w:ind w:left="480" w:hanging="0"/>
      </w:pPr>
      <w:r>
        <w:rPr>
          <w:rFonts w:ascii="SimSun" w:cs="SimSun" w:eastAsia="SimSun" w:hAnsi="SimSun"/>
          <w:b w:val="false"/>
          <w:bCs w:val="false"/>
          <w:sz w:val="24"/>
          <w:szCs w:val="24"/>
        </w:rPr>
        <w:t xml:space="preserve">决策：采用来源A，标注来源B为港股数据</w:t>
      </w:r>
    </w:p>
    <w:p>
      <w:pPr>
        <w:pStyle w:val="Heading3"/>
        <w:spacing w:after="120" w:before="240"/>
      </w:pPr>
      <w:r>
        <w:rPr>
          <w:rFonts w:ascii="SimHei" w:cs="SimHei" w:eastAsia="SimHei" w:hAnsi="SimHei"/>
          <w:b/>
          <w:bCs/>
          <w:sz w:val="24"/>
          <w:szCs w:val="24"/>
        </w:rPr>
        <w:t xml:space="preserve">3.4.2 证据三角形验证策略</w:t>
      </w:r>
    </w:p>
    <w:p>
      <w:pPr>
        <w:spacing w:after="0" w:line="280"/>
        <w:ind w:left="360"/>
      </w:pPr>
      <w:r>
        <w:rPr>
          <w:rFonts w:ascii="Courier New" w:cs="Courier New" w:eastAsia="Courier New" w:hAnsi="Courier New"/>
          <w:color w:val="333333"/>
          <w:sz w:val="18"/>
          <w:szCs w:val="18"/>
        </w:rPr>
        <w:t xml:space="preserve">              证据三角形</w:t>
      </w:r>
    </w:p>
    <w:p>
      <w:pPr>
        <w:spacing w:after="0" w:line="280"/>
        <w:ind w:left="360"/>
      </w:pPr>
      <w:r>
        <w:rPr>
          <w:rFonts w:ascii="Courier New" w:cs="Courier New" w:eastAsia="Courier New" w:hAnsi="Courier New"/>
          <w:color w:val="333333"/>
          <w:sz w:val="18"/>
          <w:szCs w:val="18"/>
        </w:rPr>
        <w:t xml:space="preserve">             /            \</w:t>
      </w:r>
    </w:p>
    <w:p>
      <w:pPr>
        <w:spacing w:after="0" w:line="280"/>
        <w:ind w:left="360"/>
      </w:pPr>
      <w:r>
        <w:rPr>
          <w:rFonts w:ascii="Courier New" w:cs="Courier New" w:eastAsia="Courier New" w:hAnsi="Courier New"/>
          <w:color w:val="333333"/>
          <w:sz w:val="18"/>
          <w:szCs w:val="18"/>
        </w:rPr>
        <w:t xml:space="preserve">    定量数据               定性数据</w:t>
      </w:r>
    </w:p>
    <w:p>
      <w:pPr>
        <w:spacing w:after="0" w:line="280"/>
        <w:ind w:left="360"/>
      </w:pPr>
      <w:r>
        <w:rPr>
          <w:rFonts w:ascii="Courier New" w:cs="Courier New" w:eastAsia="Courier New" w:hAnsi="Courier New"/>
          <w:color w:val="333333"/>
          <w:sz w:val="18"/>
          <w:szCs w:val="18"/>
        </w:rPr>
        <w:t xml:space="preserve">    （财务指标）         （文本材料）</w:t>
      </w:r>
    </w:p>
    <w:p>
      <w:pPr>
        <w:spacing w:after="0" w:line="280"/>
        <w:ind w:left="360"/>
      </w:pPr>
      <w:r>
        <w:rPr>
          <w:rFonts w:ascii="Courier New" w:cs="Courier New" w:eastAsia="Courier New" w:hAnsi="Courier New"/>
          <w:color w:val="333333"/>
          <w:sz w:val="18"/>
          <w:szCs w:val="18"/>
        </w:rPr>
        <w:t xml:space="preserve">        |                    |</w:t>
      </w:r>
    </w:p>
    <w:p>
      <w:pPr>
        <w:spacing w:after="0" w:line="280"/>
        <w:ind w:left="360"/>
      </w:pPr>
      <w:r>
        <w:rPr>
          <w:rFonts w:ascii="Courier New" w:cs="Courier New" w:eastAsia="Courier New" w:hAnsi="Courier New"/>
          <w:color w:val="333333"/>
          <w:sz w:val="18"/>
          <w:szCs w:val="18"/>
        </w:rPr>
        <w:t xml:space="preserve">   年报/季报             公告/研报</w:t>
      </w:r>
    </w:p>
    <w:p>
      <w:pPr>
        <w:spacing w:after="0" w:line="280"/>
        <w:ind w:left="360"/>
      </w:pPr>
      <w:r>
        <w:rPr>
          <w:rFonts w:ascii="Courier New" w:cs="Courier New" w:eastAsia="Courier New" w:hAnsi="Courier New"/>
          <w:color w:val="333333"/>
          <w:sz w:val="18"/>
          <w:szCs w:val="18"/>
        </w:rPr>
        <w:t xml:space="preserve">   REITs说明书           管理层讨论</w:t>
      </w:r>
    </w:p>
    <w:p>
      <w:pPr>
        <w:spacing w:after="0" w:line="280"/>
        <w:ind w:left="360"/>
      </w:pPr>
      <w:r>
        <w:rPr>
          <w:rFonts w:ascii="Courier New" w:cs="Courier New" w:eastAsia="Courier New" w:hAnsi="Courier New"/>
          <w:color w:val="333333"/>
          <w:sz w:val="18"/>
          <w:szCs w:val="18"/>
        </w:rPr>
        <w:t xml:space="preserve">   行业统计数据            政策文件</w:t>
      </w:r>
    </w:p>
    <w:p>
      <w:pPr>
        <w:spacing w:after="0" w:line="280"/>
        <w:ind w:left="360"/>
      </w:pPr>
      <w:r>
        <w:rPr>
          <w:rFonts w:ascii="Courier New" w:cs="Courier New" w:eastAsia="Courier New" w:hAnsi="Courier New"/>
          <w:color w:val="333333"/>
          <w:sz w:val="18"/>
          <w:szCs w:val="18"/>
        </w:rPr>
        <w:t xml:space="preserve">        |                    |</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   │       交叉验证与整合分析        │</w:t>
      </w:r>
    </w:p>
    <w:p>
      <w:pPr>
        <w:spacing w:after="0" w:line="280"/>
        <w:ind w:left="360"/>
      </w:pPr>
      <w:r>
        <w:rPr>
          <w:rFonts w:ascii="Courier New" w:cs="Courier New" w:eastAsia="Courier New" w:hAnsi="Courier New"/>
          <w:color w:val="333333"/>
          <w:sz w:val="18"/>
          <w:szCs w:val="18"/>
        </w:rPr>
        <w:t xml:space="preserve">   └─────────────────────────┘</w:t>
      </w:r>
    </w:p>
    <w:p>
      <w:pPr>
        <w:spacing w:after="60" w:line="360"/>
        <w:ind w:firstLine="480"/>
        <w:jc w:val="both"/>
      </w:pPr>
      <w:r>
        <w:rPr>
          <w:rFonts w:ascii="SimSun" w:cs="SimSun" w:eastAsia="SimSun" w:hAnsi="SimSun"/>
          <w:b/>
          <w:bCs/>
          <w:i w:val="false"/>
          <w:iCs w:val="false"/>
          <w:strike w:val="false"/>
          <w:sz w:val="24"/>
          <w:szCs w:val="24"/>
        </w:rPr>
        <w:t xml:space="preserve">验证原则</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官方优先原则</w:t>
      </w:r>
      <w:r>
        <w:rPr>
          <w:rFonts w:ascii="SimSun" w:cs="SimSun" w:eastAsia="SimSun" w:hAnsi="SimSun"/>
          <w:b w:val="false"/>
          <w:bCs w:val="false"/>
          <w:sz w:val="24"/>
          <w:szCs w:val="24"/>
        </w:rPr>
        <w:t xml:space="preserve">：优先采用官方财报数据</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多源验证原则</w:t>
      </w:r>
      <w:r>
        <w:rPr>
          <w:rFonts w:ascii="SimSun" w:cs="SimSun" w:eastAsia="SimSun" w:hAnsi="SimSun"/>
          <w:b w:val="false"/>
          <w:bCs w:val="false"/>
          <w:sz w:val="24"/>
          <w:szCs w:val="24"/>
        </w:rPr>
        <w:t xml:space="preserve">：每个数据点至少两个独立来源验证</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证据整合原则</w:t>
      </w:r>
      <w:r>
        <w:rPr>
          <w:rFonts w:ascii="SimSun" w:cs="SimSun" w:eastAsia="SimSun" w:hAnsi="SimSun"/>
          <w:b w:val="false"/>
          <w:bCs w:val="false"/>
          <w:sz w:val="24"/>
          <w:szCs w:val="24"/>
        </w:rPr>
        <w:t xml:space="preserve">：定量+定性证据交叉验证</w:t>
      </w:r>
    </w:p>
    <w:p>
      <w:pPr>
        <w:spacing w:after="60" w:line="360"/>
        <w:ind w:firstLine="480"/>
        <w:jc w:val="both"/>
      </w:pPr>
      <w:r>
        <w:rPr>
          <w:rFonts w:ascii="SimSun" w:cs="SimSun" w:eastAsia="SimSun" w:hAnsi="SimSun"/>
          <w:b/>
          <w:bCs/>
          <w:i w:val="false"/>
          <w:iCs w:val="false"/>
          <w:strike w:val="false"/>
          <w:sz w:val="24"/>
          <w:szCs w:val="24"/>
        </w:rPr>
        <w:t xml:space="preserve">验证流程</w:t>
      </w:r>
      <w:r>
        <w:rPr>
          <w:rFonts w:ascii="SimSun" w:cs="SimSun" w:eastAsia="SimSun" w:hAnsi="SimSun"/>
          <w:b w:val="false"/>
          <w:bCs w:val="false"/>
          <w:i w:val="false"/>
          <w:iCs w:val="false"/>
          <w:strike w:val="false"/>
          <w:sz w:val="24"/>
          <w:szCs w:val="24"/>
        </w:rPr>
        <w:t xml:space="preserve">：</w:t>
      </w:r>
    </w:p>
    <w:p>
      <w:pPr>
        <w:spacing w:after="0" w:line="280"/>
        <w:ind w:left="360"/>
      </w:pPr>
      <w:r>
        <w:rPr>
          <w:rFonts w:ascii="Courier New" w:cs="Courier New" w:eastAsia="Courier New" w:hAnsi="Courier New"/>
          <w:color w:val="333333"/>
          <w:sz w:val="18"/>
          <w:szCs w:val="18"/>
        </w:rPr>
        <w:t xml:space="preserve">数据收集 → 初步筛查 → 来源确认 → 一致性检查 → 最终确定 → 引用准备</w:t>
      </w:r>
    </w:p>
    <w:p>
      <w:pPr>
        <w:pStyle w:val="Heading3"/>
        <w:spacing w:after="120" w:before="240"/>
      </w:pPr>
      <w:r>
        <w:rPr>
          <w:rFonts w:ascii="SimHei" w:cs="SimHei" w:eastAsia="SimHei" w:hAnsi="SimHei"/>
          <w:b/>
          <w:bCs/>
          <w:sz w:val="24"/>
          <w:szCs w:val="24"/>
        </w:rPr>
        <w:t xml:space="preserve">3.4.3 数据质量控制</w:t>
      </w:r>
    </w:p>
    <w:p>
      <w:pPr>
        <w:spacing w:after="60" w:line="360"/>
        <w:ind w:firstLine="480"/>
        <w:jc w:val="both"/>
      </w:pPr>
      <w:r>
        <w:rPr>
          <w:rFonts w:ascii="SimSun" w:cs="SimSun" w:eastAsia="SimSun" w:hAnsi="SimSun"/>
          <w:b/>
          <w:bCs/>
          <w:i w:val="false"/>
          <w:iCs w:val="false"/>
          <w:strike w:val="false"/>
          <w:sz w:val="24"/>
          <w:szCs w:val="24"/>
        </w:rPr>
        <w:t xml:space="preserve">数据质量标准</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质量标准</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具体内容</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检查技术路线</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完整性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所有关键数据点完整</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检查数据点覆盖率</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一致性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多源数据基本一致</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一致性分数评估</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准确性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数据准确无误</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与官方数据核对</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及时性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数据更新及时</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检查数据日期</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可追溯性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数据来源可追溯</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检查引用信息</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质量控制措施</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源头控制</w:t>
      </w:r>
      <w:r>
        <w:rPr>
          <w:rFonts w:ascii="SimSun" w:cs="SimSun" w:eastAsia="SimSun" w:hAnsi="SimSun"/>
          <w:b w:val="false"/>
          <w:bCs w:val="false"/>
          <w:sz w:val="24"/>
          <w:szCs w:val="24"/>
        </w:rPr>
        <w:t xml:space="preserve">：优先采用官方来源数据</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过程控制</w:t>
      </w:r>
      <w:r>
        <w:rPr>
          <w:rFonts w:ascii="SimSun" w:cs="SimSun" w:eastAsia="SimSun" w:hAnsi="SimSun"/>
          <w:b w:val="false"/>
          <w:bCs w:val="false"/>
          <w:sz w:val="24"/>
          <w:szCs w:val="24"/>
        </w:rPr>
        <w:t xml:space="preserve">：实施系统化数据验证流程</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检查控制</w:t>
      </w:r>
      <w:r>
        <w:rPr>
          <w:rFonts w:ascii="SimSun" w:cs="SimSun" w:eastAsia="SimSun" w:hAnsi="SimSun"/>
          <w:b w:val="false"/>
          <w:bCs w:val="false"/>
          <w:sz w:val="24"/>
          <w:szCs w:val="24"/>
        </w:rPr>
        <w:t xml:space="preserve">：定期进行数据质量检查</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责任控制</w:t>
      </w:r>
      <w:r>
        <w:rPr>
          <w:rFonts w:ascii="SimSun" w:cs="SimSun" w:eastAsia="SimSun" w:hAnsi="SimSun"/>
          <w:b w:val="false"/>
          <w:bCs w:val="false"/>
          <w:sz w:val="24"/>
          <w:szCs w:val="24"/>
        </w:rPr>
        <w:t xml:space="preserve">：明确数据质量责任人</w:t>
      </w:r>
    </w:p>
    <w:p>
      <w:pPr>
        <w:pStyle w:val="Heading2"/>
        <w:spacing w:after="180" w:before="360"/>
      </w:pPr>
      <w:r>
        <w:rPr>
          <w:rFonts w:ascii="SimHei" w:cs="SimHei" w:eastAsia="SimHei" w:hAnsi="SimHei"/>
          <w:b/>
          <w:bCs/>
          <w:sz w:val="28"/>
          <w:szCs w:val="28"/>
        </w:rPr>
        <w:t xml:space="preserve">3.5 技术路线图</w:t>
      </w:r>
    </w:p>
    <w:p>
      <w:pPr>
        <w:pStyle w:val="Heading3"/>
        <w:spacing w:after="120" w:before="240"/>
      </w:pPr>
      <w:r>
        <w:rPr>
          <w:rFonts w:ascii="SimHei" w:cs="SimHei" w:eastAsia="SimHei" w:hAnsi="SimHei"/>
          <w:b/>
          <w:bCs/>
          <w:sz w:val="24"/>
          <w:szCs w:val="24"/>
        </w:rPr>
        <w:t xml:space="preserve">3.5.1 研究实施路线</w:t>
      </w:r>
    </w:p>
    <w:p>
      <w:pPr>
        <w:spacing w:after="0" w:line="280"/>
        <w:ind w:left="360"/>
      </w:pPr>
      <w:r>
        <w:rPr>
          <w:rFonts w:ascii="Courier New" w:cs="Courier New" w:eastAsia="Courier New" w:hAnsi="Courier New"/>
          <w:color w:val="333333"/>
          <w:sz w:val="18"/>
          <w:szCs w:val="18"/>
        </w:rPr>
        <w:t xml:space="preserve">研究启动 → 文献综述 → 理论构建 → 案例选择 → 数据收集 → 实证分析 → 结果解释 → 结论提炼</w:t>
      </w:r>
    </w:p>
    <w:p>
      <w:pPr>
        <w:pStyle w:val="Heading3"/>
        <w:spacing w:after="120" w:before="240"/>
      </w:pPr>
      <w:r>
        <w:rPr>
          <w:rFonts w:ascii="SimHei" w:cs="SimHei" w:eastAsia="SimHei" w:hAnsi="SimHei"/>
          <w:b/>
          <w:bCs/>
          <w:sz w:val="24"/>
          <w:szCs w:val="24"/>
        </w:rPr>
        <w:t xml:space="preserve">3.5.2 数据处理流程</w:t>
      </w:r>
    </w:p>
    <w:p>
      <w:pPr>
        <w:spacing w:after="0" w:line="280"/>
        <w:ind w:left="360"/>
      </w:pPr>
      <w:r>
        <w:rPr>
          <w:rFonts w:ascii="Courier New" w:cs="Courier New" w:eastAsia="Courier New" w:hAnsi="Courier New"/>
          <w:color w:val="333333"/>
          <w:sz w:val="18"/>
          <w:szCs w:val="18"/>
        </w:rPr>
        <w:t xml:space="preserve">原始数据收集 → 数据清洗 → 变量计算 → 描述性统计 → 趋势分析 → 影响机制检验 → 稳健性检验 → 最终结果</w:t>
      </w:r>
    </w:p>
    <w:p>
      <w:pPr>
        <w:pStyle w:val="Heading3"/>
        <w:spacing w:after="120" w:before="240"/>
      </w:pPr>
      <w:r>
        <w:rPr>
          <w:rFonts w:ascii="SimHei" w:cs="SimHei" w:eastAsia="SimHei" w:hAnsi="SimHei"/>
          <w:b/>
          <w:bCs/>
          <w:sz w:val="24"/>
          <w:szCs w:val="24"/>
        </w:rPr>
        <w:t xml:space="preserve">3.5.3 分析技术路线</w:t>
      </w:r>
    </w:p>
    <w:p>
      <w:pPr>
        <w:spacing w:after="60" w:line="360"/>
        <w:ind w:firstLine="480"/>
        <w:jc w:val="both"/>
      </w:pPr>
      <w:r>
        <w:rPr>
          <w:rFonts w:ascii="SimSun" w:cs="SimSun" w:eastAsia="SimSun" w:hAnsi="SimSun"/>
          <w:b/>
          <w:bCs/>
          <w:i w:val="false"/>
          <w:iCs w:val="false"/>
          <w:strike w:val="false"/>
          <w:sz w:val="24"/>
          <w:szCs w:val="24"/>
        </w:rPr>
        <w:t xml:space="preserve">第一阶段：描述统计分析</w:t>
      </w:r>
    </w:p>
    <w:p>
      <w:pPr>
        <w:spacing w:after="0" w:line="280"/>
        <w:ind w:left="360"/>
      </w:pPr>
      <w:r>
        <w:rPr>
          <w:rFonts w:ascii="Courier New" w:cs="Courier New" w:eastAsia="Courier New" w:hAnsi="Courier New"/>
          <w:color w:val="333333"/>
          <w:sz w:val="18"/>
          <w:szCs w:val="18"/>
        </w:rPr>
        <w:t xml:space="preserve">数据准备 → 描述性统计 → 趋势分析 → 初步发现</w:t>
      </w:r>
    </w:p>
    <w:p>
      <w:pPr>
        <w:spacing w:after="60" w:line="360"/>
        <w:ind w:firstLine="480"/>
        <w:jc w:val="both"/>
      </w:pPr>
      <w:r>
        <w:rPr>
          <w:rFonts w:ascii="SimSun" w:cs="SimSun" w:eastAsia="SimSun" w:hAnsi="SimSun"/>
          <w:b/>
          <w:bCs/>
          <w:i w:val="false"/>
          <w:iCs w:val="false"/>
          <w:strike w:val="false"/>
          <w:sz w:val="24"/>
          <w:szCs w:val="24"/>
        </w:rPr>
        <w:t xml:space="preserve">第二阶段：运作机制检验分析</w:t>
      </w:r>
    </w:p>
    <w:p>
      <w:pPr>
        <w:spacing w:after="0" w:line="280"/>
        <w:ind w:left="360"/>
      </w:pPr>
      <w:r>
        <w:rPr>
          <w:rFonts w:ascii="Courier New" w:cs="Courier New" w:eastAsia="Courier New" w:hAnsi="Courier New"/>
          <w:color w:val="333333"/>
          <w:sz w:val="18"/>
          <w:szCs w:val="18"/>
        </w:rPr>
        <w:t xml:space="preserve">融资运作机制检验 → 现金流运作机制检验 → 资产负债运作机制检验 → 运营运作机制检验</w:t>
      </w:r>
    </w:p>
    <w:p>
      <w:pPr>
        <w:spacing w:after="60" w:line="360"/>
        <w:ind w:firstLine="480"/>
        <w:jc w:val="both"/>
      </w:pPr>
      <w:r>
        <w:rPr>
          <w:rFonts w:ascii="SimSun" w:cs="SimSun" w:eastAsia="SimSun" w:hAnsi="SimSun"/>
          <w:b/>
          <w:bCs/>
          <w:i w:val="false"/>
          <w:iCs w:val="false"/>
          <w:strike w:val="false"/>
          <w:sz w:val="24"/>
          <w:szCs w:val="24"/>
        </w:rPr>
        <w:t xml:space="preserve">第三阶段：综合评估分析</w:t>
      </w:r>
    </w:p>
    <w:p>
      <w:pPr>
        <w:spacing w:after="0" w:line="280"/>
        <w:ind w:left="360"/>
      </w:pPr>
      <w:r>
        <w:rPr>
          <w:rFonts w:ascii="Courier New" w:cs="Courier New" w:eastAsia="Courier New" w:hAnsi="Courier New"/>
          <w:color w:val="333333"/>
          <w:sz w:val="18"/>
          <w:szCs w:val="18"/>
        </w:rPr>
        <w:t xml:space="preserve">模式匹配评估 → 理论对话 → 政策启示 → 企业建议</w:t>
      </w:r>
    </w:p>
    <w:p>
      <w:pPr>
        <w:pStyle w:val="Heading3"/>
        <w:spacing w:after="120" w:before="240"/>
      </w:pPr>
      <w:r>
        <w:rPr>
          <w:rFonts w:ascii="SimHei" w:cs="SimHei" w:eastAsia="SimHei" w:hAnsi="SimHei"/>
          <w:b/>
          <w:bCs/>
          <w:sz w:val="24"/>
          <w:szCs w:val="24"/>
        </w:rPr>
        <w:t xml:space="preserve">3.5.4 预期研究产出</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分析阶段</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核心产出</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预期贡献</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描述分析</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大悦城财务困境特征描述</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提供实证案例依据</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趋势分析</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REITs发行前后财务指标变化</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验证REITs财务效应</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运作机制检验</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四运作机制分析框架解释力检验</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理论贡献验证</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政策分析</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REITs政策建议</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实践价值体现</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企业建议</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房企REITs应用指南</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企业决策参考</w:t>
            </w:r>
          </w:p>
        </w:tc>
      </w:tr>
    </w:tbl>
    <w:p>
      <w:pPr>
        <w:spacing w:after="120"/>
      </w:pPr>
    </w:p>
    <w:p>
      <w:pPr>
        <w:pStyle w:val="Heading2"/>
        <w:spacing w:after="180" w:before="360"/>
      </w:pPr>
      <w:r>
        <w:rPr>
          <w:rFonts w:ascii="SimHei" w:cs="SimHei" w:eastAsia="SimHei" w:hAnsi="SimHei"/>
          <w:b/>
          <w:bCs/>
          <w:sz w:val="28"/>
          <w:szCs w:val="28"/>
        </w:rPr>
        <w:t xml:space="preserve">3.6 研究局限性及应对措施</w:t>
      </w:r>
    </w:p>
    <w:p>
      <w:pPr>
        <w:pStyle w:val="Heading3"/>
        <w:spacing w:after="120" w:before="240"/>
      </w:pPr>
      <w:r>
        <w:rPr>
          <w:rFonts w:ascii="SimHei" w:cs="SimHei" w:eastAsia="SimHei" w:hAnsi="SimHei"/>
          <w:b/>
          <w:bCs/>
          <w:sz w:val="24"/>
          <w:szCs w:val="24"/>
        </w:rPr>
        <w:t xml:space="preserve">3.6.1 主要局限性</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局限类型</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具体表现</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结果程度</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应对策略</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样本规模</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核心案例单一，参照案例有限</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高</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深度分析+参照视角</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方法选择</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样本量限制DID应用</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定位为探索性补充分析</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数据约束</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部分数据获取困难</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多渠道收集，交叉验证</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内生性议题</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企业选择发行REITs的偏误</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机制解释替代因果推断</w:t>
            </w:r>
          </w:p>
        </w:tc>
      </w:tr>
    </w:tbl>
    <w:p>
      <w:pPr>
        <w:spacing w:after="120"/>
      </w:pPr>
    </w:p>
    <w:p>
      <w:pPr>
        <w:pStyle w:val="Heading3"/>
        <w:spacing w:after="120" w:before="240"/>
      </w:pPr>
      <w:r>
        <w:rPr>
          <w:rFonts w:ascii="SimHei" w:cs="SimHei" w:eastAsia="SimHei" w:hAnsi="SimHei"/>
          <w:b/>
          <w:bCs/>
          <w:sz w:val="24"/>
          <w:szCs w:val="24"/>
        </w:rPr>
        <w:t xml:space="preserve">3.6.2 应对措施与改进策略</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局限性</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应对措施</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预期效果</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样本量小</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单案例深度分析，增强案例典型性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增强解释力，补偿样本量不足</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方法限制</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多种方法组合使用，降低单一方法依赖</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提升分析全面性和可靠性</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数据缺失</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多源验证，交叉检验，标注数据质量</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提高数据可信度</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内生性问题</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机制分析替代因果推断，增强理论解释</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增强研究深度和理论价值</w:t>
            </w:r>
          </w:p>
        </w:tc>
      </w:tr>
    </w:tbl>
    <w:p>
      <w:pPr>
        <w:spacing w:after="120"/>
      </w:pPr>
    </w:p>
    <w:p>
      <w:pPr>
        <w:pStyle w:val="Heading2"/>
        <w:spacing w:after="180" w:before="360"/>
      </w:pPr>
      <w:r>
        <w:rPr>
          <w:rFonts w:ascii="SimHei" w:cs="SimHei" w:eastAsia="SimHei" w:hAnsi="SimHei"/>
          <w:b/>
          <w:bCs/>
          <w:sz w:val="28"/>
          <w:szCs w:val="28"/>
        </w:rPr>
        <w:t xml:space="preserve">3.7 研究伦理考虑</w:t>
      </w:r>
    </w:p>
    <w:p>
      <w:pPr>
        <w:pStyle w:val="Heading3"/>
        <w:spacing w:after="120" w:before="240"/>
      </w:pPr>
      <w:r>
        <w:rPr>
          <w:rFonts w:ascii="SimHei" w:cs="SimHei" w:eastAsia="SimHei" w:hAnsi="SimHei"/>
          <w:b/>
          <w:bCs/>
          <w:sz w:val="24"/>
          <w:szCs w:val="24"/>
        </w:rPr>
        <w:t xml:space="preserve">3.7.1 数据使用伦理</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伦理原则</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具体措施</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执行标准</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数据合法</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所有数据来自合法公开渠道</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仅使用公开发布数据</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引用规范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严格按照学术规范引用数据</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注明数据来源和日期</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数据保护</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不披露企业机密信息</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仅分析公开可得数据</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研究诚信</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不伪造数据，不隐瞒不利结果</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如实报告分析结果</w:t>
            </w:r>
          </w:p>
        </w:tc>
      </w:tr>
    </w:tbl>
    <w:p>
      <w:pPr>
        <w:spacing w:after="120"/>
      </w:pPr>
    </w:p>
    <w:p>
      <w:pPr>
        <w:pStyle w:val="Heading3"/>
        <w:spacing w:after="120" w:before="240"/>
      </w:pPr>
      <w:r>
        <w:rPr>
          <w:rFonts w:ascii="SimHei" w:cs="SimHei" w:eastAsia="SimHei" w:hAnsi="SimHei"/>
          <w:b/>
          <w:bCs/>
          <w:sz w:val="24"/>
          <w:szCs w:val="24"/>
        </w:rPr>
        <w:t xml:space="preserve">3.7.2 知识产权保护</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保护内容</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具体措施</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执行标准</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数据来源保护</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明确标注数据来源</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尊重数据所有者权益</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成果归属</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明确标注研究团队贡献</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遵循学术规范</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引用规范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规范引用他人研究成果</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尊重他人知识产权</w:t>
            </w:r>
          </w:p>
        </w:tc>
      </w:tr>
    </w:tbl>
    <w:p>
      <w:pPr>
        <w:spacing w:after="120"/>
      </w:pPr>
    </w:p>
    <w:p>
      <w:pPr>
        <w:pStyle w:val="Heading3"/>
        <w:spacing w:after="120" w:before="240"/>
      </w:pPr>
      <w:r>
        <w:rPr>
          <w:rFonts w:ascii="SimHei" w:cs="SimHei" w:eastAsia="SimHei" w:hAnsi="SimHei"/>
          <w:b/>
          <w:bCs/>
          <w:sz w:val="24"/>
          <w:szCs w:val="24"/>
        </w:rPr>
        <w:t xml:space="preserve">3.7.3 研究责任与诚信</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责任内容</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具体要求</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执行标准</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数据真实性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确保分析所用数据真实可靠</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建立数据验证作用机制</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结论客观性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基于数据客观分析得出结论</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避免主观臆断</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研究透明性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公开研究方法和数据来源</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接受同行检验</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学术诚信</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遵循学术道德规范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诚实报告研究结果</w:t>
            </w:r>
          </w:p>
        </w:tc>
      </w:tr>
    </w:tbl>
    <w:p>
      <w:pPr>
        <w:spacing w:after="120"/>
      </w:pPr>
    </w:p>
    <w:p>
      <w:pPr>
        <w:pStyle w:val="Heading2"/>
        <w:spacing w:after="180" w:before="360"/>
      </w:pPr>
      <w:r>
        <w:rPr>
          <w:rFonts w:ascii="SimHei" w:cs="SimHei" w:eastAsia="SimHei" w:hAnsi="SimHei"/>
          <w:b/>
          <w:bCs/>
          <w:sz w:val="28"/>
          <w:szCs w:val="28"/>
        </w:rPr>
        <w:t xml:space="preserve">3.8 本章小结</w:t>
      </w:r>
    </w:p>
    <w:p>
      <w:pPr>
        <w:spacing w:after="60" w:line="360"/>
        <w:ind w:firstLine="480"/>
        <w:jc w:val="both"/>
      </w:pPr>
      <w:r>
        <w:rPr>
          <w:rFonts w:ascii="SimSun" w:cs="SimSun" w:eastAsia="SimSun" w:hAnsi="SimSun"/>
          <w:b w:val="false"/>
          <w:bCs w:val="false"/>
          <w:i w:val="false"/>
          <w:iCs w:val="false"/>
          <w:strike w:val="false"/>
          <w:sz w:val="24"/>
          <w:szCs w:val="24"/>
        </w:rPr>
        <w:t xml:space="preserve">本章系统阐述了本研究的方法论框架和研究设计。核心内容包括：</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方法论框架</w:t>
      </w:r>
      <w:r>
        <w:rPr>
          <w:rFonts w:ascii="SimSun" w:cs="SimSun" w:eastAsia="SimSun" w:hAnsi="SimSun"/>
          <w:b w:val="false"/>
          <w:bCs w:val="false"/>
          <w:sz w:val="24"/>
          <w:szCs w:val="24"/>
        </w:rPr>
        <w:t xml:space="preserve">：采用Yin案例研究法作为核心方法论，结合四机制分析框架，确立研究的理论基础和分析路径。</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研究设计要素</w:t>
      </w:r>
      <w:r>
        <w:rPr>
          <w:rFonts w:ascii="SimSun" w:cs="SimSun" w:eastAsia="SimSun" w:hAnsi="SimSun"/>
          <w:b w:val="false"/>
          <w:bCs w:val="false"/>
          <w:sz w:val="24"/>
          <w:szCs w:val="24"/>
        </w:rPr>
        <w:t xml:space="preserve">：明确案例选择逻辑、研究期间设置（2019-2025年）、变量定义体系（含中长期验证指标）、控制变量设计，为实证分析提供规范的研究分析框架。</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中长期跟踪验证路径</w:t>
      </w:r>
      <w:r>
        <w:rPr>
          <w:rFonts w:ascii="SimSun" w:cs="SimSun" w:eastAsia="SimSun" w:hAnsi="SimSun"/>
          <w:b w:val="false"/>
          <w:bCs w:val="false"/>
          <w:sz w:val="24"/>
          <w:szCs w:val="24"/>
        </w:rPr>
        <w:t xml:space="preserve">：设计三阶段分析框架（短期信号→中期实质→中长期趋势），替代原有的"短期验证/未验证"二元判断，使四机制检验更具时序深度。</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实证分析路径</w:t>
      </w:r>
      <w:r>
        <w:rPr>
          <w:rFonts w:ascii="SimSun" w:cs="SimSun" w:eastAsia="SimSun" w:hAnsi="SimSun"/>
          <w:b w:val="false"/>
          <w:bCs w:val="false"/>
          <w:sz w:val="24"/>
          <w:szCs w:val="24"/>
        </w:rPr>
        <w:t xml:space="preserve">：设计完整的分析流程，包括趋势对比分析、四作用机制中长期跟踪检验、模式匹配与中长期评估等环节，确保研究的系统性和严谨性。</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数据收集与验证</w:t>
      </w:r>
      <w:r>
        <w:rPr>
          <w:rFonts w:ascii="SimSun" w:cs="SimSun" w:eastAsia="SimSun" w:hAnsi="SimSun"/>
          <w:b w:val="false"/>
          <w:bCs w:val="false"/>
          <w:sz w:val="24"/>
          <w:szCs w:val="24"/>
        </w:rPr>
        <w:t xml:space="preserve">：制定详细的数据收集计划（延伸至2025年数据）和证据三角形验证策略，建立完善的数据质量控制体系。</w:t>
      </w:r>
    </w:p>
    <w:p>
      <w:pPr>
        <w:spacing w:after="40" w:line="340"/>
        <w:ind w:left="480" w:hanging="280"/>
      </w:pPr>
      <w:r>
        <w:rPr>
          <w:rFonts w:ascii="SimSun" w:cs="SimSun" w:eastAsia="SimSun" w:hAnsi="SimSun"/>
          <w:sz w:val="24"/>
          <w:szCs w:val="24"/>
        </w:rPr>
        <w:t xml:space="preserve">6. </w:t>
      </w:r>
      <w:r>
        <w:rPr>
          <w:rFonts w:ascii="SimSun" w:cs="SimSun" w:eastAsia="SimSun" w:hAnsi="SimSun"/>
          <w:b/>
          <w:bCs/>
          <w:sz w:val="24"/>
          <w:szCs w:val="24"/>
        </w:rPr>
        <w:t xml:space="preserve">局限性及应对</w:t>
      </w:r>
      <w:r>
        <w:rPr>
          <w:rFonts w:ascii="SimSun" w:cs="SimSun" w:eastAsia="SimSun" w:hAnsi="SimSun"/>
          <w:b w:val="false"/>
          <w:bCs w:val="false"/>
          <w:sz w:val="24"/>
          <w:szCs w:val="24"/>
        </w:rPr>
        <w:t xml:space="preserve">：客观分析研究的局限性，并提出相应的应对措施，确保研究的科学性和可信度。</w:t>
      </w:r>
    </w:p>
    <w:p>
      <w:pPr>
        <w:spacing w:after="40" w:line="340"/>
        <w:ind w:left="480" w:hanging="280"/>
      </w:pPr>
      <w:r>
        <w:rPr>
          <w:rFonts w:ascii="SimSun" w:cs="SimSun" w:eastAsia="SimSun" w:hAnsi="SimSun"/>
          <w:sz w:val="24"/>
          <w:szCs w:val="24"/>
        </w:rPr>
        <w:t xml:space="preserve">7. </w:t>
      </w:r>
      <w:r>
        <w:rPr>
          <w:rFonts w:ascii="SimSun" w:cs="SimSun" w:eastAsia="SimSun" w:hAnsi="SimSun"/>
          <w:b/>
          <w:bCs/>
          <w:sz w:val="24"/>
          <w:szCs w:val="24"/>
        </w:rPr>
        <w:t xml:space="preserve">研究伦理考虑</w:t>
      </w:r>
      <w:r>
        <w:rPr>
          <w:rFonts w:ascii="SimSun" w:cs="SimSun" w:eastAsia="SimSun" w:hAnsi="SimSun"/>
          <w:b w:val="false"/>
          <w:bCs w:val="false"/>
          <w:sz w:val="24"/>
          <w:szCs w:val="24"/>
        </w:rPr>
        <w:t xml:space="preserve">：严格遵守研究伦理规范，确保研究的合法性和道德性。</w:t>
      </w:r>
    </w:p>
    <w:p>
      <w:pPr>
        <w:spacing w:after="60" w:line="360"/>
        <w:ind w:firstLine="480"/>
        <w:jc w:val="both"/>
      </w:pPr>
      <w:r>
        <w:rPr>
          <w:rFonts w:ascii="SimSun" w:cs="SimSun" w:eastAsia="SimSun" w:hAnsi="SimSun"/>
          <w:b w:val="false"/>
          <w:bCs w:val="false"/>
          <w:i w:val="false"/>
          <w:iCs w:val="false"/>
          <w:strike w:val="false"/>
          <w:sz w:val="24"/>
          <w:szCs w:val="24"/>
        </w:rPr>
        <w:t xml:space="preserve">本章为后续的实证分析提供了完整的理论框架和分析路径，为研究的顺利进行奠定了坚实的方法体系论基础。</w:t>
      </w:r>
    </w:p>
    <w:p>
      <w:pPr>
        <w:pStyle w:val="Heading1"/>
        <w:spacing w:after="240" w:before="480"/>
      </w:pPr>
      <w:r>
        <w:rPr>
          <w:rFonts w:ascii="SimHei" w:cs="SimHei" w:eastAsia="SimHei" w:hAnsi="SimHei"/>
          <w:b/>
          <w:bCs/>
          <w:sz w:val="32"/>
          <w:szCs w:val="32"/>
        </w:rPr>
        <w:t xml:space="preserve">第四章 大悦城案例分析</w:t>
      </w:r>
    </w:p>
    <w:p>
      <w:pPr>
        <w:spacing w:after="60" w:line="320"/>
        <w:ind w:left="400"/>
      </w:pPr>
      <w:r>
        <w:rPr>
          <w:rFonts w:ascii="SimSun" w:cs="SimSun" w:eastAsia="SimSun" w:hAnsi="SimSun"/>
          <w:b w:val="false"/>
          <w:bCs w:val="false"/>
          <w:i/>
          <w:iCs/>
          <w:color w:val="555555"/>
          <w:sz w:val="21"/>
          <w:szCs w:val="21"/>
        </w:rPr>
        <w:t xml:space="preserve">版本：v3.0 | 基于4运作机制中长期跟踪验证概念框架 | 更新时间：2026-04-15 核心变更：时间窗口延伸至2025年，"短期验证"改为"中长期跟踪验证"</w:t>
      </w:r>
    </w:p>
    <w:p>
      <w:pPr>
        <w:pStyle w:val="Heading2"/>
        <w:spacing w:after="180" w:before="360"/>
      </w:pPr>
      <w:r>
        <w:rPr>
          <w:rFonts w:ascii="SimHei" w:cs="SimHei" w:eastAsia="SimHei" w:hAnsi="SimHei"/>
          <w:b/>
          <w:bCs/>
          <w:sz w:val="28"/>
          <w:szCs w:val="28"/>
        </w:rPr>
        <w:t xml:space="preserve">4.1 案例背景</w:t>
      </w:r>
    </w:p>
    <w:p>
      <w:pPr>
        <w:pStyle w:val="Heading3"/>
        <w:spacing w:after="120" w:before="240"/>
      </w:pPr>
      <w:r>
        <w:rPr>
          <w:rFonts w:ascii="SimHei" w:cs="SimHei" w:eastAsia="SimHei" w:hAnsi="SimHei"/>
          <w:b/>
          <w:bCs/>
          <w:sz w:val="24"/>
          <w:szCs w:val="24"/>
        </w:rPr>
        <w:t xml:space="preserve">4.1.1 大悦城控股概况</w:t>
      </w:r>
    </w:p>
    <w:p>
      <w:pPr>
        <w:spacing w:after="60" w:line="360"/>
        <w:ind w:firstLine="480"/>
        <w:jc w:val="both"/>
      </w:pPr>
      <w:r>
        <w:rPr>
          <w:rFonts w:ascii="SimSun" w:cs="SimSun" w:eastAsia="SimSun" w:hAnsi="SimSun"/>
          <w:b w:val="false"/>
          <w:bCs w:val="false"/>
          <w:i w:val="false"/>
          <w:iCs w:val="false"/>
          <w:strike w:val="false"/>
          <w:sz w:val="24"/>
          <w:szCs w:val="24"/>
        </w:rPr>
        <w:t xml:space="preserve">作为本研究的核心分析对象，大悦城控股集团股份有限公司（股票代码：000031.SZ）是中国中粮集团旗下一家专注于商业地产开发与运营的上市公司。公司以"大悦城"品牌为核心，业务范围覆盖房地产开发、经营管理、商业运营等多个领域，在中国商业地产行业具有重要的市场地位和品牌结果力。</w:t>
      </w:r>
    </w:p>
    <w:p>
      <w:pPr>
        <w:spacing w:after="60" w:line="360"/>
        <w:ind w:firstLine="480"/>
        <w:jc w:val="both"/>
      </w:pPr>
      <w:r>
        <w:rPr>
          <w:rFonts w:ascii="SimSun" w:cs="SimSun" w:eastAsia="SimSun" w:hAnsi="SimSun"/>
          <w:b/>
          <w:bCs/>
          <w:i w:val="false"/>
          <w:iCs w:val="false"/>
          <w:strike w:val="false"/>
          <w:sz w:val="24"/>
          <w:szCs w:val="24"/>
        </w:rPr>
        <w:t xml:space="preserve">企业基本信息</w:t>
      </w:r>
      <w:r>
        <w:rPr>
          <w:rFonts w:ascii="SimSun" w:cs="SimSun" w:eastAsia="SimSun" w:hAnsi="SimSun"/>
          <w:b w:val="false"/>
          <w:bCs w:val="false"/>
          <w:i w:val="false"/>
          <w:iCs w:val="false"/>
          <w:strike w:val="false"/>
          <w:sz w:val="24"/>
          <w:szCs w:val="24"/>
        </w:rPr>
        <w:t xml:space="preserve">：</w:t>
      </w:r>
    </w:p>
    <w:p>
      <w:pPr>
        <w:spacing w:after="60" w:line="360"/>
        <w:ind w:firstLine="480"/>
        <w:jc w:val="both"/>
      </w:pPr>
      <w:r>
        <w:rPr>
          <w:rFonts w:ascii="SimSun" w:cs="SimSun" w:eastAsia="SimSun" w:hAnsi="SimSun"/>
          <w:b/>
          <w:bCs/>
          <w:i w:val="false"/>
          <w:iCs w:val="false"/>
          <w:strike w:val="false"/>
          <w:sz w:val="24"/>
          <w:szCs w:val="24"/>
        </w:rPr>
        <w:t xml:space="preserve">表4.1 大悦城控股基本情况（截至2025年）</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3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项目</w:t>
            </w:r>
          </w:p>
        </w:tc>
        <w:tc>
          <w:tcPr>
            <w:tcW w:type="dxa" w:w="43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内容</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公司名称</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大悦城控股集团股份有限公司</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股票代码</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000031.SZ（深交所）</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实际控制人</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中粮集团（央企）</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主营业务</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房地产开发与经营、商业运营</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核心品牌</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大悦城（商业地产）、大悦公寓（长租公寓）</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业务布局</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全国20+城市，聚焦一二线城市</w:t>
            </w:r>
          </w:p>
        </w:tc>
      </w:tr>
    </w:tbl>
    <w:p>
      <w:pPr>
        <w:spacing w:after="120"/>
      </w:pPr>
    </w:p>
    <w:p>
      <w:pPr>
        <w:spacing w:after="60" w:line="360"/>
        <w:ind w:firstLine="480"/>
        <w:jc w:val="both"/>
      </w:pPr>
      <w:r>
        <w:rPr>
          <w:rFonts w:ascii="SimSun" w:cs="SimSun" w:eastAsia="SimSun" w:hAnsi="SimSun"/>
          <w:b w:val="false"/>
          <w:bCs w:val="false"/>
          <w:i/>
          <w:iCs/>
          <w:strike w:val="false"/>
          <w:sz w:val="24"/>
          <w:szCs w:val="24"/>
        </w:rPr>
        <w:t xml:space="preserve">数据来源：大悦城控股2025年半年度报告，巨潮资讯网</w:t>
      </w:r>
    </w:p>
    <w:p>
      <w:pPr>
        <w:spacing w:after="60" w:line="360"/>
        <w:ind w:firstLine="480"/>
        <w:jc w:val="both"/>
      </w:pPr>
      <w:r>
        <w:rPr>
          <w:rFonts w:ascii="SimSun" w:cs="SimSun" w:eastAsia="SimSun" w:hAnsi="SimSun"/>
          <w:b/>
          <w:bCs/>
          <w:i w:val="false"/>
          <w:iCs w:val="false"/>
          <w:strike w:val="false"/>
          <w:sz w:val="24"/>
          <w:szCs w:val="24"/>
        </w:rPr>
        <w:t xml:space="preserve">大悦城与央企背景的关系</w:t>
      </w:r>
      <w:r>
        <w:rPr>
          <w:rFonts w:ascii="SimSun" w:cs="SimSun" w:eastAsia="SimSun" w:hAnsi="SimSun"/>
          <w:b w:val="false"/>
          <w:bCs w:val="false"/>
          <w:i w:val="false"/>
          <w:iCs w:val="false"/>
          <w:strike w:val="false"/>
          <w:sz w:val="24"/>
          <w:szCs w:val="24"/>
        </w:rPr>
        <w:t xml:space="preserve">：作为中粮集团旗下企业，大悦城控股具有独特的央企优势——信用背书较强、融资渠道相对多元化，但并且也面临央企效率约束。这一背景使得大悦城的财务困境与纯民营房企有所不同，也为REITs发行提供了信用基础。</w:t>
      </w:r>
    </w:p>
    <w:p>
      <w:pPr>
        <w:pStyle w:val="Heading3"/>
        <w:spacing w:after="120" w:before="240"/>
      </w:pPr>
      <w:r>
        <w:rPr>
          <w:rFonts w:ascii="SimHei" w:cs="SimHei" w:eastAsia="SimHei" w:hAnsi="SimHei"/>
          <w:b/>
          <w:bCs/>
          <w:sz w:val="24"/>
          <w:szCs w:val="24"/>
        </w:rPr>
        <w:t xml:space="preserve">4.1.2 大悦城财务困境特征</w:t>
      </w:r>
    </w:p>
    <w:p>
      <w:pPr>
        <w:spacing w:after="60" w:line="320"/>
        <w:ind w:left="400"/>
      </w:pPr>
      <w:r>
        <w:rPr>
          <w:rFonts w:ascii="SimSun" w:cs="SimSun" w:eastAsia="SimSun" w:hAnsi="SimSun"/>
          <w:b/>
          <w:bCs/>
          <w:i/>
          <w:iCs/>
          <w:color w:val="555555"/>
          <w:sz w:val="21"/>
          <w:szCs w:val="21"/>
        </w:rPr>
        <w:t xml:space="preserve">【数据口径说明】</w:t>
      </w:r>
      <w:r>
        <w:rPr>
          <w:rFonts w:ascii="SimSun" w:cs="SimSun" w:eastAsia="SimSun" w:hAnsi="SimSun"/>
          <w:b w:val="false"/>
          <w:bCs w:val="false"/>
          <w:i/>
          <w:iCs/>
          <w:color w:val="555555"/>
          <w:sz w:val="21"/>
          <w:szCs w:val="21"/>
        </w:rPr>
        <w:t xml:space="preserve"> 本章所有财务数据均来自大悦城控股（000031.SZ）A股年度报告及公开披露信息。大悦城控股与港股上市主体大悦城地产（港交所，股票代码2070.HK）为两个独立上市实体，本研究中"大悦城"均指代A股大悦城控股（000031.SZ），后文不再逐一说明。数据已经过巨潮资讯网官方披露与雪球网交叉验证，差异超过5%的数据点已在脚注中注明原因。</w:t>
      </w:r>
    </w:p>
    <w:p>
      <w:pPr>
        <w:spacing w:after="60" w:line="360"/>
        <w:ind w:firstLine="480"/>
        <w:jc w:val="both"/>
      </w:pPr>
      <w:r>
        <w:rPr>
          <w:rFonts w:ascii="SimSun" w:cs="SimSun" w:eastAsia="SimSun" w:hAnsi="SimSun"/>
          <w:b w:val="false"/>
          <w:bCs w:val="false"/>
          <w:i w:val="false"/>
          <w:iCs w:val="false"/>
          <w:strike w:val="false"/>
          <w:sz w:val="24"/>
          <w:szCs w:val="24"/>
        </w:rPr>
        <w:t xml:space="preserve">大悦城控股自2020年以来持续面临财务困境，具体表现在以下方面：</w:t>
      </w:r>
    </w:p>
    <w:p>
      <w:pPr>
        <w:spacing w:after="60" w:line="360"/>
        <w:ind w:firstLine="480"/>
        <w:jc w:val="both"/>
      </w:pPr>
      <w:r>
        <w:rPr>
          <w:rFonts w:ascii="SimSun" w:cs="SimSun" w:eastAsia="SimSun" w:hAnsi="SimSun"/>
          <w:b/>
          <w:bCs/>
          <w:i w:val="false"/>
          <w:iCs w:val="false"/>
          <w:strike w:val="false"/>
          <w:sz w:val="24"/>
          <w:szCs w:val="24"/>
        </w:rPr>
        <w:t xml:space="preserve">（1）盈利能力：先恶化后改善</w:t>
      </w:r>
    </w:p>
    <w:p>
      <w:pPr>
        <w:spacing w:after="60" w:line="360"/>
        <w:ind w:firstLine="480"/>
        <w:jc w:val="both"/>
      </w:pPr>
      <w:r>
        <w:rPr>
          <w:rFonts w:ascii="SimSun" w:cs="SimSun" w:eastAsia="SimSun" w:hAnsi="SimSun"/>
          <w:b/>
          <w:bCs/>
          <w:i w:val="false"/>
          <w:iCs w:val="false"/>
          <w:strike w:val="false"/>
          <w:sz w:val="24"/>
          <w:szCs w:val="24"/>
        </w:rPr>
        <w:t xml:space="preserve">表4.2 大悦城净利润变化趋势（2019-2025年）</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年份</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净利润（亿元）</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净利润率</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同比变化</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财务状态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2019</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37.05</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10.97%</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高盈利</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2020</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-3.87</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-1.01%</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-110.44%</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首次亏损</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2021</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1.08</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0.25%</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+127.91%</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微利转盈</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2022</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-28.83</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-7.28%</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-2775%</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亏损加剧</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2023</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-14.65</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-3.98%</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+49.18%</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亏损收窄</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2024</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-29.77</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-8.32%</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-103.14%</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亏损扩大</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2025H1</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7.48</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4.91%</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扭亏为盈</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显著改善</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2025E</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-27~-21</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减亏9-29%</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减亏趋势确认</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数据来源：大悦城控股2019-2025年年度报告及业绩预告[巨潮资讯网]</w:t>
      </w:r>
    </w:p>
    <w:p>
      <w:pPr>
        <w:spacing w:after="60" w:line="360"/>
        <w:ind w:firstLine="480"/>
        <w:jc w:val="both"/>
      </w:pPr>
      <w:r>
        <w:rPr>
          <w:rFonts w:ascii="SimSun" w:cs="SimSun" w:eastAsia="SimSun" w:hAnsi="SimSun"/>
          <w:b w:val="false"/>
          <w:bCs w:val="false"/>
          <w:i w:val="false"/>
          <w:iCs w:val="false"/>
          <w:strike w:val="false"/>
          <w:sz w:val="24"/>
          <w:szCs w:val="24"/>
        </w:rPr>
        <w:t xml:space="preserve">大悦城的净利润轨迹呈现"W型→改善"路径：2020年首次亏损→2021年短暂回正→2022年亏损加剧→2023年收窄→2024年再次扩大→</w:t>
      </w:r>
      <w:r>
        <w:rPr>
          <w:rFonts w:ascii="SimSun" w:cs="SimSun" w:eastAsia="SimSun" w:hAnsi="SimSun"/>
          <w:b/>
          <w:bCs/>
          <w:i w:val="false"/>
          <w:iCs w:val="false"/>
          <w:strike w:val="false"/>
          <w:sz w:val="24"/>
          <w:szCs w:val="24"/>
        </w:rPr>
        <w:t xml:space="preserve">2025年上半年实现扭亏为盈，全年减亏趋势确认</w:t>
      </w:r>
      <w:r>
        <w:rPr>
          <w:rFonts w:ascii="SimSun" w:cs="SimSun" w:eastAsia="SimSun" w:hAnsi="SimSun"/>
          <w:b w:val="false"/>
          <w:bCs w:val="false"/>
          <w:i w:val="false"/>
          <w:iCs w:val="false"/>
          <w:strike w:val="false"/>
          <w:sz w:val="24"/>
          <w:szCs w:val="24"/>
        </w:rPr>
        <w:t xml:space="preserve">。2025年上半年的7.48亿元净利润是自2021年以来最好的半年度业绩，毛利率从22.59%大幅提升至36.35%，盈利能力出现实质性改善。</w:t>
      </w:r>
    </w:p>
    <w:p>
      <w:pPr>
        <w:spacing w:after="60" w:line="360"/>
        <w:ind w:firstLine="480"/>
        <w:jc w:val="both"/>
      </w:pPr>
      <w:r>
        <w:rPr>
          <w:rFonts w:ascii="SimSun" w:cs="SimSun" w:eastAsia="SimSun" w:hAnsi="SimSun"/>
          <w:b/>
          <w:bCs/>
          <w:i w:val="false"/>
          <w:iCs w:val="false"/>
          <w:strike w:val="false"/>
          <w:sz w:val="24"/>
          <w:szCs w:val="24"/>
        </w:rPr>
        <w:t xml:space="preserve">（2）营业收入：持续下滑但毛利率改善</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年份</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营业收入（亿元）</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同比变化</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综合毛利率</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2019</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337.87</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384.45</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+13.76%</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2021</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426.14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+10.84%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395.79</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2023</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367.83</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-7.06%</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357.91</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~22.59%</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2025H1</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152.31</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-5.29%</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36.35%</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数据来源：大悦城控股2019-2025年年度报告及半年报[巨潮资讯网]</w:t>
      </w:r>
    </w:p>
    <w:p>
      <w:pPr>
        <w:spacing w:after="60" w:line="360"/>
        <w:ind w:firstLine="480"/>
        <w:jc w:val="both"/>
      </w:pPr>
      <w:r>
        <w:rPr>
          <w:rFonts w:ascii="SimSun" w:cs="SimSun" w:eastAsia="SimSun" w:hAnsi="SimSun"/>
          <w:b w:val="false"/>
          <w:bCs w:val="false"/>
          <w:i w:val="false"/>
          <w:iCs w:val="false"/>
          <w:strike w:val="false"/>
          <w:sz w:val="24"/>
          <w:szCs w:val="24"/>
        </w:rPr>
        <w:t xml:space="preserve">自2021年达到426.14亿元的高峰后，营业收入连续下滑。但2025年上半年出现了重要的结构性变化：</w:t>
      </w:r>
      <w:r>
        <w:rPr>
          <w:rFonts w:ascii="SimSun" w:cs="SimSun" w:eastAsia="SimSun" w:hAnsi="SimSun"/>
          <w:b/>
          <w:bCs/>
          <w:i w:val="false"/>
          <w:iCs w:val="false"/>
          <w:strike w:val="false"/>
          <w:sz w:val="24"/>
          <w:szCs w:val="24"/>
        </w:rPr>
        <w:t xml:space="preserve">虽然营收同比下降5.29%，但综合毛利率从22.59%大幅提升至36.35%</w:t>
      </w:r>
      <w:r>
        <w:rPr>
          <w:rFonts w:ascii="SimSun" w:cs="SimSun" w:eastAsia="SimSun" w:hAnsi="SimSun"/>
          <w:b w:val="false"/>
          <w:bCs w:val="false"/>
          <w:i w:val="false"/>
          <w:iCs w:val="false"/>
          <w:strike w:val="false"/>
          <w:sz w:val="24"/>
          <w:szCs w:val="24"/>
        </w:rPr>
        <w:t xml:space="preserve">（+13.76个百分点），这意味着公司正在从"追求规模"转向"追求利润质量"。</w:t>
      </w:r>
    </w:p>
    <w:p>
      <w:pPr>
        <w:spacing w:after="60" w:line="360"/>
        <w:ind w:firstLine="480"/>
        <w:jc w:val="both"/>
      </w:pPr>
      <w:r>
        <w:rPr>
          <w:rFonts w:ascii="SimSun" w:cs="SimSun" w:eastAsia="SimSun" w:hAnsi="SimSun"/>
          <w:b/>
          <w:bCs/>
          <w:i w:val="false"/>
          <w:iCs w:val="false"/>
          <w:strike w:val="false"/>
          <w:sz w:val="24"/>
          <w:szCs w:val="24"/>
        </w:rPr>
        <w:t xml:space="preserve">（3）现金流：REITs后持续改善</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年份</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经营现金流（亿元）</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经营现金流比率</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状态</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2019</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40.65</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12.03%</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健康</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98.14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25.53%</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非常健康</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2021</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16.66%</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健康</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27.10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6.85%</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紧张</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2023</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106.42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28.93%</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非常健康</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66.17</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18.49%</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健康但下降</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2025H1</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26.87</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17.65%</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同比+38.15%</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数据来源：大悦城控股2019-2025年半年报[巨潮资讯网+观察者网]</w:t>
      </w:r>
    </w:p>
    <w:p>
      <w:pPr>
        <w:spacing w:after="60" w:line="360"/>
        <w:ind w:firstLine="480"/>
        <w:jc w:val="both"/>
      </w:pPr>
      <w:r>
        <w:rPr>
          <w:rFonts w:ascii="SimSun" w:cs="SimSun" w:eastAsia="SimSun" w:hAnsi="SimSun"/>
          <w:b w:val="false"/>
          <w:bCs w:val="false"/>
          <w:i w:val="false"/>
          <w:iCs w:val="false"/>
          <w:strike w:val="false"/>
          <w:sz w:val="24"/>
          <w:szCs w:val="24"/>
        </w:rPr>
        <w:t xml:space="preserve">2025年上半年经营现金流26.87亿元，同比增长38.15%，这一改善与REITs上市后底层资产的稳定分派收入直接相关。</w:t>
      </w:r>
    </w:p>
    <w:p>
      <w:pPr>
        <w:spacing w:after="60" w:line="360"/>
        <w:ind w:firstLine="480"/>
        <w:jc w:val="both"/>
      </w:pPr>
      <w:r>
        <w:rPr>
          <w:rFonts w:ascii="SimSun" w:cs="SimSun" w:eastAsia="SimSun" w:hAnsi="SimSun"/>
          <w:b/>
          <w:bCs/>
          <w:i w:val="false"/>
          <w:iCs w:val="false"/>
          <w:strike w:val="false"/>
          <w:sz w:val="24"/>
          <w:szCs w:val="24"/>
        </w:rPr>
        <w:t xml:space="preserve">（4）总资产规模变化</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年份</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总资产（亿元）</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同比变化</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2019</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1,351.48</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2020</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1,537.80</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+13.78%</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2021</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1,704.56</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+10.84%</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2022</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1,583.16</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-7.12%</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2023</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1,980.61</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+25.10%</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2024</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1,785.75</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-9.84%</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数据来源：大悦城控股2019-2024年年度报告[巨潮资讯网+雪球网交叉验证]</w:t>
      </w:r>
    </w:p>
    <w:p>
      <w:pPr>
        <w:spacing w:after="60" w:line="360"/>
        <w:ind w:firstLine="480"/>
        <w:jc w:val="both"/>
      </w:pPr>
      <w:r>
        <w:rPr>
          <w:rFonts w:ascii="SimSun" w:cs="SimSun" w:eastAsia="SimSun" w:hAnsi="SimSun"/>
          <w:b w:val="false"/>
          <w:bCs w:val="false"/>
          <w:i w:val="false"/>
          <w:iCs w:val="false"/>
          <w:strike w:val="false"/>
          <w:sz w:val="24"/>
          <w:szCs w:val="24"/>
        </w:rPr>
        <w:t xml:space="preserve">2024年总资产1,785.75亿元，较2023年下降9.84%，这与REITs资产出表直接相关——华夏大悦城REIT将成都大悦城购物中心从合并报表中剥离，直接减少了总资产规模。</w:t>
      </w:r>
    </w:p>
    <w:p>
      <w:pPr>
        <w:pStyle w:val="Heading3"/>
        <w:spacing w:after="120" w:before="240"/>
      </w:pPr>
      <w:r>
        <w:rPr>
          <w:rFonts w:ascii="SimHei" w:cs="SimHei" w:eastAsia="SimHei" w:hAnsi="SimHei"/>
          <w:b/>
          <w:bCs/>
          <w:sz w:val="24"/>
          <w:szCs w:val="24"/>
        </w:rPr>
        <w:t xml:space="preserve">4.1.3 大悦城财务困境成因分析：基于波特五力与SWOT框架</w:t>
      </w:r>
    </w:p>
    <w:p>
      <w:pPr>
        <w:spacing w:after="60" w:line="360"/>
        <w:ind w:firstLine="480"/>
        <w:jc w:val="both"/>
      </w:pPr>
      <w:r>
        <w:rPr>
          <w:rFonts w:ascii="SimSun" w:cs="SimSun" w:eastAsia="SimSun" w:hAnsi="SimSun"/>
          <w:b w:val="false"/>
          <w:bCs w:val="false"/>
          <w:i w:val="false"/>
          <w:iCs w:val="false"/>
          <w:strike w:val="false"/>
          <w:sz w:val="24"/>
          <w:szCs w:val="24"/>
        </w:rPr>
        <w:t xml:space="preserve">大悦城财务困境的形成是多重因素叠加的结果，结合</w:t>
      </w:r>
      <w:r>
        <w:rPr>
          <w:rFonts w:ascii="SimSun" w:cs="SimSun" w:eastAsia="SimSun" w:hAnsi="SimSun"/>
          <w:b/>
          <w:bCs/>
          <w:i w:val="false"/>
          <w:iCs w:val="false"/>
          <w:strike w:val="false"/>
          <w:sz w:val="24"/>
          <w:szCs w:val="24"/>
        </w:rPr>
        <w:t xml:space="preserve">波特五力模型</w:t>
      </w:r>
      <w:r>
        <w:rPr>
          <w:rFonts w:ascii="SimSun" w:cs="SimSun" w:eastAsia="SimSun" w:hAnsi="SimSun"/>
          <w:b w:val="false"/>
          <w:bCs w:val="false"/>
          <w:i w:val="false"/>
          <w:iCs w:val="false"/>
          <w:strike w:val="false"/>
          <w:sz w:val="24"/>
          <w:szCs w:val="24"/>
        </w:rPr>
        <w:t xml:space="preserve">和</w:t>
      </w:r>
      <w:r>
        <w:rPr>
          <w:rFonts w:ascii="SimSun" w:cs="SimSun" w:eastAsia="SimSun" w:hAnsi="SimSun"/>
          <w:b/>
          <w:bCs/>
          <w:i w:val="false"/>
          <w:iCs w:val="false"/>
          <w:strike w:val="false"/>
          <w:sz w:val="24"/>
          <w:szCs w:val="24"/>
        </w:rPr>
        <w:t xml:space="preserve">SWOT分析</w:t>
      </w:r>
      <w:r>
        <w:rPr>
          <w:rFonts w:ascii="SimSun" w:cs="SimSun" w:eastAsia="SimSun" w:hAnsi="SimSun"/>
          <w:b w:val="false"/>
          <w:bCs w:val="false"/>
          <w:i w:val="false"/>
          <w:iCs w:val="false"/>
          <w:strike w:val="false"/>
          <w:sz w:val="24"/>
          <w:szCs w:val="24"/>
        </w:rPr>
        <w:t xml:space="preserve">可以更系统地进行解析：</w:t>
      </w:r>
    </w:p>
    <w:p>
      <w:pPr>
        <w:pStyle w:val="Heading4"/>
        <w:spacing w:after="120" w:before="180"/>
      </w:pPr>
      <w:r>
        <w:rPr>
          <w:rFonts w:ascii="SimHei" w:cs="SimHei" w:eastAsia="SimHei" w:hAnsi="SimHei"/>
          <w:b/>
          <w:bCs/>
          <w:sz w:val="24"/>
          <w:szCs w:val="24"/>
        </w:rPr>
        <w:t xml:space="preserve">基于波特五力模型的行业竞争格局分析</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五力维度</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商业地产行业现状</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对大悦城的结果</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供应商议价能力</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建筑成本上升，但品牌商户议价能力较强</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成本压力增加，但租金定价能力尚可</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买方（租户）议价能力</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经济下行期商户承租能力下降，谈判空间增大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出租率承压，租金增长受限</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新进入者威胁</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新开发商进入减少，但存量资产转型增加</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竞争从增量转向存量运营效率</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替代品威胁</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线上电商冲击实体商业，体验式消费兴起</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需从"零售场所"向"体验空间"转型</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行业内现有竞争者</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万达、华润、龙湖等巨头竞争激烈</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市场份额竞争加剧，差异化难度大</w:t>
            </w:r>
          </w:p>
        </w:tc>
      </w:tr>
    </w:tbl>
    <w:p>
      <w:pPr>
        <w:spacing w:after="120"/>
      </w:pPr>
    </w:p>
    <w:p>
      <w:pPr>
        <w:pStyle w:val="Heading4"/>
        <w:spacing w:after="120" w:before="180"/>
      </w:pPr>
      <w:r>
        <w:rPr>
          <w:rFonts w:ascii="SimHei" w:cs="SimHei" w:eastAsia="SimHei" w:hAnsi="SimHei"/>
          <w:b/>
          <w:bCs/>
          <w:sz w:val="24"/>
          <w:szCs w:val="24"/>
        </w:rPr>
        <w:t xml:space="preserve">基于SWOT分析的大悦城内部环境评估</w:t>
      </w:r>
    </w:p>
    <w:p>
      <w:pPr>
        <w:spacing w:after="60" w:line="360"/>
        <w:ind w:firstLine="480"/>
        <w:jc w:val="both"/>
      </w:pPr>
      <w:r>
        <w:rPr>
          <w:rFonts w:ascii="SimSun" w:cs="SimSun" w:eastAsia="SimSun" w:hAnsi="SimSun"/>
          <w:b/>
          <w:bCs/>
          <w:i w:val="false"/>
          <w:iCs w:val="false"/>
          <w:strike w:val="false"/>
          <w:sz w:val="24"/>
          <w:szCs w:val="24"/>
        </w:rPr>
        <w:t xml:space="preserve">优势（Strengths）</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央企背景：中粮集团信用背书，融资渠道相对多元</w:t>
      </w:r>
    </w:p>
    <w:p>
      <w:pPr>
        <w:spacing w:after="40" w:line="340"/>
        <w:ind w:left="480" w:hanging="0"/>
      </w:pPr>
      <w:r>
        <w:rPr>
          <w:rFonts w:ascii="SimSun" w:cs="SimSun" w:eastAsia="SimSun" w:hAnsi="SimSun"/>
          <w:b w:val="false"/>
          <w:bCs w:val="false"/>
          <w:sz w:val="24"/>
          <w:szCs w:val="24"/>
        </w:rPr>
        <w:t xml:space="preserve">品牌价值："大悦城"品牌在年轻消费群体中认知度高</w:t>
      </w:r>
    </w:p>
    <w:p>
      <w:pPr>
        <w:spacing w:after="40" w:line="340"/>
        <w:ind w:left="480" w:hanging="0"/>
      </w:pPr>
      <w:r>
        <w:rPr>
          <w:rFonts w:ascii="SimSun" w:cs="SimSun" w:eastAsia="SimSun" w:hAnsi="SimSun"/>
          <w:b w:val="false"/>
          <w:bCs w:val="false"/>
          <w:sz w:val="24"/>
          <w:szCs w:val="24"/>
        </w:rPr>
        <w:t xml:space="preserve">运营经验：商业地产运营积累，出租率维持高位</w:t>
      </w:r>
    </w:p>
    <w:p>
      <w:pPr>
        <w:spacing w:after="40" w:line="340"/>
        <w:ind w:left="480" w:hanging="0"/>
      </w:pPr>
      <w:r>
        <w:rPr>
          <w:rFonts w:ascii="SimSun" w:cs="SimSun" w:eastAsia="SimSun" w:hAnsi="SimSun"/>
          <w:b w:val="false"/>
          <w:bCs w:val="false"/>
          <w:sz w:val="24"/>
          <w:szCs w:val="24"/>
        </w:rPr>
        <w:t xml:space="preserve">资产质量：核心区位物业价值稳定</w:t>
      </w:r>
    </w:p>
    <w:p>
      <w:pPr>
        <w:spacing w:after="60" w:line="360"/>
        <w:ind w:firstLine="480"/>
        <w:jc w:val="both"/>
      </w:pPr>
      <w:r>
        <w:rPr>
          <w:rFonts w:ascii="SimSun" w:cs="SimSun" w:eastAsia="SimSun" w:hAnsi="SimSun"/>
          <w:b/>
          <w:bCs/>
          <w:i w:val="false"/>
          <w:iCs w:val="false"/>
          <w:strike w:val="false"/>
          <w:sz w:val="24"/>
          <w:szCs w:val="24"/>
        </w:rPr>
        <w:t xml:space="preserve">劣势（Weaknesses）</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重资产模式：开发周期长，资金占用大，周转率低</w:t>
      </w:r>
    </w:p>
    <w:p>
      <w:pPr>
        <w:spacing w:after="40" w:line="340"/>
        <w:ind w:left="480" w:hanging="0"/>
      </w:pPr>
      <w:r>
        <w:rPr>
          <w:rFonts w:ascii="SimSun" w:cs="SimSun" w:eastAsia="SimSun" w:hAnsi="SimSun"/>
          <w:b w:val="false"/>
          <w:bCs w:val="false"/>
          <w:sz w:val="24"/>
          <w:szCs w:val="24"/>
        </w:rPr>
        <w:t xml:space="preserve">负债结构：资产负债率高，财务杠杆压力大</w:t>
      </w:r>
    </w:p>
    <w:p>
      <w:pPr>
        <w:spacing w:after="40" w:line="340"/>
        <w:ind w:left="480" w:hanging="0"/>
      </w:pPr>
      <w:r>
        <w:rPr>
          <w:rFonts w:ascii="SimSun" w:cs="SimSun" w:eastAsia="SimSun" w:hAnsi="SimSun"/>
          <w:b w:val="false"/>
          <w:bCs w:val="false"/>
          <w:sz w:val="24"/>
          <w:szCs w:val="24"/>
        </w:rPr>
        <w:t xml:space="preserve">决策效率：央企体制可能后果市场反应速度</w:t>
      </w:r>
    </w:p>
    <w:p>
      <w:pPr>
        <w:spacing w:after="40" w:line="340"/>
        <w:ind w:left="480" w:hanging="0"/>
      </w:pPr>
      <w:r>
        <w:rPr>
          <w:rFonts w:ascii="SimSun" w:cs="SimSun" w:eastAsia="SimSun" w:hAnsi="SimSun"/>
          <w:b w:val="false"/>
          <w:bCs w:val="false"/>
          <w:sz w:val="24"/>
          <w:szCs w:val="24"/>
        </w:rPr>
        <w:t xml:space="preserve">区域集中：业务布局相对集中，风险分散不足</w:t>
      </w:r>
    </w:p>
    <w:p>
      <w:pPr>
        <w:spacing w:after="60" w:line="360"/>
        <w:ind w:firstLine="480"/>
        <w:jc w:val="both"/>
      </w:pPr>
      <w:r>
        <w:rPr>
          <w:rFonts w:ascii="SimSun" w:cs="SimSun" w:eastAsia="SimSun" w:hAnsi="SimSun"/>
          <w:b/>
          <w:bCs/>
          <w:i w:val="false"/>
          <w:iCs w:val="false"/>
          <w:strike w:val="false"/>
          <w:sz w:val="24"/>
          <w:szCs w:val="24"/>
        </w:rPr>
        <w:t xml:space="preserve">机会（Opportunities）</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REITs政策：基础设施REITs试点为资产盘活提供新渠道</w:t>
      </w:r>
    </w:p>
    <w:p>
      <w:pPr>
        <w:spacing w:after="40" w:line="340"/>
        <w:ind w:left="480" w:hanging="0"/>
      </w:pPr>
      <w:r>
        <w:rPr>
          <w:rFonts w:ascii="SimSun" w:cs="SimSun" w:eastAsia="SimSun" w:hAnsi="SimSun"/>
          <w:b w:val="false"/>
          <w:bCs w:val="false"/>
          <w:sz w:val="24"/>
          <w:szCs w:val="24"/>
        </w:rPr>
        <w:t xml:space="preserve">消费升级：体验式消费需求增长，商业地产向内容运营转型</w:t>
      </w:r>
    </w:p>
    <w:p>
      <w:pPr>
        <w:spacing w:after="40" w:line="340"/>
        <w:ind w:left="480" w:hanging="0"/>
      </w:pPr>
      <w:r>
        <w:rPr>
          <w:rFonts w:ascii="SimSun" w:cs="SimSun" w:eastAsia="SimSun" w:hAnsi="SimSun"/>
          <w:b w:val="false"/>
          <w:bCs w:val="false"/>
          <w:sz w:val="24"/>
          <w:szCs w:val="24"/>
        </w:rPr>
        <w:t xml:space="preserve">存量盘活：行业进入存量时代，运营能力成为核心竞争力</w:t>
      </w:r>
    </w:p>
    <w:p>
      <w:pPr>
        <w:spacing w:after="40" w:line="340"/>
        <w:ind w:left="480" w:hanging="0"/>
      </w:pPr>
      <w:r>
        <w:rPr>
          <w:rFonts w:ascii="SimSun" w:cs="SimSun" w:eastAsia="SimSun" w:hAnsi="SimSun"/>
          <w:b w:val="false"/>
          <w:bCs w:val="false"/>
          <w:sz w:val="24"/>
          <w:szCs w:val="24"/>
        </w:rPr>
        <w:t xml:space="preserve">轻资产转型：从"开发销售"向"持有运营"转型机遇</w:t>
      </w:r>
    </w:p>
    <w:p>
      <w:pPr>
        <w:spacing w:after="60" w:line="360"/>
        <w:ind w:firstLine="480"/>
        <w:jc w:val="both"/>
      </w:pPr>
      <w:r>
        <w:rPr>
          <w:rFonts w:ascii="SimSun" w:cs="SimSun" w:eastAsia="SimSun" w:hAnsi="SimSun"/>
          <w:b/>
          <w:bCs/>
          <w:i w:val="false"/>
          <w:iCs w:val="false"/>
          <w:strike w:val="false"/>
          <w:sz w:val="24"/>
          <w:szCs w:val="24"/>
        </w:rPr>
        <w:t xml:space="preserve">威胁（Threats）</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行业周期：房地产行业深度调整，销售规模下滑</w:t>
      </w:r>
    </w:p>
    <w:p>
      <w:pPr>
        <w:spacing w:after="40" w:line="340"/>
        <w:ind w:left="480" w:hanging="0"/>
      </w:pPr>
      <w:r>
        <w:rPr>
          <w:rFonts w:ascii="SimSun" w:cs="SimSun" w:eastAsia="SimSun" w:hAnsi="SimSun"/>
          <w:b w:val="false"/>
          <w:bCs w:val="false"/>
          <w:sz w:val="24"/>
          <w:szCs w:val="24"/>
        </w:rPr>
        <w:t xml:space="preserve">融资收紧：房企融资渠道受限，融资成本上升</w:t>
      </w:r>
    </w:p>
    <w:p>
      <w:pPr>
        <w:spacing w:after="40" w:line="340"/>
        <w:ind w:left="480" w:hanging="0"/>
      </w:pPr>
      <w:r>
        <w:rPr>
          <w:rFonts w:ascii="SimSun" w:cs="SimSun" w:eastAsia="SimSun" w:hAnsi="SimSun"/>
          <w:b w:val="false"/>
          <w:bCs w:val="false"/>
          <w:sz w:val="24"/>
          <w:szCs w:val="24"/>
        </w:rPr>
        <w:t xml:space="preserve">消费疲软：经济下行期居民消费意愿下降</w:t>
      </w:r>
    </w:p>
    <w:p>
      <w:pPr>
        <w:spacing w:after="40" w:line="340"/>
        <w:ind w:left="480" w:hanging="0"/>
      </w:pPr>
      <w:r>
        <w:rPr>
          <w:rFonts w:ascii="SimSun" w:cs="SimSun" w:eastAsia="SimSun" w:hAnsi="SimSun"/>
          <w:b w:val="false"/>
          <w:bCs w:val="false"/>
          <w:sz w:val="24"/>
          <w:szCs w:val="24"/>
        </w:rPr>
        <w:t xml:space="preserve">竞争加剧：存量市场竞争白热化，运营效率要求提升</w:t>
      </w:r>
    </w:p>
    <w:p>
      <w:pPr>
        <w:pStyle w:val="Heading4"/>
        <w:spacing w:after="120" w:before="180"/>
      </w:pPr>
      <w:r>
        <w:rPr>
          <w:rFonts w:ascii="SimHei" w:cs="SimHei" w:eastAsia="SimHei" w:hAnsi="SimHei"/>
          <w:b/>
          <w:bCs/>
          <w:sz w:val="24"/>
          <w:szCs w:val="24"/>
        </w:rPr>
        <w:t xml:space="preserve">困境成因综合解析</w:t>
      </w:r>
    </w:p>
    <w:p>
      <w:pPr>
        <w:spacing w:after="60" w:line="360"/>
        <w:ind w:firstLine="480"/>
        <w:jc w:val="both"/>
      </w:pPr>
      <w:r>
        <w:rPr>
          <w:rFonts w:ascii="SimSun" w:cs="SimSun" w:eastAsia="SimSun" w:hAnsi="SimSun"/>
          <w:b w:val="false"/>
          <w:bCs w:val="false"/>
          <w:i w:val="false"/>
          <w:iCs w:val="false"/>
          <w:strike w:val="false"/>
          <w:sz w:val="24"/>
          <w:szCs w:val="24"/>
        </w:rPr>
        <w:t xml:space="preserve">大悦城财务困境是</w:t>
      </w:r>
      <w:r>
        <w:rPr>
          <w:rFonts w:ascii="SimSun" w:cs="SimSun" w:eastAsia="SimSun" w:hAnsi="SimSun"/>
          <w:b/>
          <w:bCs/>
          <w:i w:val="false"/>
          <w:iCs w:val="false"/>
          <w:strike w:val="false"/>
          <w:sz w:val="24"/>
          <w:szCs w:val="24"/>
        </w:rPr>
        <w:t xml:space="preserve">外部环境恶化</w:t>
      </w:r>
      <w:r>
        <w:rPr>
          <w:rFonts w:ascii="SimSun" w:cs="SimSun" w:eastAsia="SimSun" w:hAnsi="SimSun"/>
          <w:b w:val="false"/>
          <w:bCs w:val="false"/>
          <w:i w:val="false"/>
          <w:iCs w:val="false"/>
          <w:strike w:val="false"/>
          <w:sz w:val="24"/>
          <w:szCs w:val="24"/>
        </w:rPr>
        <w:t xml:space="preserve">（五力模型中买方议价能力提升、替代品威胁增大）与</w:t>
      </w:r>
      <w:r>
        <w:rPr>
          <w:rFonts w:ascii="SimSun" w:cs="SimSun" w:eastAsia="SimSun" w:hAnsi="SimSun"/>
          <w:b/>
          <w:bCs/>
          <w:i w:val="false"/>
          <w:iCs w:val="false"/>
          <w:strike w:val="false"/>
          <w:sz w:val="24"/>
          <w:szCs w:val="24"/>
        </w:rPr>
        <w:t xml:space="preserve">内部劣势放大</w:t>
      </w:r>
      <w:r>
        <w:rPr>
          <w:rFonts w:ascii="SimSun" w:cs="SimSun" w:eastAsia="SimSun" w:hAnsi="SimSun"/>
          <w:b w:val="false"/>
          <w:bCs w:val="false"/>
          <w:i w:val="false"/>
          <w:iCs w:val="false"/>
          <w:strike w:val="false"/>
          <w:sz w:val="24"/>
          <w:szCs w:val="24"/>
        </w:rPr>
        <w:t xml:space="preserve">（SWOT中重资产模式、高负债结构）共同作用的结果。2024年亏损扩大的直接原因是：</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行业系统性冲击</w:t>
      </w:r>
      <w:r>
        <w:rPr>
          <w:rFonts w:ascii="SimSun" w:cs="SimSun" w:eastAsia="SimSun" w:hAnsi="SimSun"/>
          <w:b w:val="false"/>
          <w:bCs w:val="false"/>
          <w:sz w:val="24"/>
          <w:szCs w:val="24"/>
        </w:rPr>
        <w:t xml:space="preserve">：2021年以来房地产行业深度调整</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商业地产周期性</w:t>
      </w:r>
      <w:r>
        <w:rPr>
          <w:rFonts w:ascii="SimSun" w:cs="SimSun" w:eastAsia="SimSun" w:hAnsi="SimSun"/>
          <w:b w:val="false"/>
          <w:bCs w:val="false"/>
          <w:sz w:val="24"/>
          <w:szCs w:val="24"/>
        </w:rPr>
        <w:t xml:space="preserve">：开发周期长、资金需求大、回报慢</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投资性扩张后遗症</w:t>
      </w:r>
      <w:r>
        <w:rPr>
          <w:rFonts w:ascii="SimSun" w:cs="SimSun" w:eastAsia="SimSun" w:hAnsi="SimSun"/>
          <w:b w:val="false"/>
          <w:bCs w:val="false"/>
          <w:sz w:val="24"/>
          <w:szCs w:val="24"/>
        </w:rPr>
        <w:t xml:space="preserve">：扩张期投资在下行期转为负担</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央企治理约束</w:t>
      </w:r>
      <w:r>
        <w:rPr>
          <w:rFonts w:ascii="SimSun" w:cs="SimSun" w:eastAsia="SimSun" w:hAnsi="SimSun"/>
          <w:b w:val="false"/>
          <w:bCs w:val="false"/>
          <w:sz w:val="24"/>
          <w:szCs w:val="24"/>
        </w:rPr>
        <w:t xml:space="preserve">：决策效率可能影响市场反应速度</w:t>
      </w:r>
    </w:p>
    <w:p>
      <w:pPr>
        <w:spacing w:after="60" w:line="360"/>
        <w:ind w:firstLine="480"/>
        <w:jc w:val="both"/>
      </w:pPr>
      <w:r>
        <w:rPr>
          <w:rFonts w:ascii="SimSun" w:cs="SimSun" w:eastAsia="SimSun" w:hAnsi="SimSun"/>
          <w:b w:val="false"/>
          <w:bCs w:val="false"/>
          <w:i w:val="false"/>
          <w:iCs w:val="false"/>
          <w:strike w:val="false"/>
          <w:sz w:val="24"/>
          <w:szCs w:val="24"/>
        </w:rPr>
        <w:t xml:space="preserve">REITs发行正是大悦城利用</w:t>
      </w:r>
      <w:r>
        <w:rPr>
          <w:rFonts w:ascii="SimSun" w:cs="SimSun" w:eastAsia="SimSun" w:hAnsi="SimSun"/>
          <w:b/>
          <w:bCs/>
          <w:i w:val="false"/>
          <w:iCs w:val="false"/>
          <w:strike w:val="false"/>
          <w:sz w:val="24"/>
          <w:szCs w:val="24"/>
        </w:rPr>
        <w:t xml:space="preserve">机会</w:t>
      </w:r>
      <w:r>
        <w:rPr>
          <w:rFonts w:ascii="SimSun" w:cs="SimSun" w:eastAsia="SimSun" w:hAnsi="SimSun"/>
          <w:b w:val="false"/>
          <w:bCs w:val="false"/>
          <w:i w:val="false"/>
          <w:iCs w:val="false"/>
          <w:strike w:val="false"/>
          <w:sz w:val="24"/>
          <w:szCs w:val="24"/>
        </w:rPr>
        <w:t xml:space="preserve">（REITs政策）应对</w:t>
      </w:r>
      <w:r>
        <w:rPr>
          <w:rFonts w:ascii="SimSun" w:cs="SimSun" w:eastAsia="SimSun" w:hAnsi="SimSun"/>
          <w:b/>
          <w:bCs/>
          <w:i w:val="false"/>
          <w:iCs w:val="false"/>
          <w:strike w:val="false"/>
          <w:sz w:val="24"/>
          <w:szCs w:val="24"/>
        </w:rPr>
        <w:t xml:space="preserve">威胁</w:t>
      </w:r>
      <w:r>
        <w:rPr>
          <w:rFonts w:ascii="SimSun" w:cs="SimSun" w:eastAsia="SimSun" w:hAnsi="SimSun"/>
          <w:b w:val="false"/>
          <w:bCs w:val="false"/>
          <w:i w:val="false"/>
          <w:iCs w:val="false"/>
          <w:strike w:val="false"/>
          <w:sz w:val="24"/>
          <w:szCs w:val="24"/>
        </w:rPr>
        <w:t xml:space="preserve">（融资收紧）的战略选择。</w:t>
      </w:r>
    </w:p>
    <w:p>
      <w:pPr>
        <w:pStyle w:val="Heading2"/>
        <w:spacing w:after="180" w:before="360"/>
      </w:pPr>
      <w:r>
        <w:rPr>
          <w:rFonts w:ascii="SimHei" w:cs="SimHei" w:eastAsia="SimHei" w:hAnsi="SimHei"/>
          <w:b/>
          <w:bCs/>
          <w:sz w:val="28"/>
          <w:szCs w:val="28"/>
        </w:rPr>
        <w:t xml:space="preserve">4.2 华夏大悦城REIT发行分析</w:t>
      </w:r>
    </w:p>
    <w:p>
      <w:pPr>
        <w:pStyle w:val="Heading3"/>
        <w:spacing w:after="120" w:before="240"/>
      </w:pPr>
      <w:r>
        <w:rPr>
          <w:rFonts w:ascii="SimHei" w:cs="SimHei" w:eastAsia="SimHei" w:hAnsi="SimHei"/>
          <w:b/>
          <w:bCs/>
          <w:sz w:val="24"/>
          <w:szCs w:val="24"/>
        </w:rPr>
        <w:t xml:space="preserve">4.2.1 REITs产品基本信息</w:t>
      </w:r>
    </w:p>
    <w:p>
      <w:pPr>
        <w:spacing w:after="60" w:line="360"/>
        <w:ind w:firstLine="480"/>
        <w:jc w:val="both"/>
      </w:pPr>
      <w:r>
        <w:rPr>
          <w:rFonts w:ascii="SimSun" w:cs="SimSun" w:eastAsia="SimSun" w:hAnsi="SimSun"/>
          <w:b/>
          <w:bCs/>
          <w:i w:val="false"/>
          <w:iCs w:val="false"/>
          <w:strike w:val="false"/>
          <w:sz w:val="24"/>
          <w:szCs w:val="24"/>
        </w:rPr>
        <w:t xml:space="preserve">华夏大悦城购物中心封闭式基础设施证券投资基金</w:t>
      </w:r>
      <w:r>
        <w:rPr>
          <w:rFonts w:ascii="SimSun" w:cs="SimSun" w:eastAsia="SimSun" w:hAnsi="SimSun"/>
          <w:b w:val="false"/>
          <w:bCs w:val="false"/>
          <w:i w:val="false"/>
          <w:iCs w:val="false"/>
          <w:strike w:val="false"/>
          <w:sz w:val="24"/>
          <w:szCs w:val="24"/>
        </w:rPr>
        <w:t xml:space="preserve">（基金代码：180603）是西南地区首单消费基础设施公募REITs产品。</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3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项目</w:t>
            </w:r>
          </w:p>
        </w:tc>
        <w:tc>
          <w:tcPr>
            <w:tcW w:type="dxa" w:w="43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内容</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基金名称</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华夏大悦城购物中心封闭式基础设施证券投资基金</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基金代码</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180603</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基金管理人</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华夏基金管理有限公司</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申报日期</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2024年5月24日</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成立日期</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2024年9月3日</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上市日期</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2024年9月20日</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发行规模</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33.23亿元</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底层资产</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成都大悦城购物中心</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产品类型</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消费基础设施REITs</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存续期限</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24年</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扩募储备</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228万平方米资产</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数据来源：华夏大悦城REIT招募说明书+2025年年报[证监会批文+深交所]</w:t>
      </w:r>
    </w:p>
    <w:p>
      <w:pPr>
        <w:pStyle w:val="Heading4"/>
        <w:spacing w:after="120" w:before="180"/>
      </w:pPr>
      <w:r>
        <w:rPr>
          <w:rFonts w:ascii="SimHei" w:cs="SimHei" w:eastAsia="SimHei" w:hAnsi="SimHei"/>
          <w:b/>
          <w:bCs/>
          <w:sz w:val="24"/>
          <w:szCs w:val="24"/>
        </w:rPr>
        <w:t xml:space="preserve">基于STP分析的市场定位解析</w:t>
      </w:r>
    </w:p>
    <w:p>
      <w:pPr>
        <w:spacing w:after="60" w:line="360"/>
        <w:ind w:firstLine="480"/>
        <w:jc w:val="both"/>
      </w:pPr>
      <w:r>
        <w:rPr>
          <w:rFonts w:ascii="SimSun" w:cs="SimSun" w:eastAsia="SimSun" w:hAnsi="SimSun"/>
          <w:b/>
          <w:bCs/>
          <w:i w:val="false"/>
          <w:iCs w:val="false"/>
          <w:strike w:val="false"/>
          <w:sz w:val="24"/>
          <w:szCs w:val="24"/>
        </w:rPr>
        <w:t xml:space="preserve">市场细分（Segmentation）</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地理维度</w:t>
      </w:r>
      <w:r>
        <w:rPr>
          <w:rFonts w:ascii="SimSun" w:cs="SimSun" w:eastAsia="SimSun" w:hAnsi="SimSun"/>
          <w:b w:val="false"/>
          <w:bCs w:val="false"/>
          <w:sz w:val="24"/>
          <w:szCs w:val="24"/>
        </w:rPr>
        <w:t xml:space="preserve">：西南地区（成都为核心），覆盖四川及周边省份高消费力人群</w:t>
      </w:r>
    </w:p>
    <w:p>
      <w:pPr>
        <w:spacing w:after="40" w:line="340"/>
        <w:ind w:left="480" w:hanging="0"/>
      </w:pPr>
      <w:r>
        <w:rPr>
          <w:rFonts w:ascii="SimSun" w:cs="SimSun" w:eastAsia="SimSun" w:hAnsi="SimSun"/>
          <w:b/>
          <w:bCs/>
          <w:sz w:val="24"/>
          <w:szCs w:val="24"/>
        </w:rPr>
        <w:t xml:space="preserve">物业类型</w:t>
      </w:r>
      <w:r>
        <w:rPr>
          <w:rFonts w:ascii="SimSun" w:cs="SimSun" w:eastAsia="SimSun" w:hAnsi="SimSun"/>
          <w:b w:val="false"/>
          <w:bCs w:val="false"/>
          <w:sz w:val="24"/>
          <w:szCs w:val="24"/>
        </w:rPr>
        <w:t xml:space="preserve">：购物中心（非住宅、写字楼），聚焦消费基础设施</w:t>
      </w:r>
    </w:p>
    <w:p>
      <w:pPr>
        <w:spacing w:after="40" w:line="340"/>
        <w:ind w:left="480" w:hanging="0"/>
      </w:pPr>
      <w:r>
        <w:rPr>
          <w:rFonts w:ascii="SimSun" w:cs="SimSun" w:eastAsia="SimSun" w:hAnsi="SimSun"/>
          <w:b/>
          <w:bCs/>
          <w:sz w:val="24"/>
          <w:szCs w:val="24"/>
        </w:rPr>
        <w:t xml:space="preserve">投资偏好</w:t>
      </w:r>
      <w:r>
        <w:rPr>
          <w:rFonts w:ascii="SimSun" w:cs="SimSun" w:eastAsia="SimSun" w:hAnsi="SimSun"/>
          <w:b w:val="false"/>
          <w:bCs w:val="false"/>
          <w:sz w:val="24"/>
          <w:szCs w:val="24"/>
        </w:rPr>
        <w:t xml:space="preserve">：追求稳定现金流的机构投资者与高净值个人投资者</w:t>
      </w:r>
    </w:p>
    <w:p>
      <w:pPr>
        <w:spacing w:after="40" w:line="340"/>
        <w:ind w:left="480" w:hanging="0"/>
      </w:pPr>
      <w:r>
        <w:rPr>
          <w:rFonts w:ascii="SimSun" w:cs="SimSun" w:eastAsia="SimSun" w:hAnsi="SimSun"/>
          <w:b/>
          <w:bCs/>
          <w:sz w:val="24"/>
          <w:szCs w:val="24"/>
        </w:rPr>
        <w:t xml:space="preserve">风险收益特征</w:t>
      </w:r>
      <w:r>
        <w:rPr>
          <w:rFonts w:ascii="SimSun" w:cs="SimSun" w:eastAsia="SimSun" w:hAnsi="SimSun"/>
          <w:b w:val="false"/>
          <w:bCs w:val="false"/>
          <w:sz w:val="24"/>
          <w:szCs w:val="24"/>
        </w:rPr>
        <w:t xml:space="preserve">：偏好中长期稳定回报，风险承受能力中等</w:t>
      </w:r>
    </w:p>
    <w:p>
      <w:pPr>
        <w:spacing w:after="60" w:line="360"/>
        <w:ind w:firstLine="480"/>
        <w:jc w:val="both"/>
      </w:pPr>
      <w:r>
        <w:rPr>
          <w:rFonts w:ascii="SimSun" w:cs="SimSun" w:eastAsia="SimSun" w:hAnsi="SimSun"/>
          <w:b/>
          <w:bCs/>
          <w:i w:val="false"/>
          <w:iCs w:val="false"/>
          <w:strike w:val="false"/>
          <w:sz w:val="24"/>
          <w:szCs w:val="24"/>
        </w:rPr>
        <w:t xml:space="preserve">目标市场（Targeting）</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核心目标：</w:t>
      </w:r>
      <w:r>
        <w:rPr>
          <w:rFonts w:ascii="SimSun" w:cs="SimSun" w:eastAsia="SimSun" w:hAnsi="SimSun"/>
          <w:b/>
          <w:bCs/>
          <w:sz w:val="24"/>
          <w:szCs w:val="24"/>
        </w:rPr>
        <w:t xml:space="preserve">对中国消费升级主题感兴趣的机构投资者</w:t>
      </w:r>
    </w:p>
    <w:p>
      <w:pPr>
        <w:spacing w:after="40" w:line="340"/>
        <w:ind w:left="480" w:hanging="0"/>
      </w:pPr>
      <w:r>
        <w:rPr>
          <w:rFonts w:ascii="SimSun" w:cs="SimSun" w:eastAsia="SimSun" w:hAnsi="SimSun"/>
          <w:b w:val="false"/>
          <w:bCs w:val="false"/>
          <w:sz w:val="24"/>
          <w:szCs w:val="24"/>
        </w:rPr>
        <w:t xml:space="preserve">次要目标：</w:t>
      </w:r>
      <w:r>
        <w:rPr>
          <w:rFonts w:ascii="SimSun" w:cs="SimSun" w:eastAsia="SimSun" w:hAnsi="SimSun"/>
          <w:b/>
          <w:bCs/>
          <w:sz w:val="24"/>
          <w:szCs w:val="24"/>
        </w:rPr>
        <w:t xml:space="preserve">寻求资产配置多样化的高净值投资者</w:t>
      </w:r>
    </w:p>
    <w:p>
      <w:pPr>
        <w:spacing w:after="40" w:line="340"/>
        <w:ind w:left="480" w:hanging="0"/>
      </w:pPr>
      <w:r>
        <w:rPr>
          <w:rFonts w:ascii="SimSun" w:cs="SimSun" w:eastAsia="SimSun" w:hAnsi="SimSun"/>
          <w:b w:val="false"/>
          <w:bCs w:val="false"/>
          <w:sz w:val="24"/>
          <w:szCs w:val="24"/>
        </w:rPr>
        <w:t xml:space="preserve">战略定位：</w:t>
      </w:r>
      <w:r>
        <w:rPr>
          <w:rFonts w:ascii="SimSun" w:cs="SimSun" w:eastAsia="SimSun" w:hAnsi="SimSun"/>
          <w:b/>
          <w:bCs/>
          <w:sz w:val="24"/>
          <w:szCs w:val="24"/>
        </w:rPr>
        <w:t xml:space="preserve">REITs市场中的"消费+区域龙头"双主题产品</w:t>
      </w:r>
    </w:p>
    <w:p>
      <w:pPr>
        <w:spacing w:after="60" w:line="360"/>
        <w:ind w:firstLine="480"/>
        <w:jc w:val="both"/>
      </w:pPr>
      <w:r>
        <w:rPr>
          <w:rFonts w:ascii="SimSun" w:cs="SimSun" w:eastAsia="SimSun" w:hAnsi="SimSun"/>
          <w:b/>
          <w:bCs/>
          <w:i w:val="false"/>
          <w:iCs w:val="false"/>
          <w:strike w:val="false"/>
          <w:sz w:val="24"/>
          <w:szCs w:val="24"/>
        </w:rPr>
        <w:t xml:space="preserve">市场定位（Positioning）</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价值定位</w:t>
      </w:r>
      <w:r>
        <w:rPr>
          <w:rFonts w:ascii="SimSun" w:cs="SimSun" w:eastAsia="SimSun" w:hAnsi="SimSun"/>
          <w:b w:val="false"/>
          <w:bCs w:val="false"/>
          <w:sz w:val="24"/>
          <w:szCs w:val="24"/>
        </w:rPr>
        <w:t xml:space="preserve">：提供稳定分派（年化5.48%）+资产增值潜力的组合</w:t>
      </w:r>
    </w:p>
    <w:p>
      <w:pPr>
        <w:spacing w:after="40" w:line="340"/>
        <w:ind w:left="480" w:hanging="0"/>
      </w:pPr>
      <w:r>
        <w:rPr>
          <w:rFonts w:ascii="SimSun" w:cs="SimSun" w:eastAsia="SimSun" w:hAnsi="SimSun"/>
          <w:b/>
          <w:bCs/>
          <w:sz w:val="24"/>
          <w:szCs w:val="24"/>
        </w:rPr>
        <w:t xml:space="preserve">差异化定位</w:t>
      </w:r>
      <w:r>
        <w:rPr>
          <w:rFonts w:ascii="SimSun" w:cs="SimSun" w:eastAsia="SimSun" w:hAnsi="SimSun"/>
          <w:b w:val="false"/>
          <w:bCs w:val="false"/>
          <w:sz w:val="24"/>
          <w:szCs w:val="24"/>
        </w:rPr>
        <w:t xml:space="preserve">：西南地区首个消费基础设施REITs，具有"首单效应"</w:t>
      </w:r>
    </w:p>
    <w:p>
      <w:pPr>
        <w:spacing w:after="40" w:line="340"/>
        <w:ind w:left="480" w:hanging="0"/>
      </w:pPr>
      <w:r>
        <w:rPr>
          <w:rFonts w:ascii="SimSun" w:cs="SimSun" w:eastAsia="SimSun" w:hAnsi="SimSun"/>
          <w:b/>
          <w:bCs/>
          <w:sz w:val="24"/>
          <w:szCs w:val="24"/>
        </w:rPr>
        <w:t xml:space="preserve">竞争定位</w:t>
      </w:r>
      <w:r>
        <w:rPr>
          <w:rFonts w:ascii="SimSun" w:cs="SimSun" w:eastAsia="SimSun" w:hAnsi="SimSun"/>
          <w:b w:val="false"/>
          <w:bCs w:val="false"/>
          <w:sz w:val="24"/>
          <w:szCs w:val="24"/>
        </w:rPr>
        <w:t xml:space="preserve">：在消费REITs细分市场中占据先发优势地位</w:t>
      </w:r>
    </w:p>
    <w:p>
      <w:pPr>
        <w:spacing w:after="40" w:line="340"/>
        <w:ind w:left="480" w:hanging="0"/>
      </w:pPr>
      <w:r>
        <w:rPr>
          <w:rFonts w:ascii="SimSun" w:cs="SimSun" w:eastAsia="SimSun" w:hAnsi="SimSun"/>
          <w:b/>
          <w:bCs/>
          <w:sz w:val="24"/>
          <w:szCs w:val="24"/>
        </w:rPr>
        <w:t xml:space="preserve">品牌定位</w:t>
      </w:r>
      <w:r>
        <w:rPr>
          <w:rFonts w:ascii="SimSun" w:cs="SimSun" w:eastAsia="SimSun" w:hAnsi="SimSun"/>
          <w:b w:val="false"/>
          <w:bCs w:val="false"/>
          <w:sz w:val="24"/>
          <w:szCs w:val="24"/>
        </w:rPr>
        <w:t xml:space="preserve">：中粮集团央企信用+大悦城商业地产运营双重背书</w:t>
      </w:r>
    </w:p>
    <w:p>
      <w:pPr>
        <w:spacing w:after="60" w:line="360"/>
        <w:ind w:firstLine="480"/>
        <w:jc w:val="both"/>
      </w:pPr>
      <w:r>
        <w:rPr>
          <w:rFonts w:ascii="SimSun" w:cs="SimSun" w:eastAsia="SimSun" w:hAnsi="SimSun"/>
          <w:b w:val="false"/>
          <w:bCs w:val="false"/>
          <w:i w:val="false"/>
          <w:iCs w:val="false"/>
          <w:strike w:val="false"/>
          <w:sz w:val="24"/>
          <w:szCs w:val="24"/>
        </w:rPr>
        <w:t xml:space="preserve">这一STP概念框架解释了华夏大悦城REIT为什么选择成都大悦城作为底层资产，以及如何通过精准市场定位吸引特定投资者群体。</w:t>
      </w:r>
    </w:p>
    <w:p>
      <w:pPr>
        <w:pStyle w:val="Heading3"/>
        <w:spacing w:after="120" w:before="240"/>
      </w:pPr>
      <w:r>
        <w:rPr>
          <w:rFonts w:ascii="SimHei" w:cs="SimHei" w:eastAsia="SimHei" w:hAnsi="SimHei"/>
          <w:b/>
          <w:bCs/>
          <w:sz w:val="24"/>
          <w:szCs w:val="24"/>
        </w:rPr>
        <w:t xml:space="preserve">4.2.2 底层资产分析：成都大悦城购物中心</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3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项目</w:t>
            </w:r>
          </w:p>
        </w:tc>
        <w:tc>
          <w:tcPr>
            <w:tcW w:type="dxa" w:w="43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内容</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开业时间</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2015年12月</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运营年限</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约9年（截至2024年）</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建筑面积</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约17.25万平方米</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出租率</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97-98%（2025年）</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2023年销售额</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25.4亿元</w:t>
            </w:r>
          </w:p>
        </w:tc>
      </w:tr>
      <w:tr>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租金收缴率</w:t>
            </w:r>
          </w:p>
        </w:tc>
        <w:tc>
          <w:tcPr>
            <w:tcW w:type="dxa" w:w="43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99-100%</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数据来源：华夏大悦城REIT招募说明书+2025年各季报</w:t>
      </w:r>
    </w:p>
    <w:p>
      <w:pPr>
        <w:spacing w:after="60" w:line="360"/>
        <w:ind w:firstLine="480"/>
        <w:jc w:val="both"/>
      </w:pPr>
      <w:r>
        <w:rPr>
          <w:rFonts w:ascii="SimSun" w:cs="SimSun" w:eastAsia="SimSun" w:hAnsi="SimSun"/>
          <w:b w:val="false"/>
          <w:bCs w:val="false"/>
          <w:i w:val="false"/>
          <w:iCs w:val="false"/>
          <w:strike w:val="false"/>
          <w:sz w:val="24"/>
          <w:szCs w:val="24"/>
        </w:rPr>
        <w:t xml:space="preserve">成都大悦城作为底层资产具有以下特征：</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运营成熟</w:t>
      </w:r>
      <w:r>
        <w:rPr>
          <w:rFonts w:ascii="SimSun" w:cs="SimSun" w:eastAsia="SimSun" w:hAnsi="SimSun"/>
          <w:b w:val="false"/>
          <w:bCs w:val="false"/>
          <w:sz w:val="24"/>
          <w:szCs w:val="24"/>
        </w:rPr>
        <w:t xml:space="preserve">：运营9年，已进入稳定运营期</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收益稳定</w:t>
      </w:r>
      <w:r>
        <w:rPr>
          <w:rFonts w:ascii="SimSun" w:cs="SimSun" w:eastAsia="SimSun" w:hAnsi="SimSun"/>
          <w:b w:val="false"/>
          <w:bCs w:val="false"/>
          <w:sz w:val="24"/>
          <w:szCs w:val="24"/>
        </w:rPr>
        <w:t xml:space="preserve">：出租率97%+，租金收入可预期</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区位优势</w:t>
      </w:r>
      <w:r>
        <w:rPr>
          <w:rFonts w:ascii="SimSun" w:cs="SimSun" w:eastAsia="SimSun" w:hAnsi="SimSun"/>
          <w:b w:val="false"/>
          <w:bCs w:val="false"/>
          <w:sz w:val="24"/>
          <w:szCs w:val="24"/>
        </w:rPr>
        <w:t xml:space="preserve">：成都武侯区核心位置，客流基础扎实</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增值潜力</w:t>
      </w:r>
      <w:r>
        <w:rPr>
          <w:rFonts w:ascii="SimSun" w:cs="SimSun" w:eastAsia="SimSun" w:hAnsi="SimSun"/>
          <w:b w:val="false"/>
          <w:bCs w:val="false"/>
          <w:sz w:val="24"/>
          <w:szCs w:val="24"/>
        </w:rPr>
        <w:t xml:space="preserve">：REITs上市后租金单价同比提升3.7%</w:t>
      </w:r>
    </w:p>
    <w:p>
      <w:pPr>
        <w:pStyle w:val="Heading3"/>
        <w:spacing w:after="120" w:before="240"/>
      </w:pPr>
      <w:r>
        <w:rPr>
          <w:rFonts w:ascii="SimHei" w:cs="SimHei" w:eastAsia="SimHei" w:hAnsi="SimHei"/>
          <w:b/>
          <w:bCs/>
          <w:sz w:val="24"/>
          <w:szCs w:val="24"/>
        </w:rPr>
        <w:t xml:space="preserve">4.2.3 REITs运营全周期数据（2024Q4-2025Q4）</w:t>
      </w:r>
    </w:p>
    <w:p>
      <w:pPr>
        <w:spacing w:after="60" w:line="360"/>
        <w:ind w:firstLine="480"/>
        <w:jc w:val="both"/>
      </w:pPr>
      <w:r>
        <w:rPr>
          <w:rFonts w:ascii="SimSun" w:cs="SimSun" w:eastAsia="SimSun" w:hAnsi="SimSun"/>
          <w:b w:val="false"/>
          <w:bCs w:val="false"/>
          <w:i w:val="false"/>
          <w:iCs w:val="false"/>
          <w:strike w:val="false"/>
          <w:sz w:val="24"/>
          <w:szCs w:val="24"/>
        </w:rPr>
        <w:t xml:space="preserve">华夏大悦城REIT上市以来已完整运行5个季度，运营数据持续超预期：</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季度</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收入（万元）</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出租率</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年化分派率</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可供分配（万元）</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租金收缴率</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2025Q1</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8,469.91</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~97%</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5.46%</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4,473.76</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2025Q2</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8,223.82</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98.44%</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5.48%</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4,539.99</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99.22%</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2025Q3</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8,546.40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97.05%</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5.49%</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4,598.30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2025Q4</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8,918.04</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98.10%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5.49%</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4,601.90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100%</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2025全年</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34,158</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~97.6%</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~5.48%</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18,214</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99%+</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数据来源：华夏大悦城REIT 2025年各季度报告+2025年年报</w:t>
      </w:r>
    </w:p>
    <w:p>
      <w:pPr>
        <w:spacing w:after="60" w:line="360"/>
        <w:ind w:firstLine="480"/>
        <w:jc w:val="both"/>
      </w:pPr>
      <w:r>
        <w:rPr>
          <w:rFonts w:ascii="SimSun" w:cs="SimSun" w:eastAsia="SimSun" w:hAnsi="SimSun"/>
          <w:b/>
          <w:bCs/>
          <w:i w:val="false"/>
          <w:iCs w:val="false"/>
          <w:strike w:val="false"/>
          <w:sz w:val="24"/>
          <w:szCs w:val="24"/>
        </w:rPr>
        <w:t xml:space="preserve">REITs运营亮点</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收入逐季增长</w:t>
      </w:r>
      <w:r>
        <w:rPr>
          <w:rFonts w:ascii="SimSun" w:cs="SimSun" w:eastAsia="SimSun" w:hAnsi="SimSun"/>
          <w:b w:val="false"/>
          <w:bCs w:val="false"/>
          <w:sz w:val="24"/>
          <w:szCs w:val="24"/>
        </w:rPr>
        <w:t xml:space="preserve">：Q1→Q4从8,470万增至8,918万，Q4创单季新高</w:t>
      </w:r>
    </w:p>
    <w:p>
      <w:pPr>
        <w:spacing w:after="40" w:line="340"/>
        <w:ind w:left="480" w:hanging="0"/>
      </w:pPr>
      <w:r>
        <w:rPr>
          <w:rFonts w:ascii="SimSun" w:cs="SimSun" w:eastAsia="SimSun" w:hAnsi="SimSun"/>
          <w:b/>
          <w:bCs/>
          <w:sz w:val="24"/>
          <w:szCs w:val="24"/>
        </w:rPr>
        <w:t xml:space="preserve">出租率维持高位</w:t>
      </w:r>
      <w:r>
        <w:rPr>
          <w:rFonts w:ascii="SimSun" w:cs="SimSun" w:eastAsia="SimSun" w:hAnsi="SimSun"/>
          <w:b w:val="false"/>
          <w:bCs w:val="false"/>
          <w:sz w:val="24"/>
          <w:szCs w:val="24"/>
        </w:rPr>
        <w:t xml:space="preserve">：全年平均~97.6%，持续高于招募说明书预测</w:t>
      </w:r>
    </w:p>
    <w:p>
      <w:pPr>
        <w:spacing w:after="40" w:line="340"/>
        <w:ind w:left="480" w:hanging="0"/>
      </w:pPr>
      <w:r>
        <w:rPr>
          <w:rFonts w:ascii="SimSun" w:cs="SimSun" w:eastAsia="SimSun" w:hAnsi="SimSun"/>
          <w:b/>
          <w:bCs/>
          <w:sz w:val="24"/>
          <w:szCs w:val="24"/>
        </w:rPr>
        <w:t xml:space="preserve">分派率稳定超预期</w:t>
      </w:r>
      <w:r>
        <w:rPr>
          <w:rFonts w:ascii="SimSun" w:cs="SimSun" w:eastAsia="SimSun" w:hAnsi="SimSun"/>
          <w:b w:val="false"/>
          <w:bCs w:val="false"/>
          <w:sz w:val="24"/>
          <w:szCs w:val="24"/>
        </w:rPr>
        <w:t xml:space="preserve">：年化5.46-5.49%，持续高于5.25-5.36%的预测值</w:t>
      </w:r>
    </w:p>
    <w:p>
      <w:pPr>
        <w:spacing w:after="40" w:line="340"/>
        <w:ind w:left="480" w:hanging="0"/>
      </w:pPr>
      <w:r>
        <w:rPr>
          <w:rFonts w:ascii="SimSun" w:cs="SimSun" w:eastAsia="SimSun" w:hAnsi="SimSun"/>
          <w:b/>
          <w:bCs/>
          <w:sz w:val="24"/>
          <w:szCs w:val="24"/>
        </w:rPr>
        <w:t xml:space="preserve">2025年实际分配1.95亿元</w:t>
      </w:r>
      <w:r>
        <w:rPr>
          <w:rFonts w:ascii="SimSun" w:cs="SimSun" w:eastAsia="SimSun" w:hAnsi="SimSun"/>
          <w:b w:val="false"/>
          <w:bCs w:val="false"/>
          <w:sz w:val="24"/>
          <w:szCs w:val="24"/>
        </w:rPr>
        <w:t xml:space="preserve">，为投资者提供稳定回报</w:t>
      </w:r>
    </w:p>
    <w:p>
      <w:pPr>
        <w:pStyle w:val="Heading3"/>
        <w:spacing w:after="120" w:before="240"/>
      </w:pPr>
      <w:r>
        <w:rPr>
          <w:rFonts w:ascii="SimHei" w:cs="SimHei" w:eastAsia="SimHei" w:hAnsi="SimHei"/>
          <w:b/>
          <w:bCs/>
          <w:sz w:val="24"/>
          <w:szCs w:val="24"/>
        </w:rPr>
        <w:t xml:space="preserve">4.2.4 REITs发行的5D分析</w:t>
      </w:r>
    </w:p>
    <w:p>
      <w:pPr>
        <w:spacing w:after="60" w:line="360"/>
        <w:ind w:firstLine="480"/>
        <w:jc w:val="both"/>
      </w:pPr>
      <w:r>
        <w:rPr>
          <w:rFonts w:ascii="SimSun" w:cs="SimSun" w:eastAsia="SimSun" w:hAnsi="SimSun"/>
          <w:b w:val="false"/>
          <w:bCs w:val="false"/>
          <w:i w:val="false"/>
          <w:iCs w:val="false"/>
          <w:strike w:val="false"/>
          <w:sz w:val="24"/>
          <w:szCs w:val="24"/>
        </w:rPr>
        <w:t xml:space="preserve">基于5D框架的补充分析：</w:t>
      </w:r>
    </w:p>
    <w:p>
      <w:pPr>
        <w:spacing w:after="60" w:line="360"/>
        <w:ind w:firstLine="480"/>
        <w:jc w:val="both"/>
      </w:pPr>
      <w:r>
        <w:rPr>
          <w:rFonts w:ascii="SimSun" w:cs="SimSun" w:eastAsia="SimSun" w:hAnsi="SimSun"/>
          <w:b/>
          <w:bCs/>
          <w:i w:val="false"/>
          <w:iCs w:val="false"/>
          <w:strike w:val="false"/>
          <w:sz w:val="24"/>
          <w:szCs w:val="24"/>
        </w:rPr>
        <w:t xml:space="preserve">筛选维度</w:t>
      </w:r>
      <w:r>
        <w:rPr>
          <w:rFonts w:ascii="SimSun" w:cs="SimSun" w:eastAsia="SimSun" w:hAnsi="SimSun"/>
          <w:b w:val="false"/>
          <w:bCs w:val="false"/>
          <w:i w:val="false"/>
          <w:iCs w:val="false"/>
          <w:strike w:val="false"/>
          <w:sz w:val="24"/>
          <w:szCs w:val="24"/>
        </w:rPr>
        <w:t xml:space="preserve">：成都大悦城购物中心满足消费基础设施REITs试点要求的筛选标准——运营年限≥3年、收益率≥4%（实际5.48%）、权属清晰。</w:t>
      </w:r>
    </w:p>
    <w:p>
      <w:pPr>
        <w:spacing w:after="60" w:line="360"/>
        <w:ind w:firstLine="480"/>
        <w:jc w:val="both"/>
      </w:pPr>
      <w:r>
        <w:rPr>
          <w:rFonts w:ascii="SimSun" w:cs="SimSun" w:eastAsia="SimSun" w:hAnsi="SimSun"/>
          <w:b/>
          <w:bCs/>
          <w:i w:val="false"/>
          <w:iCs w:val="false"/>
          <w:strike w:val="false"/>
          <w:sz w:val="24"/>
          <w:szCs w:val="24"/>
        </w:rPr>
        <w:t xml:space="preserve">结构设计</w:t>
      </w:r>
      <w:r>
        <w:rPr>
          <w:rFonts w:ascii="SimSun" w:cs="SimSun" w:eastAsia="SimSun" w:hAnsi="SimSun"/>
          <w:b w:val="false"/>
          <w:bCs w:val="false"/>
          <w:i w:val="false"/>
          <w:iCs w:val="false"/>
          <w:strike w:val="false"/>
          <w:sz w:val="24"/>
          <w:szCs w:val="24"/>
        </w:rPr>
        <w:t xml:space="preserve">：采用"公募基金+ABS"的双层架构，符合中国REITs市场的标准产品结构。</w:t>
      </w:r>
    </w:p>
    <w:p>
      <w:pPr>
        <w:spacing w:after="60" w:line="360"/>
        <w:ind w:firstLine="480"/>
        <w:jc w:val="both"/>
      </w:pPr>
      <w:r>
        <w:rPr>
          <w:rFonts w:ascii="SimSun" w:cs="SimSun" w:eastAsia="SimSun" w:hAnsi="SimSun"/>
          <w:b/>
          <w:bCs/>
          <w:i w:val="false"/>
          <w:iCs w:val="false"/>
          <w:strike w:val="false"/>
          <w:sz w:val="24"/>
          <w:szCs w:val="24"/>
        </w:rPr>
        <w:t xml:space="preserve">运营管理</w:t>
      </w:r>
      <w:r>
        <w:rPr>
          <w:rFonts w:ascii="SimSun" w:cs="SimSun" w:eastAsia="SimSun" w:hAnsi="SimSun"/>
          <w:b w:val="false"/>
          <w:bCs w:val="false"/>
          <w:i w:val="false"/>
          <w:iCs w:val="false"/>
          <w:strike w:val="false"/>
          <w:sz w:val="24"/>
          <w:szCs w:val="24"/>
        </w:rPr>
        <w:t xml:space="preserve">：大悦城商业运营管理（天津）有限公司持续担任运营管理机构，运营管理能力稳定，2025年租金单价同比提升3.7%至377.29元/平方米/月。</w:t>
      </w:r>
    </w:p>
    <w:p>
      <w:pPr>
        <w:spacing w:after="60" w:line="360"/>
        <w:ind w:firstLine="480"/>
        <w:jc w:val="both"/>
      </w:pPr>
      <w:r>
        <w:rPr>
          <w:rFonts w:ascii="SimSun" w:cs="SimSun" w:eastAsia="SimSun" w:hAnsi="SimSun"/>
          <w:b/>
          <w:bCs/>
          <w:i w:val="false"/>
          <w:iCs w:val="false"/>
          <w:strike w:val="false"/>
          <w:sz w:val="24"/>
          <w:szCs w:val="24"/>
        </w:rPr>
        <w:t xml:space="preserve">风险评估</w:t>
      </w:r>
      <w:r>
        <w:rPr>
          <w:rFonts w:ascii="SimSun" w:cs="SimSun" w:eastAsia="SimSun" w:hAnsi="SimSun"/>
          <w:b w:val="false"/>
          <w:bCs w:val="false"/>
          <w:i w:val="false"/>
          <w:iCs w:val="false"/>
          <w:strike w:val="false"/>
          <w:sz w:val="24"/>
          <w:szCs w:val="24"/>
        </w:rPr>
        <w:t xml:space="preserve">：单一资产风险仍存，但228万平方米扩募储备提供了潜在的增长空间。</w:t>
      </w:r>
    </w:p>
    <w:p>
      <w:pPr>
        <w:pStyle w:val="Heading2"/>
        <w:spacing w:after="180" w:before="360"/>
      </w:pPr>
      <w:r>
        <w:rPr>
          <w:rFonts w:ascii="SimHei" w:cs="SimHei" w:eastAsia="SimHei" w:hAnsi="SimHei"/>
          <w:b/>
          <w:bCs/>
          <w:sz w:val="28"/>
          <w:szCs w:val="28"/>
        </w:rPr>
        <w:t xml:space="preserve">4.3 财务指标趋势对比分析</w:t>
      </w:r>
    </w:p>
    <w:p>
      <w:pPr>
        <w:pStyle w:val="Heading3"/>
        <w:spacing w:after="120" w:before="240"/>
      </w:pPr>
      <w:r>
        <w:rPr>
          <w:rFonts w:ascii="SimHei" w:cs="SimHei" w:eastAsia="SimHei" w:hAnsi="SimHei"/>
          <w:b/>
          <w:bCs/>
          <w:sz w:val="24"/>
          <w:szCs w:val="24"/>
        </w:rPr>
        <w:t xml:space="preserve">4.3.1 整体财务趋势（2019-2025年）</w:t>
      </w:r>
    </w:p>
    <w:p>
      <w:pPr>
        <w:spacing w:after="60" w:line="360"/>
        <w:ind w:firstLine="480"/>
        <w:jc w:val="both"/>
      </w:pPr>
      <w:r>
        <w:rPr>
          <w:rFonts w:ascii="SimSun" w:cs="SimSun" w:eastAsia="SimSun" w:hAnsi="SimSun"/>
          <w:b/>
          <w:bCs/>
          <w:i w:val="false"/>
          <w:iCs w:val="false"/>
          <w:strike w:val="false"/>
          <w:sz w:val="24"/>
          <w:szCs w:val="24"/>
        </w:rPr>
        <w:t xml:space="preserve">大悦城核心财务指标时间序列</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2019</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2020</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2021</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2022</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2023</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2025E</w:t>
            </w:r>
          </w:p>
        </w:tc>
        <w:tc>
          <w:tcPr>
            <w:tcW w:type="dxa" w:w="962"/>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趋势判断</w:t>
            </w:r>
          </w:p>
        </w:tc>
      </w:tr>
      <w:tr>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营业收入（亿元）</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337.87</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384.45</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426.14</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395.79</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367.83</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357.91</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~320</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持续下降</w:t>
            </w:r>
          </w:p>
        </w:tc>
      </w:tr>
      <w:tr>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净利润（亿元）</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37.05</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-3.87</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1.08</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-28.83</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-14.65</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-29.77</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-27~-21</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减亏</w:t>
            </w:r>
          </w:p>
        </w:tc>
      </w:tr>
      <w:tr>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经营现金流（亿元）</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40.65</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98.14</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71.00</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27.10</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106.42</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66.17</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剧烈波动</w:t>
            </w:r>
          </w:p>
        </w:tc>
      </w:tr>
      <w:tr>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总资产（亿元）</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1351</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1538</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1705</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1583</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1981</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1786</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波动收缩</w:t>
            </w:r>
          </w:p>
        </w:tc>
      </w:tr>
      <w:tr>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净利润率</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10.97%</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-1.01%</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0.25%</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-7.28%</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-3.98%</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-8.32%</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改善中</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转折</w:t>
            </w:r>
          </w:p>
        </w:tc>
      </w:tr>
      <w:tr>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综合毛利率</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~22.59%</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36.35%(H1)</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大幅提升</w:t>
            </w:r>
          </w:p>
        </w:tc>
      </w:tr>
      <w:tr>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综合融资成本</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~4.06%</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3.64%</w:t>
            </w:r>
          </w:p>
        </w:tc>
        <w:tc>
          <w:tcPr>
            <w:tcW w:type="dxa" w:w="962"/>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下降</w:t>
            </w:r>
          </w:p>
        </w:tc>
      </w:tr>
    </w:tbl>
    <w:p>
      <w:pPr>
        <w:spacing w:after="120"/>
      </w:pPr>
    </w:p>
    <w:p>
      <w:pPr>
        <w:pStyle w:val="Heading3"/>
        <w:spacing w:after="120" w:before="240"/>
      </w:pPr>
      <w:r>
        <w:rPr>
          <w:rFonts w:ascii="SimHei" w:cs="SimHei" w:eastAsia="SimHei" w:hAnsi="SimHei"/>
          <w:b/>
          <w:bCs/>
          <w:sz w:val="24"/>
          <w:szCs w:val="24"/>
        </w:rPr>
        <w:t xml:space="preserve">4.3.2 REITs发行前后对比（中长期视角）</w:t>
      </w:r>
    </w:p>
    <w:p>
      <w:pPr>
        <w:spacing w:after="60" w:line="360"/>
        <w:ind w:firstLine="480"/>
        <w:jc w:val="both"/>
      </w:pPr>
      <w:r>
        <w:rPr>
          <w:rFonts w:ascii="SimSun" w:cs="SimSun" w:eastAsia="SimSun" w:hAnsi="SimSun"/>
          <w:b w:val="false"/>
          <w:bCs w:val="false"/>
          <w:i w:val="false"/>
          <w:iCs w:val="false"/>
          <w:strike w:val="false"/>
          <w:sz w:val="24"/>
          <w:szCs w:val="24"/>
        </w:rPr>
        <w:t xml:space="preserve">以2024年5月24日华夏大悦城REIT申报为分界点，将分析期间分为"发行前"（2019-2023年）、"发行过渡期"（2024年）、"发行后"（2025年起）三个阶段。</w:t>
      </w:r>
    </w:p>
    <w:p>
      <w:pPr>
        <w:spacing w:after="60" w:line="360"/>
        <w:ind w:firstLine="480"/>
        <w:jc w:val="both"/>
      </w:pPr>
      <w:r>
        <w:rPr>
          <w:rFonts w:ascii="SimSun" w:cs="SimSun" w:eastAsia="SimSun" w:hAnsi="SimSun"/>
          <w:b/>
          <w:bCs/>
          <w:i w:val="false"/>
          <w:iCs w:val="false"/>
          <w:strike w:val="false"/>
          <w:sz w:val="24"/>
          <w:szCs w:val="24"/>
        </w:rPr>
        <w:t xml:space="preserve">发行前后关键指标对比</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发行前均值(2019-2023)</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过渡期(2024)</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发行后(2025H1/预告)</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变化趋势</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验证判断</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营业收入</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382.42亿元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357.91亿元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~320亿（E）</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持续下降</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行业收缩</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净利润</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-1.84亿元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-29.77亿元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-27~-21亿（E）</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减亏</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改善方向</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综合毛利率</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~22.59%</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36.35%</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大幅提升</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显著改善</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经营现金流比率</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18.00%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18.49%</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17.65%(H1)</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基本稳定</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需更长观察</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综合融资成本</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~4.06%</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3.64%</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下降42bp</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显著改善</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新增借款成本</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2.85%</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极低成本</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信用优势</w:t>
            </w:r>
          </w:p>
        </w:tc>
      </w:tr>
    </w:tbl>
    <w:p>
      <w:pPr>
        <w:spacing w:after="120"/>
      </w:pPr>
    </w:p>
    <w:p>
      <w:pPr>
        <w:spacing w:after="60" w:line="320"/>
        <w:ind w:left="400"/>
      </w:pPr>
      <w:r>
        <w:rPr>
          <w:rFonts w:ascii="SimSun" w:cs="SimSun" w:eastAsia="SimSun" w:hAnsi="SimSun"/>
          <w:b/>
          <w:bCs/>
          <w:i/>
          <w:iCs/>
          <w:color w:val="555555"/>
          <w:sz w:val="21"/>
          <w:szCs w:val="21"/>
        </w:rPr>
        <w:t xml:space="preserve">中长期发现</w:t>
      </w:r>
      <w:r>
        <w:rPr>
          <w:rFonts w:ascii="SimSun" w:cs="SimSun" w:eastAsia="SimSun" w:hAnsi="SimSun"/>
          <w:b w:val="false"/>
          <w:bCs w:val="false"/>
          <w:i/>
          <w:iCs/>
          <w:color w:val="555555"/>
          <w:sz w:val="21"/>
          <w:szCs w:val="21"/>
        </w:rPr>
        <w:t xml:space="preserve">：相比2024年"短期验证"阶段仅能确认"方向性改善"，2025年数据为REITs对大悦城的中长期影响提供了</w:t>
      </w:r>
      <w:r>
        <w:rPr>
          <w:rFonts w:ascii="SimSun" w:cs="SimSun" w:eastAsia="SimSun" w:hAnsi="SimSun"/>
          <w:b/>
          <w:bCs/>
          <w:i/>
          <w:iCs/>
          <w:color w:val="555555"/>
          <w:sz w:val="21"/>
          <w:szCs w:val="21"/>
        </w:rPr>
        <w:t xml:space="preserve">实质性验证证据</w:t>
      </w:r>
      <w:r>
        <w:rPr>
          <w:rFonts w:ascii="SimSun" w:cs="SimSun" w:eastAsia="SimSun" w:hAnsi="SimSun"/>
          <w:b w:val="false"/>
          <w:bCs w:val="false"/>
          <w:i/>
          <w:iCs/>
          <w:color w:val="555555"/>
          <w:sz w:val="21"/>
          <w:szCs w:val="21"/>
        </w:rPr>
        <w:t xml:space="preserve">。毛利率和融资成本的改善是最显著的两个维度，全年减亏趋势进一步确认了REITs发行后企业财务状况的边际改善。</w:t>
      </w:r>
    </w:p>
    <w:p>
      <w:pPr>
        <w:pStyle w:val="Heading3"/>
        <w:spacing w:after="120" w:before="240"/>
      </w:pPr>
      <w:r>
        <w:rPr>
          <w:rFonts w:ascii="SimHei" w:cs="SimHei" w:eastAsia="SimHei" w:hAnsi="SimHei"/>
          <w:b/>
          <w:bCs/>
          <w:sz w:val="24"/>
          <w:szCs w:val="24"/>
        </w:rPr>
        <w:t xml:space="preserve">4.3.3 关键事件时间线（延伸至2025年）</w:t>
      </w:r>
    </w:p>
    <w:p>
      <w:pPr>
        <w:spacing w:after="0" w:line="280"/>
        <w:ind w:left="360"/>
      </w:pPr>
      <w:r>
        <w:rPr>
          <w:rFonts w:ascii="Courier New" w:cs="Courier New" w:eastAsia="Courier New" w:hAnsi="Courier New"/>
          <w:color w:val="333333"/>
          <w:sz w:val="18"/>
          <w:szCs w:val="18"/>
        </w:rPr>
        <w:t xml:space="preserve">2019年：营收337.87亿，净利润37.05亿（历史高点）</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2020年：首次年度亏损-3.87亿</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2021年：微利1.08亿，营收426.14亿（历史高点）</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2022年：亏损加剧-28.83亿，经营现金流仅27.10亿（最低点）</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2023年：亏损收窄-14.65亿，经营现金流大幅反弹106.42亿</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2024年5月：申报华夏大悦城REIT ← 关键事件</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2024年9月：华夏大悦城REIT上市（180603）</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2024年：净利润-29.77亿（亏损扩大），但现金流比率改善</w:t>
      </w:r>
    </w:p>
    <w:p>
      <w:pPr>
        <w:spacing w:after="0" w:line="280"/>
        <w:ind w:left="360"/>
      </w:pPr>
      <w:r>
        <w:rPr>
          <w:rFonts w:ascii="Courier New" w:cs="Courier New" w:eastAsia="Courier New" w:hAnsi="Courier New"/>
          <w:color w:val="333333"/>
          <w:sz w:val="18"/>
          <w:szCs w:val="18"/>
        </w:rPr>
        <w:t xml:space="preserve">  ↓ 【短期验证→中长期跟踪验证分界】</w:t>
      </w:r>
    </w:p>
    <w:p>
      <w:pPr>
        <w:spacing w:after="0" w:line="280"/>
        <w:ind w:left="360"/>
      </w:pPr>
      <w:r>
        <w:rPr>
          <w:rFonts w:ascii="Courier New" w:cs="Courier New" w:eastAsia="Courier New" w:hAnsi="Courier New"/>
          <w:color w:val="333333"/>
          <w:sz w:val="18"/>
          <w:szCs w:val="18"/>
        </w:rPr>
        <w:t xml:space="preserve">2025年H1：净利润7.48亿（扭亏为盈！），毛利率36.35%，融资成本3.64%</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2025年Q1-Q4：REITs运营超预期，分派率5.48%，出租率97-98%</w:t>
      </w:r>
    </w:p>
    <w:p>
      <w:pPr>
        <w:spacing w:after="0" w:line="280"/>
        <w:ind w:left="360"/>
      </w:pPr>
      <w:r>
        <w:rPr>
          <w:rFonts w:ascii="Courier New" w:cs="Courier New" w:eastAsia="Courier New" w:hAnsi="Courier New"/>
          <w:color w:val="333333"/>
          <w:sz w:val="18"/>
          <w:szCs w:val="18"/>
        </w:rPr>
        <w:t xml:space="preserve">  ↓</w:t>
      </w:r>
    </w:p>
    <w:p>
      <w:pPr>
        <w:spacing w:after="0" w:line="280"/>
        <w:ind w:left="360"/>
      </w:pPr>
      <w:r>
        <w:rPr>
          <w:rFonts w:ascii="Courier New" w:cs="Courier New" w:eastAsia="Courier New" w:hAnsi="Courier New"/>
          <w:color w:val="333333"/>
          <w:sz w:val="18"/>
          <w:szCs w:val="18"/>
        </w:rPr>
        <w:t xml:space="preserve">2025年全年：归母净利润-27~-21亿（减亏9-29%），中长期改善趋势确认</w:t>
      </w:r>
    </w:p>
    <w:p>
      <w:pPr>
        <w:pStyle w:val="Heading2"/>
        <w:spacing w:after="180" w:before="360"/>
      </w:pPr>
      <w:r>
        <w:rPr>
          <w:rFonts w:ascii="SimHei" w:cs="SimHei" w:eastAsia="SimHei" w:hAnsi="SimHei"/>
          <w:b/>
          <w:bCs/>
          <w:sz w:val="28"/>
          <w:szCs w:val="28"/>
        </w:rPr>
        <w:t xml:space="preserve">4.4 四机制中长期跟踪验证</w:t>
      </w:r>
    </w:p>
    <w:p>
      <w:pPr>
        <w:pStyle w:val="Heading3"/>
        <w:spacing w:after="120" w:before="240"/>
      </w:pPr>
      <w:r>
        <w:rPr>
          <w:rFonts w:ascii="SimHei" w:cs="SimHei" w:eastAsia="SimHei" w:hAnsi="SimHei"/>
          <w:b/>
          <w:bCs/>
          <w:sz w:val="24"/>
          <w:szCs w:val="24"/>
        </w:rPr>
        <w:t xml:space="preserve">4.4.1 机制一：融资结构优化</w:t>
      </w:r>
    </w:p>
    <w:p>
      <w:pPr>
        <w:spacing w:after="60" w:line="360"/>
        <w:ind w:firstLine="480"/>
        <w:jc w:val="both"/>
      </w:pPr>
      <w:r>
        <w:rPr>
          <w:rFonts w:ascii="SimSun" w:cs="SimSun" w:eastAsia="SimSun" w:hAnsi="SimSun"/>
          <w:b/>
          <w:bCs/>
          <w:i w:val="false"/>
          <w:iCs w:val="false"/>
          <w:strike w:val="false"/>
          <w:sz w:val="24"/>
          <w:szCs w:val="24"/>
        </w:rPr>
        <w:t xml:space="preserve">理论预期</w:t>
      </w:r>
      <w:r>
        <w:rPr>
          <w:rFonts w:ascii="SimSun" w:cs="SimSun" w:eastAsia="SimSun" w:hAnsi="SimSun"/>
          <w:b w:val="false"/>
          <w:bCs w:val="false"/>
          <w:i w:val="false"/>
          <w:iCs w:val="false"/>
          <w:strike w:val="false"/>
          <w:sz w:val="24"/>
          <w:szCs w:val="24"/>
        </w:rPr>
        <w:t xml:space="preserve">：REITs发行 → 资产出表/资金回笼 → 降低债务依赖 → 融资成本下降</w:t>
      </w:r>
    </w:p>
    <w:p>
      <w:pPr>
        <w:spacing w:after="60" w:line="360"/>
        <w:ind w:firstLine="480"/>
        <w:jc w:val="both"/>
      </w:pPr>
      <w:r>
        <w:rPr>
          <w:rFonts w:ascii="SimSun" w:cs="SimSun" w:eastAsia="SimSun" w:hAnsi="SimSun"/>
          <w:b/>
          <w:bCs/>
          <w:i w:val="false"/>
          <w:iCs w:val="false"/>
          <w:strike w:val="false"/>
          <w:sz w:val="24"/>
          <w:szCs w:val="24"/>
        </w:rPr>
        <w:t xml:space="preserve">中长期实证检验</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2022</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2023</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2025H1/预告</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中长期趋势</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传导机制验证</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总资产（亿元）</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1,583</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1,981</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1,786</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REITs出表</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方向确认</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总负债（亿元）</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798</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需补充数据</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跟踪中</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资产负债率</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~60.70%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~59.03%*</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下降</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初步改善</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综合融资成本</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~4.06%</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3.64%</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下降42bp</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显著验证</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新增借款成本</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2.85%</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极低成本</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显著验证</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主体信用评级</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AAA</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AAA</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AAA</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AAA（维持）</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稳定</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信用优势</w:t>
            </w:r>
          </w:p>
        </w:tc>
      </w:tr>
    </w:tbl>
    <w:p>
      <w:pPr>
        <w:spacing w:after="120"/>
      </w:pPr>
    </w:p>
    <w:p>
      <w:pPr>
        <w:spacing w:after="60" w:line="320"/>
        <w:ind w:left="400"/>
      </w:pPr>
      <w:r>
        <w:rPr>
          <w:rFonts w:ascii="SimSun" w:cs="SimSun" w:eastAsia="SimSun" w:hAnsi="SimSun"/>
          <w:b w:val="false"/>
          <w:bCs w:val="false"/>
          <w:i/>
          <w:iCs/>
          <w:color w:val="555555"/>
          <w:sz w:val="21"/>
          <w:szCs w:val="21"/>
        </w:rPr>
        <w:t xml:space="preserve">*2024年资产负债率来自网易文章，可能不完全对应A股大悦城控股。</w:t>
      </w:r>
    </w:p>
    <w:p>
      <w:pPr>
        <w:spacing w:after="60" w:line="360"/>
        <w:ind w:firstLine="480"/>
        <w:jc w:val="both"/>
      </w:pPr>
      <w:r>
        <w:rPr>
          <w:rFonts w:ascii="SimSun" w:cs="SimSun" w:eastAsia="SimSun" w:hAnsi="SimSun"/>
          <w:b/>
          <w:bCs/>
          <w:i w:val="false"/>
          <w:iCs w:val="false"/>
          <w:strike w:val="false"/>
          <w:sz w:val="24"/>
          <w:szCs w:val="24"/>
        </w:rPr>
        <w:t xml:space="preserve">中长期结论</w:t>
      </w:r>
      <w:r>
        <w:rPr>
          <w:rFonts w:ascii="SimSun" w:cs="SimSun" w:eastAsia="SimSun" w:hAnsi="SimSun"/>
          <w:b w:val="false"/>
          <w:bCs w:val="false"/>
          <w:i w:val="false"/>
          <w:iCs w:val="false"/>
          <w:strike w:val="false"/>
          <w:sz w:val="24"/>
          <w:szCs w:val="24"/>
        </w:rPr>
        <w:t xml:space="preserve">：融资结构优化机制得到</w:t>
      </w:r>
      <w:r>
        <w:rPr>
          <w:rFonts w:ascii="SimSun" w:cs="SimSun" w:eastAsia="SimSun" w:hAnsi="SimSun"/>
          <w:b/>
          <w:bCs/>
          <w:i w:val="false"/>
          <w:iCs w:val="false"/>
          <w:strike w:val="false"/>
          <w:sz w:val="24"/>
          <w:szCs w:val="24"/>
        </w:rPr>
        <w:t xml:space="preserve">实质性验证</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融资成本显著下降</w:t>
      </w:r>
      <w:r>
        <w:rPr>
          <w:rFonts w:ascii="SimSun" w:cs="SimSun" w:eastAsia="SimSun" w:hAnsi="SimSun"/>
          <w:b w:val="false"/>
          <w:bCs w:val="false"/>
          <w:sz w:val="24"/>
          <w:szCs w:val="24"/>
        </w:rPr>
        <w:t xml:space="preserve">：综合融资成本从~4.06%降至3.64%（-42bp），新增借款成本仅2.85%，这反映了REITs发行后市场对大悦城信用质量的认可</w:t>
      </w:r>
    </w:p>
    <w:p>
      <w:pPr>
        <w:spacing w:after="40" w:line="340"/>
        <w:ind w:left="480" w:hanging="0"/>
      </w:pPr>
      <w:r>
        <w:rPr>
          <w:rFonts w:ascii="SimSun" w:cs="SimSun" w:eastAsia="SimSun" w:hAnsi="SimSun"/>
          <w:b/>
          <w:bCs/>
          <w:sz w:val="24"/>
          <w:szCs w:val="24"/>
        </w:rPr>
        <w:t xml:space="preserve">信用评级维持AAA</w:t>
      </w:r>
      <w:r>
        <w:rPr>
          <w:rFonts w:ascii="SimSun" w:cs="SimSun" w:eastAsia="SimSun" w:hAnsi="SimSun"/>
          <w:b w:val="false"/>
          <w:bCs w:val="false"/>
          <w:sz w:val="24"/>
          <w:szCs w:val="24"/>
        </w:rPr>
        <w:t xml:space="preserve">：中诚信国际、中证鹏元维持AAA评级，说明REITs出表并未削弱信用资质</w:t>
      </w:r>
    </w:p>
    <w:p>
      <w:pPr>
        <w:spacing w:after="40" w:line="340"/>
        <w:ind w:left="480" w:hanging="0"/>
      </w:pPr>
      <w:r>
        <w:rPr>
          <w:rFonts w:ascii="SimSun" w:cs="SimSun" w:eastAsia="SimSun" w:hAnsi="SimSun"/>
          <w:b/>
          <w:bCs/>
          <w:sz w:val="24"/>
          <w:szCs w:val="24"/>
        </w:rPr>
        <w:t xml:space="preserve">REITs资金回笼效应</w:t>
      </w:r>
      <w:r>
        <w:rPr>
          <w:rFonts w:ascii="SimSun" w:cs="SimSun" w:eastAsia="SimSun" w:hAnsi="SimSun"/>
          <w:b w:val="false"/>
          <w:bCs w:val="false"/>
          <w:sz w:val="24"/>
          <w:szCs w:val="24"/>
        </w:rPr>
        <w:t xml:space="preserve">：33.23亿元发行规模虽相对总负债比例有限（约4.1%），但改善信号意义大于金额意义</w:t>
      </w:r>
    </w:p>
    <w:p>
      <w:pPr>
        <w:spacing w:after="40" w:line="340"/>
        <w:ind w:left="480" w:hanging="0"/>
      </w:pPr>
      <w:r>
        <w:rPr>
          <w:rFonts w:ascii="SimSun" w:cs="SimSun" w:eastAsia="SimSun" w:hAnsi="SimSun"/>
          <w:b/>
          <w:bCs/>
          <w:sz w:val="24"/>
          <w:szCs w:val="24"/>
        </w:rPr>
        <w:t xml:space="preserve">需进一步验证</w:t>
      </w:r>
      <w:r>
        <w:rPr>
          <w:rFonts w:ascii="SimSun" w:cs="SimSun" w:eastAsia="SimSun" w:hAnsi="SimSun"/>
          <w:b w:val="false"/>
          <w:bCs w:val="false"/>
          <w:sz w:val="24"/>
          <w:szCs w:val="24"/>
        </w:rPr>
        <w:t xml:space="preserve">：总负债绝对值变化、资产负债率的年度完整数据</w:t>
      </w:r>
    </w:p>
    <w:p>
      <w:pPr>
        <w:pStyle w:val="Heading3"/>
        <w:spacing w:after="120" w:before="240"/>
      </w:pPr>
      <w:r>
        <w:rPr>
          <w:rFonts w:ascii="SimHei" w:cs="SimHei" w:eastAsia="SimHei" w:hAnsi="SimHei"/>
          <w:b/>
          <w:bCs/>
          <w:sz w:val="24"/>
          <w:szCs w:val="24"/>
        </w:rPr>
        <w:t xml:space="preserve">4.4.2 机制二：现金流改善</w:t>
      </w:r>
    </w:p>
    <w:p>
      <w:pPr>
        <w:spacing w:after="60" w:line="360"/>
        <w:ind w:firstLine="480"/>
        <w:jc w:val="both"/>
      </w:pPr>
      <w:r>
        <w:rPr>
          <w:rFonts w:ascii="SimSun" w:cs="SimSun" w:eastAsia="SimSun" w:hAnsi="SimSun"/>
          <w:b/>
          <w:bCs/>
          <w:i w:val="false"/>
          <w:iCs w:val="false"/>
          <w:strike w:val="false"/>
          <w:sz w:val="24"/>
          <w:szCs w:val="24"/>
        </w:rPr>
        <w:t xml:space="preserve">理论预期</w:t>
      </w:r>
      <w:r>
        <w:rPr>
          <w:rFonts w:ascii="SimSun" w:cs="SimSun" w:eastAsia="SimSun" w:hAnsi="SimSun"/>
          <w:b w:val="false"/>
          <w:bCs w:val="false"/>
          <w:i w:val="false"/>
          <w:iCs w:val="false"/>
          <w:strike w:val="false"/>
          <w:sz w:val="24"/>
          <w:szCs w:val="24"/>
        </w:rPr>
        <w:t xml:space="preserve">：REITs发行 → 一次性现金流入 + 持续分红收入 → 经营现金流改善</w:t>
      </w:r>
    </w:p>
    <w:p>
      <w:pPr>
        <w:spacing w:after="60" w:line="360"/>
        <w:ind w:firstLine="480"/>
        <w:jc w:val="both"/>
      </w:pPr>
      <w:r>
        <w:rPr>
          <w:rFonts w:ascii="SimSun" w:cs="SimSun" w:eastAsia="SimSun" w:hAnsi="SimSun"/>
          <w:b/>
          <w:bCs/>
          <w:i w:val="false"/>
          <w:iCs w:val="false"/>
          <w:strike w:val="false"/>
          <w:sz w:val="24"/>
          <w:szCs w:val="24"/>
        </w:rPr>
        <w:t xml:space="preserve">中长期实证检验</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2022</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2023</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2025H1</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中长期趋势</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运作机制验证</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经营现金流（亿元）</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27.10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106.42</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66.17</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26.87</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需全年数据</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经营现金流同比</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-61.86%</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+292.69%</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-37.82%</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+38.15%</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转正</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改善方向</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REITs分派收入</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~0.98亿(H1)</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持续贡献</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稳定来源</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REITs全年分配</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1.95亿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超预期</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稳定来源</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中长期结论</w:t>
      </w:r>
      <w:r>
        <w:rPr>
          <w:rFonts w:ascii="SimSun" w:cs="SimSun" w:eastAsia="SimSun" w:hAnsi="SimSun"/>
          <w:b w:val="false"/>
          <w:bCs w:val="false"/>
          <w:i w:val="false"/>
          <w:iCs w:val="false"/>
          <w:strike w:val="false"/>
          <w:sz w:val="24"/>
          <w:szCs w:val="24"/>
        </w:rPr>
        <w:t xml:space="preserve">：现金流改善运作机制得到</w:t>
      </w:r>
      <w:r>
        <w:rPr>
          <w:rFonts w:ascii="SimSun" w:cs="SimSun" w:eastAsia="SimSun" w:hAnsi="SimSun"/>
          <w:b/>
          <w:bCs/>
          <w:i w:val="false"/>
          <w:iCs w:val="false"/>
          <w:strike w:val="false"/>
          <w:sz w:val="24"/>
          <w:szCs w:val="24"/>
        </w:rPr>
        <w:t xml:space="preserve">初步中长期验证</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经营现金流同比转正</w:t>
      </w:r>
      <w:r>
        <w:rPr>
          <w:rFonts w:ascii="SimSun" w:cs="SimSun" w:eastAsia="SimSun" w:hAnsi="SimSun"/>
          <w:b w:val="false"/>
          <w:bCs w:val="false"/>
          <w:sz w:val="24"/>
          <w:szCs w:val="24"/>
        </w:rPr>
        <w:t xml:space="preserve">：2025H1同比增长38.15%，扭转2024年-37.82%的下降趋势</w:t>
      </w:r>
    </w:p>
    <w:p>
      <w:pPr>
        <w:spacing w:after="40" w:line="340"/>
        <w:ind w:left="480" w:hanging="0"/>
      </w:pPr>
      <w:r>
        <w:rPr>
          <w:rFonts w:ascii="SimSun" w:cs="SimSun" w:eastAsia="SimSun" w:hAnsi="SimSun"/>
          <w:b/>
          <w:bCs/>
          <w:sz w:val="24"/>
          <w:szCs w:val="24"/>
        </w:rPr>
        <w:t xml:space="preserve">REITs分派贡献稳定</w:t>
      </w:r>
      <w:r>
        <w:rPr>
          <w:rFonts w:ascii="SimSun" w:cs="SimSun" w:eastAsia="SimSun" w:hAnsi="SimSun"/>
          <w:b w:val="false"/>
          <w:bCs w:val="false"/>
          <w:sz w:val="24"/>
          <w:szCs w:val="24"/>
        </w:rPr>
        <w:t xml:space="preserve">：2025年全年分配1.95亿元，为大悦城提供持续稳定的现金流入</w:t>
      </w:r>
    </w:p>
    <w:p>
      <w:pPr>
        <w:spacing w:after="40" w:line="340"/>
        <w:ind w:left="480" w:hanging="0"/>
      </w:pPr>
      <w:r>
        <w:rPr>
          <w:rFonts w:ascii="SimSun" w:cs="SimSun" w:eastAsia="SimSun" w:hAnsi="SimSun"/>
          <w:b/>
          <w:bCs/>
          <w:sz w:val="24"/>
          <w:szCs w:val="24"/>
        </w:rPr>
        <w:t xml:space="preserve">一次性vs持续性</w:t>
      </w:r>
      <w:r>
        <w:rPr>
          <w:rFonts w:ascii="SimSun" w:cs="SimSun" w:eastAsia="SimSun" w:hAnsi="SimSun"/>
          <w:b w:val="false"/>
          <w:bCs w:val="false"/>
          <w:sz w:val="24"/>
          <w:szCs w:val="24"/>
        </w:rPr>
        <w:t xml:space="preserve">：REITs发行的一次性现金流入（33.23亿）主要体现在筹资现金流，但持续的REITs分派收入（约2亿/年）为经营现金流提供了新的稳定来源</w:t>
      </w:r>
    </w:p>
    <w:p>
      <w:pPr>
        <w:spacing w:after="40" w:line="340"/>
        <w:ind w:left="480" w:hanging="0"/>
      </w:pPr>
      <w:r>
        <w:rPr>
          <w:rFonts w:ascii="SimSun" w:cs="SimSun" w:eastAsia="SimSun" w:hAnsi="SimSun"/>
          <w:b/>
          <w:bCs/>
          <w:sz w:val="24"/>
          <w:szCs w:val="24"/>
        </w:rPr>
        <w:t xml:space="preserve">需全年数据确认</w:t>
      </w:r>
      <w:r>
        <w:rPr>
          <w:rFonts w:ascii="SimSun" w:cs="SimSun" w:eastAsia="SimSun" w:hAnsi="SimSun"/>
          <w:b w:val="false"/>
          <w:bCs w:val="false"/>
          <w:sz w:val="24"/>
          <w:szCs w:val="24"/>
        </w:rPr>
        <w:t xml:space="preserve">：经营现金流的年度完整数据将进一步验证此机制</w:t>
      </w:r>
    </w:p>
    <w:p>
      <w:pPr>
        <w:pStyle w:val="Heading3"/>
        <w:spacing w:after="120" w:before="240"/>
      </w:pPr>
      <w:r>
        <w:rPr>
          <w:rFonts w:ascii="SimHei" w:cs="SimHei" w:eastAsia="SimHei" w:hAnsi="SimHei"/>
          <w:b/>
          <w:bCs/>
          <w:sz w:val="24"/>
          <w:szCs w:val="24"/>
        </w:rPr>
        <w:t xml:space="preserve">4.4.3 机制三：资产负债重构</w:t>
      </w:r>
    </w:p>
    <w:p>
      <w:pPr>
        <w:spacing w:after="60" w:line="360"/>
        <w:ind w:firstLine="480"/>
        <w:jc w:val="both"/>
      </w:pPr>
      <w:r>
        <w:rPr>
          <w:rFonts w:ascii="SimSun" w:cs="SimSun" w:eastAsia="SimSun" w:hAnsi="SimSun"/>
          <w:b/>
          <w:bCs/>
          <w:i w:val="false"/>
          <w:iCs w:val="false"/>
          <w:strike w:val="false"/>
          <w:sz w:val="24"/>
          <w:szCs w:val="24"/>
        </w:rPr>
        <w:t xml:space="preserve">理论预期</w:t>
      </w:r>
      <w:r>
        <w:rPr>
          <w:rFonts w:ascii="SimSun" w:cs="SimSun" w:eastAsia="SimSun" w:hAnsi="SimSun"/>
          <w:b w:val="false"/>
          <w:bCs w:val="false"/>
          <w:i w:val="false"/>
          <w:iCs w:val="false"/>
          <w:strike w:val="false"/>
          <w:sz w:val="24"/>
          <w:szCs w:val="24"/>
        </w:rPr>
        <w:t xml:space="preserve">：REITs发行 → 重资产出表 → 轻资产转型 → 资产周转率提升</w:t>
      </w:r>
    </w:p>
    <w:p>
      <w:pPr>
        <w:spacing w:after="60" w:line="360"/>
        <w:ind w:firstLine="480"/>
        <w:jc w:val="both"/>
      </w:pPr>
      <w:r>
        <w:rPr>
          <w:rFonts w:ascii="SimSun" w:cs="SimSun" w:eastAsia="SimSun" w:hAnsi="SimSun"/>
          <w:b/>
          <w:bCs/>
          <w:i w:val="false"/>
          <w:iCs w:val="false"/>
          <w:strike w:val="false"/>
          <w:sz w:val="24"/>
          <w:szCs w:val="24"/>
        </w:rPr>
        <w:t xml:space="preserve">中长期实证检验</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2022</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2023</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2025E</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中长期趋势</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机制验证</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总资产周转率</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0.25</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0.19</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0.20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需全年数据</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跟踪中</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综合毛利率</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~22.59%</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36.35%</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大幅提升</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质量改善</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REITs底层资产运营</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出租率96%+</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出租率97-98%</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持续提升</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运营优化</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中长期结论</w:t>
      </w:r>
      <w:r>
        <w:rPr>
          <w:rFonts w:ascii="SimSun" w:cs="SimSun" w:eastAsia="SimSun" w:hAnsi="SimSun"/>
          <w:b w:val="false"/>
          <w:bCs w:val="false"/>
          <w:i w:val="false"/>
          <w:iCs w:val="false"/>
          <w:strike w:val="false"/>
          <w:sz w:val="24"/>
          <w:szCs w:val="24"/>
        </w:rPr>
        <w:t xml:space="preserve">：资产负债重构运作机制得到</w:t>
      </w:r>
      <w:r>
        <w:rPr>
          <w:rFonts w:ascii="SimSun" w:cs="SimSun" w:eastAsia="SimSun" w:hAnsi="SimSun"/>
          <w:b/>
          <w:bCs/>
          <w:i w:val="false"/>
          <w:iCs w:val="false"/>
          <w:strike w:val="false"/>
          <w:sz w:val="24"/>
          <w:szCs w:val="24"/>
        </w:rPr>
        <w:t xml:space="preserve">部分中长期验证</w:t>
      </w:r>
      <w:r>
        <w:rPr>
          <w:rFonts w:ascii="SimSun" w:cs="SimSun" w:eastAsia="SimSun" w:hAnsi="SimSun"/>
          <w:b w:val="false"/>
          <w:bCs w:val="false"/>
          <w:i w:val="false"/>
          <w:iCs w:val="false"/>
          <w:strike w:val="false"/>
          <w:sz w:val="24"/>
          <w:szCs w:val="24"/>
        </w:rPr>
        <w:t xml:space="preserve">，但效果维度从"量"转向"质"。</w:t>
      </w:r>
    </w:p>
    <w:p>
      <w:pPr>
        <w:spacing w:after="40" w:line="340"/>
        <w:ind w:left="480" w:hanging="0"/>
      </w:pPr>
      <w:r>
        <w:rPr>
          <w:rFonts w:ascii="SimSun" w:cs="SimSun" w:eastAsia="SimSun" w:hAnsi="SimSun"/>
          <w:b/>
          <w:bCs/>
          <w:sz w:val="24"/>
          <w:szCs w:val="24"/>
        </w:rPr>
        <w:t xml:space="preserve">从"轻资产化"到"质量提升"</w:t>
      </w:r>
      <w:r>
        <w:rPr>
          <w:rFonts w:ascii="SimSun" w:cs="SimSun" w:eastAsia="SimSun" w:hAnsi="SimSun"/>
          <w:b w:val="false"/>
          <w:bCs w:val="false"/>
          <w:sz w:val="24"/>
          <w:szCs w:val="24"/>
        </w:rPr>
        <w:t xml:space="preserve">：REITs出表推动总资产下降，但更至关重要的是</w:t>
      </w:r>
      <w:r>
        <w:rPr>
          <w:rFonts w:ascii="SimSun" w:cs="SimSun" w:eastAsia="SimSun" w:hAnsi="SimSun"/>
          <w:b/>
          <w:bCs/>
          <w:sz w:val="24"/>
          <w:szCs w:val="24"/>
        </w:rPr>
        <w:t xml:space="preserve">毛利率从22.59%提升至36.35%</w:t>
      </w:r>
      <w:r>
        <w:rPr>
          <w:rFonts w:ascii="SimSun" w:cs="SimSun" w:eastAsia="SimSun" w:hAnsi="SimSun"/>
          <w:b w:val="false"/>
          <w:bCs w:val="false"/>
          <w:sz w:val="24"/>
          <w:szCs w:val="24"/>
        </w:rPr>
        <w:t xml:space="preserve">（+13.76pp），这说明公司正在从低利润率的开发销售模式转向高利润率的持有运营模式</w:t>
      </w:r>
    </w:p>
    <w:p>
      <w:pPr>
        <w:spacing w:after="40" w:line="340"/>
        <w:ind w:left="480" w:hanging="0"/>
      </w:pPr>
      <w:r>
        <w:rPr>
          <w:rFonts w:ascii="SimSun" w:cs="SimSun" w:eastAsia="SimSun" w:hAnsi="SimSun"/>
          <w:b/>
          <w:bCs/>
          <w:sz w:val="24"/>
          <w:szCs w:val="24"/>
        </w:rPr>
        <w:t xml:space="preserve">资产质量改善</w:t>
      </w:r>
      <w:r>
        <w:rPr>
          <w:rFonts w:ascii="SimSun" w:cs="SimSun" w:eastAsia="SimSun" w:hAnsi="SimSun"/>
          <w:b w:val="false"/>
          <w:bCs w:val="false"/>
          <w:sz w:val="24"/>
          <w:szCs w:val="24"/>
        </w:rPr>
        <w:t xml:space="preserve">：出表的成都大悦城虽然减少了合并报表资产，但REITs的持续运营数据显示底层资产质量持续提升（出租率97-98%，租金单价同比+3.7%）</w:t>
      </w:r>
    </w:p>
    <w:p>
      <w:pPr>
        <w:spacing w:after="40" w:line="340"/>
        <w:ind w:left="480" w:hanging="0"/>
      </w:pPr>
      <w:r>
        <w:rPr>
          <w:rFonts w:ascii="SimSun" w:cs="SimSun" w:eastAsia="SimSun" w:hAnsi="SimSun"/>
          <w:b/>
          <w:bCs/>
          <w:sz w:val="24"/>
          <w:szCs w:val="24"/>
        </w:rPr>
        <w:t xml:space="preserve">转型方向确认</w:t>
      </w:r>
      <w:r>
        <w:rPr>
          <w:rFonts w:ascii="SimSun" w:cs="SimSun" w:eastAsia="SimSun" w:hAnsi="SimSun"/>
          <w:b w:val="false"/>
          <w:bCs w:val="false"/>
          <w:sz w:val="24"/>
          <w:szCs w:val="24"/>
        </w:rPr>
        <w:t xml:space="preserve">：REITs推动了大悦城从"重资产开发"向"轻资产运营"的渐进式转型</w:t>
      </w:r>
    </w:p>
    <w:p>
      <w:pPr>
        <w:pStyle w:val="Heading3"/>
        <w:spacing w:after="120" w:before="240"/>
      </w:pPr>
      <w:r>
        <w:rPr>
          <w:rFonts w:ascii="SimHei" w:cs="SimHei" w:eastAsia="SimHei" w:hAnsi="SimHei"/>
          <w:b/>
          <w:bCs/>
          <w:sz w:val="24"/>
          <w:szCs w:val="24"/>
        </w:rPr>
        <w:t xml:space="preserve">4.4.4 机制四：运营效率提升</w:t>
      </w:r>
    </w:p>
    <w:p>
      <w:pPr>
        <w:spacing w:after="60" w:line="360"/>
        <w:ind w:firstLine="480"/>
        <w:jc w:val="both"/>
      </w:pPr>
      <w:r>
        <w:rPr>
          <w:rFonts w:ascii="SimSun" w:cs="SimSun" w:eastAsia="SimSun" w:hAnsi="SimSun"/>
          <w:b/>
          <w:bCs/>
          <w:i w:val="false"/>
          <w:iCs w:val="false"/>
          <w:strike w:val="false"/>
          <w:sz w:val="24"/>
          <w:szCs w:val="24"/>
        </w:rPr>
        <w:t xml:space="preserve">理论预期</w:t>
      </w:r>
      <w:r>
        <w:rPr>
          <w:rFonts w:ascii="SimSun" w:cs="SimSun" w:eastAsia="SimSun" w:hAnsi="SimSun"/>
          <w:b w:val="false"/>
          <w:bCs w:val="false"/>
          <w:i w:val="false"/>
          <w:iCs w:val="false"/>
          <w:strike w:val="false"/>
          <w:sz w:val="24"/>
          <w:szCs w:val="24"/>
        </w:rPr>
        <w:t xml:space="preserve">：REITs专业化运营 → 底层资产运营效率提升 → 租金收入增长</w:t>
      </w:r>
    </w:p>
    <w:p>
      <w:pPr>
        <w:spacing w:after="60" w:line="360"/>
        <w:ind w:firstLine="480"/>
        <w:jc w:val="both"/>
      </w:pPr>
      <w:r>
        <w:rPr>
          <w:rFonts w:ascii="SimSun" w:cs="SimSun" w:eastAsia="SimSun" w:hAnsi="SimSun"/>
          <w:b/>
          <w:bCs/>
          <w:i w:val="false"/>
          <w:iCs w:val="false"/>
          <w:strike w:val="false"/>
          <w:sz w:val="24"/>
          <w:szCs w:val="24"/>
        </w:rPr>
        <w:t xml:space="preserve">中长期实证检验</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REITs发行前</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2025Q1</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2025Q2</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2025Q3</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2025Q4</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中长期趋势</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机制验证</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成都大悦城出租率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96%+</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~97%</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98.44%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97.05%</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维持高位</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验证</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平均租金单价</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377.29元/m²/月</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同比+3.7%</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提升</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租金收缴率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99.22%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优秀</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高效</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REITs年化分派率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预测5.25-5.36%</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5.46%</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5.48%</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5.49%</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5.49%</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持续超预期</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显著验证</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中长期结论</w:t>
      </w:r>
      <w:r>
        <w:rPr>
          <w:rFonts w:ascii="SimSun" w:cs="SimSun" w:eastAsia="SimSun" w:hAnsi="SimSun"/>
          <w:b w:val="false"/>
          <w:bCs w:val="false"/>
          <w:i w:val="false"/>
          <w:iCs w:val="false"/>
          <w:strike w:val="false"/>
          <w:sz w:val="24"/>
          <w:szCs w:val="24"/>
        </w:rPr>
        <w:t xml:space="preserve">：运营效率提升影响机制得到</w:t>
      </w:r>
      <w:r>
        <w:rPr>
          <w:rFonts w:ascii="SimSun" w:cs="SimSun" w:eastAsia="SimSun" w:hAnsi="SimSun"/>
          <w:b/>
          <w:bCs/>
          <w:i w:val="false"/>
          <w:iCs w:val="false"/>
          <w:strike w:val="false"/>
          <w:sz w:val="24"/>
          <w:szCs w:val="24"/>
        </w:rPr>
        <w:t xml:space="preserve">最充分的中长期验证</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出租率持续提升</w:t>
      </w:r>
      <w:r>
        <w:rPr>
          <w:rFonts w:ascii="SimSun" w:cs="SimSun" w:eastAsia="SimSun" w:hAnsi="SimSun"/>
          <w:b w:val="false"/>
          <w:bCs w:val="false"/>
          <w:sz w:val="24"/>
          <w:szCs w:val="24"/>
        </w:rPr>
        <w:t xml:space="preserve">：从上市前的96%+提升至2025年的97-98%，创历史新高</w:t>
      </w:r>
    </w:p>
    <w:p>
      <w:pPr>
        <w:spacing w:after="40" w:line="340"/>
        <w:ind w:left="480" w:hanging="0"/>
      </w:pPr>
      <w:r>
        <w:rPr>
          <w:rFonts w:ascii="SimSun" w:cs="SimSun" w:eastAsia="SimSun" w:hAnsi="SimSun"/>
          <w:b/>
          <w:bCs/>
          <w:sz w:val="24"/>
          <w:szCs w:val="24"/>
        </w:rPr>
        <w:t xml:space="preserve">租金单价增长</w:t>
      </w:r>
      <w:r>
        <w:rPr>
          <w:rFonts w:ascii="SimSun" w:cs="SimSun" w:eastAsia="SimSun" w:hAnsi="SimSun"/>
          <w:b w:val="false"/>
          <w:bCs w:val="false"/>
          <w:sz w:val="24"/>
          <w:szCs w:val="24"/>
        </w:rPr>
        <w:t xml:space="preserve">：同比提升3.7%至377.29元/平方米/月，体现定价能力</w:t>
      </w:r>
    </w:p>
    <w:p>
      <w:pPr>
        <w:spacing w:after="40" w:line="340"/>
        <w:ind w:left="480" w:hanging="0"/>
      </w:pPr>
      <w:r>
        <w:rPr>
          <w:rFonts w:ascii="SimSun" w:cs="SimSun" w:eastAsia="SimSun" w:hAnsi="SimSun"/>
          <w:b/>
          <w:bCs/>
          <w:sz w:val="24"/>
          <w:szCs w:val="24"/>
        </w:rPr>
        <w:t xml:space="preserve">分派率持续超预期</w:t>
      </w:r>
      <w:r>
        <w:rPr>
          <w:rFonts w:ascii="SimSun" w:cs="SimSun" w:eastAsia="SimSun" w:hAnsi="SimSun"/>
          <w:b w:val="false"/>
          <w:bCs w:val="false"/>
          <w:sz w:val="24"/>
          <w:szCs w:val="24"/>
        </w:rPr>
        <w:t xml:space="preserve">：各季度分派率5.46-5.49%，均高于招募说明书预测的5.25-5.36%</w:t>
      </w:r>
    </w:p>
    <w:p>
      <w:pPr>
        <w:spacing w:after="40" w:line="340"/>
        <w:ind w:left="480" w:hanging="0"/>
      </w:pPr>
      <w:r>
        <w:rPr>
          <w:rFonts w:ascii="SimSun" w:cs="SimSun" w:eastAsia="SimSun" w:hAnsi="SimSun"/>
          <w:b/>
          <w:bCs/>
          <w:sz w:val="24"/>
          <w:szCs w:val="24"/>
        </w:rPr>
        <w:t xml:space="preserve">首店经济策略见效</w:t>
      </w:r>
      <w:r>
        <w:rPr>
          <w:rFonts w:ascii="SimSun" w:cs="SimSun" w:eastAsia="SimSun" w:hAnsi="SimSun"/>
          <w:b w:val="false"/>
          <w:bCs w:val="false"/>
          <w:sz w:val="24"/>
          <w:szCs w:val="24"/>
        </w:rPr>
        <w:t xml:space="preserve">：2025年上半年引入多家特色首店，增强客流和品牌吸引力</w:t>
      </w:r>
    </w:p>
    <w:p>
      <w:pPr>
        <w:spacing w:after="40" w:line="340"/>
        <w:ind w:left="480" w:hanging="0"/>
      </w:pPr>
      <w:r>
        <w:rPr>
          <w:rFonts w:ascii="SimSun" w:cs="SimSun" w:eastAsia="SimSun" w:hAnsi="SimSun"/>
          <w:b/>
          <w:bCs/>
          <w:sz w:val="24"/>
          <w:szCs w:val="24"/>
        </w:rPr>
        <w:t xml:space="preserve">收缴率接近100%</w:t>
      </w:r>
      <w:r>
        <w:rPr>
          <w:rFonts w:ascii="SimSun" w:cs="SimSun" w:eastAsia="SimSun" w:hAnsi="SimSun"/>
          <w:b w:val="false"/>
          <w:bCs w:val="false"/>
          <w:sz w:val="24"/>
          <w:szCs w:val="24"/>
        </w:rPr>
        <w:t xml:space="preserve">：Q4租金收缴率100%，Q2为99.22%，体现了极高的运营效率</w:t>
      </w:r>
    </w:p>
    <w:p>
      <w:pPr>
        <w:pStyle w:val="Heading3"/>
        <w:spacing w:after="120" w:before="240"/>
      </w:pPr>
      <w:r>
        <w:rPr>
          <w:rFonts w:ascii="SimHei" w:cs="SimHei" w:eastAsia="SimHei" w:hAnsi="SimHei"/>
          <w:b/>
          <w:bCs/>
          <w:sz w:val="24"/>
          <w:szCs w:val="24"/>
        </w:rPr>
        <w:t xml:space="preserve">4.4.5 四机制中长期验证小结</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作用机制</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短期验证(3个月)</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中长期验证(12个月+)</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验证升级</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置信度</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融资结构优化</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初步验证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实质性验证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高</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现金流改善</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短期未验证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初步验证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中</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资产负债重构</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微幅验证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部分验证</w:t>
            </w:r>
            <w:r>
              <w:rPr>
                <w:rFonts w:ascii="SimSun" w:cs="SimSun" w:eastAsia="SimSun" w:hAnsi="SimSun"/>
                <w:b w:val="false"/>
                <w:bCs w:val="false"/>
                <w:i w:val="false"/>
                <w:iCs w:val="false"/>
                <w:strike w:val="false"/>
                <w:sz w:val="20"/>
                <w:szCs w:val="20"/>
              </w:rPr>
              <w:t xml:space="preserve">（质&gt;量）</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中</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运营效率提升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数据不足</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充分验证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高</w:t>
            </w:r>
          </w:p>
        </w:tc>
      </w:tr>
    </w:tbl>
    <w:p>
      <w:pPr>
        <w:spacing w:after="120"/>
      </w:pPr>
    </w:p>
    <w:p>
      <w:pPr>
        <w:spacing w:after="60" w:line="320"/>
        <w:ind w:left="400"/>
      </w:pPr>
      <w:r>
        <w:rPr>
          <w:rFonts w:ascii="SimSun" w:cs="SimSun" w:eastAsia="SimSun" w:hAnsi="SimSun"/>
          <w:b/>
          <w:bCs/>
          <w:i/>
          <w:iCs/>
          <w:color w:val="555555"/>
          <w:sz w:val="21"/>
          <w:szCs w:val="21"/>
        </w:rPr>
        <w:t xml:space="preserve">核心发现</w:t>
      </w:r>
      <w:r>
        <w:rPr>
          <w:rFonts w:ascii="SimSun" w:cs="SimSun" w:eastAsia="SimSun" w:hAnsi="SimSun"/>
          <w:b w:val="false"/>
          <w:bCs w:val="false"/>
          <w:i/>
          <w:iCs/>
          <w:color w:val="555555"/>
          <w:sz w:val="21"/>
          <w:szCs w:val="21"/>
        </w:rPr>
        <w:t xml:space="preserve">：时间窗口延伸至2025年后，四影响机制的验证状态发生</w:t>
      </w:r>
      <w:r>
        <w:rPr>
          <w:rFonts w:ascii="SimSun" w:cs="SimSun" w:eastAsia="SimSun" w:hAnsi="SimSun"/>
          <w:b/>
          <w:bCs/>
          <w:i/>
          <w:iCs/>
          <w:color w:val="555555"/>
          <w:sz w:val="21"/>
          <w:szCs w:val="21"/>
        </w:rPr>
        <w:t xml:space="preserve">系统性升级</w:t>
      </w:r>
      <w:r>
        <w:rPr>
          <w:rFonts w:ascii="SimSun" w:cs="SimSun" w:eastAsia="SimSun" w:hAnsi="SimSun"/>
          <w:b w:val="false"/>
          <w:bCs w:val="false"/>
          <w:i/>
          <w:iCs/>
          <w:color w:val="555555"/>
          <w:sz w:val="21"/>
          <w:szCs w:val="21"/>
        </w:rPr>
        <w:t xml:space="preserve">。2024年9月REITs上市时仅3个月数据，四影响机制中两个未验证、两个仅初步验证；</w:t>
      </w:r>
      <w:r>
        <w:rPr>
          <w:rFonts w:ascii="SimSun" w:cs="SimSun" w:eastAsia="SimSun" w:hAnsi="SimSun"/>
          <w:b/>
          <w:bCs/>
          <w:i/>
          <w:iCs/>
          <w:color w:val="555555"/>
          <w:sz w:val="21"/>
          <w:szCs w:val="21"/>
        </w:rPr>
        <w:t xml:space="preserve">2025年数据覆盖REITs完整运营年度后，四影响机制全部获得中长期验证</w:t>
      </w:r>
      <w:r>
        <w:rPr>
          <w:rFonts w:ascii="SimSun" w:cs="SimSun" w:eastAsia="SimSun" w:hAnsi="SimSun"/>
          <w:b w:val="false"/>
          <w:bCs w:val="false"/>
          <w:i/>
          <w:iCs/>
          <w:color w:val="555555"/>
          <w:sz w:val="21"/>
          <w:szCs w:val="21"/>
        </w:rPr>
        <w:t xml:space="preserve">，其中融资结构优化和运营效率提升达到高置信度。</w:t>
      </w:r>
    </w:p>
    <w:p>
      <w:pPr>
        <w:spacing w:after="60" w:line="360"/>
        <w:ind w:firstLine="480"/>
        <w:jc w:val="both"/>
      </w:pPr>
      <w:r>
        <w:rPr>
          <w:rFonts w:ascii="SimSun" w:cs="SimSun" w:eastAsia="SimSun" w:hAnsi="SimSun"/>
          <w:b/>
          <w:bCs/>
          <w:i w:val="false"/>
          <w:iCs w:val="false"/>
          <w:strike w:val="false"/>
          <w:sz w:val="24"/>
          <w:szCs w:val="24"/>
        </w:rPr>
        <w:t xml:space="preserve">机制验证的时间维度特征</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传导机制</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短期可见(0-3月)</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中期显现(3-12月)</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长期深化(12月+)</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融资结构优化</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融资成本信号</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融资成本实质下降</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债务结构优化</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现金流改善</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一次性收入混淆</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REITs分派持续贡献</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经营现金流稳定性</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资产负债重构</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资产出表</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毛利率质量提升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轻资产模式成熟</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运营效率提升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数据不足</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出租率/租金/分派率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扩募增值效应</w:t>
            </w:r>
          </w:p>
        </w:tc>
      </w:tr>
    </w:tbl>
    <w:p>
      <w:pPr>
        <w:spacing w:after="120"/>
      </w:pPr>
    </w:p>
    <w:p>
      <w:pPr>
        <w:pStyle w:val="Heading2"/>
        <w:spacing w:after="180" w:before="360"/>
      </w:pPr>
      <w:r>
        <w:rPr>
          <w:rFonts w:ascii="SimHei" w:cs="SimHei" w:eastAsia="SimHei" w:hAnsi="SimHei"/>
          <w:b/>
          <w:bCs/>
          <w:sz w:val="28"/>
          <w:szCs w:val="28"/>
        </w:rPr>
        <w:t xml:space="preserve">4.5 5D补充视角分析</w:t>
      </w:r>
    </w:p>
    <w:p>
      <w:pPr>
        <w:pStyle w:val="Heading3"/>
        <w:spacing w:after="120" w:before="240"/>
      </w:pPr>
      <w:r>
        <w:rPr>
          <w:rFonts w:ascii="SimHei" w:cs="SimHei" w:eastAsia="SimHei" w:hAnsi="SimHei"/>
          <w:b/>
          <w:bCs/>
          <w:sz w:val="24"/>
          <w:szCs w:val="24"/>
        </w:rPr>
        <w:t xml:space="preserve">4.5.1 筛选维度</w:t>
      </w:r>
    </w:p>
    <w:p>
      <w:pPr>
        <w:spacing w:after="60" w:line="360"/>
        <w:ind w:firstLine="480"/>
        <w:jc w:val="both"/>
      </w:pPr>
      <w:r>
        <w:rPr>
          <w:rFonts w:ascii="SimSun" w:cs="SimSun" w:eastAsia="SimSun" w:hAnsi="SimSun"/>
          <w:b w:val="false"/>
          <w:bCs w:val="false"/>
          <w:i w:val="false"/>
          <w:iCs w:val="false"/>
          <w:strike w:val="false"/>
          <w:sz w:val="24"/>
          <w:szCs w:val="24"/>
        </w:rPr>
        <w:t xml:space="preserve">成都大悦城购物中心能够成为REITs底层资产，满足以下筛选标准：</w:t>
      </w:r>
    </w:p>
    <w:p>
      <w:pPr>
        <w:spacing w:after="40" w:line="340"/>
        <w:ind w:left="480" w:hanging="0"/>
      </w:pPr>
      <w:r>
        <w:rPr>
          <w:rFonts w:ascii="SimSun" w:cs="SimSun" w:eastAsia="SimSun" w:hAnsi="SimSun"/>
          <w:b/>
          <w:bCs/>
          <w:sz w:val="24"/>
          <w:szCs w:val="24"/>
        </w:rPr>
        <w:t xml:space="preserve">运营年限</w:t>
      </w:r>
      <w:r>
        <w:rPr>
          <w:rFonts w:ascii="SimSun" w:cs="SimSun" w:eastAsia="SimSun" w:hAnsi="SimSun"/>
          <w:b w:val="false"/>
          <w:bCs w:val="false"/>
          <w:sz w:val="24"/>
          <w:szCs w:val="24"/>
        </w:rPr>
        <w:t xml:space="preserve">：9年（≥3年要求）✅</w:t>
      </w:r>
    </w:p>
    <w:p>
      <w:pPr>
        <w:spacing w:after="40" w:line="340"/>
        <w:ind w:left="480" w:hanging="0"/>
      </w:pPr>
      <w:r>
        <w:rPr>
          <w:rFonts w:ascii="SimSun" w:cs="SimSun" w:eastAsia="SimSun" w:hAnsi="SimSun"/>
          <w:b/>
          <w:bCs/>
          <w:sz w:val="24"/>
          <w:szCs w:val="24"/>
        </w:rPr>
        <w:t xml:space="preserve">收益率</w:t>
      </w:r>
      <w:r>
        <w:rPr>
          <w:rFonts w:ascii="SimSun" w:cs="SimSun" w:eastAsia="SimSun" w:hAnsi="SimSun"/>
          <w:b w:val="false"/>
          <w:bCs w:val="false"/>
          <w:sz w:val="24"/>
          <w:szCs w:val="24"/>
        </w:rPr>
        <w:t xml:space="preserve">：2025年实际分派率5.48%（≥4%要求，且持续超预期）✅</w:t>
      </w:r>
    </w:p>
    <w:p>
      <w:pPr>
        <w:spacing w:after="40" w:line="340"/>
        <w:ind w:left="480" w:hanging="0"/>
      </w:pPr>
      <w:r>
        <w:rPr>
          <w:rFonts w:ascii="SimSun" w:cs="SimSun" w:eastAsia="SimSun" w:hAnsi="SimSun"/>
          <w:b/>
          <w:bCs/>
          <w:sz w:val="24"/>
          <w:szCs w:val="24"/>
        </w:rPr>
        <w:t xml:space="preserve">权属清晰</w:t>
      </w:r>
      <w:r>
        <w:rPr>
          <w:rFonts w:ascii="SimSun" w:cs="SimSun" w:eastAsia="SimSun" w:hAnsi="SimSun"/>
          <w:b w:val="false"/>
          <w:bCs w:val="false"/>
          <w:sz w:val="24"/>
          <w:szCs w:val="24"/>
        </w:rPr>
        <w:t xml:space="preserve">：大悦城控股持有 ✅</w:t>
      </w:r>
    </w:p>
    <w:p>
      <w:pPr>
        <w:spacing w:after="40" w:line="340"/>
        <w:ind w:left="480" w:hanging="0"/>
      </w:pPr>
      <w:r>
        <w:rPr>
          <w:rFonts w:ascii="SimSun" w:cs="SimSun" w:eastAsia="SimSun" w:hAnsi="SimSun"/>
          <w:b/>
          <w:bCs/>
          <w:sz w:val="24"/>
          <w:szCs w:val="24"/>
        </w:rPr>
        <w:t xml:space="preserve">资产独立性</w:t>
      </w:r>
      <w:r>
        <w:rPr>
          <w:rFonts w:ascii="SimSun" w:cs="SimSun" w:eastAsia="SimSun" w:hAnsi="SimSun"/>
          <w:b w:val="false"/>
          <w:bCs w:val="false"/>
          <w:sz w:val="24"/>
          <w:szCs w:val="24"/>
        </w:rPr>
        <w:t xml:space="preserve">：独立运营的商业物业 ✅</w:t>
      </w:r>
    </w:p>
    <w:p>
      <w:pPr>
        <w:pStyle w:val="Heading3"/>
        <w:spacing w:after="120" w:before="240"/>
      </w:pPr>
      <w:r>
        <w:rPr>
          <w:rFonts w:ascii="SimHei" w:cs="SimHei" w:eastAsia="SimHei" w:hAnsi="SimHei"/>
          <w:b/>
          <w:bCs/>
          <w:sz w:val="24"/>
          <w:szCs w:val="24"/>
        </w:rPr>
        <w:t xml:space="preserve">4.5.2 结构设计</w:t>
      </w:r>
    </w:p>
    <w:p>
      <w:pPr>
        <w:spacing w:after="60" w:line="360"/>
        <w:ind w:firstLine="480"/>
        <w:jc w:val="both"/>
      </w:pPr>
      <w:r>
        <w:rPr>
          <w:rFonts w:ascii="SimSun" w:cs="SimSun" w:eastAsia="SimSun" w:hAnsi="SimSun"/>
          <w:b w:val="false"/>
          <w:bCs w:val="false"/>
          <w:i w:val="false"/>
          <w:iCs w:val="false"/>
          <w:strike w:val="false"/>
          <w:sz w:val="24"/>
          <w:szCs w:val="24"/>
        </w:rPr>
        <w:t xml:space="preserve">华夏大悦城REIT采用"公募基金+资产支持证券"的双层结构：</w:t>
      </w:r>
    </w:p>
    <w:p>
      <w:pPr>
        <w:spacing w:after="40" w:line="340"/>
        <w:ind w:left="480" w:hanging="0"/>
      </w:pPr>
      <w:r>
        <w:rPr>
          <w:rFonts w:ascii="SimSun" w:cs="SimSun" w:eastAsia="SimSun" w:hAnsi="SimSun"/>
          <w:b/>
          <w:bCs/>
          <w:sz w:val="24"/>
          <w:szCs w:val="24"/>
        </w:rPr>
        <w:t xml:space="preserve">第一层</w:t>
      </w:r>
      <w:r>
        <w:rPr>
          <w:rFonts w:ascii="SimSun" w:cs="SimSun" w:eastAsia="SimSun" w:hAnsi="SimSun"/>
          <w:b w:val="false"/>
          <w:bCs w:val="false"/>
          <w:sz w:val="24"/>
          <w:szCs w:val="24"/>
        </w:rPr>
        <w:t xml:space="preserve">：公募基金（华夏大悦城REIT），面向公众投资者募集资金</w:t>
      </w:r>
    </w:p>
    <w:p>
      <w:pPr>
        <w:spacing w:after="40" w:line="340"/>
        <w:ind w:left="480" w:hanging="0"/>
      </w:pPr>
      <w:r>
        <w:rPr>
          <w:rFonts w:ascii="SimSun" w:cs="SimSun" w:eastAsia="SimSun" w:hAnsi="SimSun"/>
          <w:b/>
          <w:bCs/>
          <w:sz w:val="24"/>
          <w:szCs w:val="24"/>
        </w:rPr>
        <w:t xml:space="preserve">第二层</w:t>
      </w:r>
      <w:r>
        <w:rPr>
          <w:rFonts w:ascii="SimSun" w:cs="SimSun" w:eastAsia="SimSun" w:hAnsi="SimSun"/>
          <w:b w:val="false"/>
          <w:bCs w:val="false"/>
          <w:sz w:val="24"/>
          <w:szCs w:val="24"/>
        </w:rPr>
        <w:t xml:space="preserve">：资产支持证券（ABS），持有底层资产的项目公司股权</w:t>
      </w:r>
    </w:p>
    <w:p>
      <w:pPr>
        <w:spacing w:after="60" w:line="360"/>
        <w:ind w:firstLine="480"/>
        <w:jc w:val="both"/>
      </w:pPr>
      <w:r>
        <w:rPr>
          <w:rFonts w:ascii="SimSun" w:cs="SimSun" w:eastAsia="SimSun" w:hAnsi="SimSun"/>
          <w:b w:val="false"/>
          <w:bCs w:val="false"/>
          <w:i w:val="false"/>
          <w:iCs w:val="false"/>
          <w:strike w:val="false"/>
          <w:sz w:val="24"/>
          <w:szCs w:val="24"/>
        </w:rPr>
        <w:t xml:space="preserve">2025年运营数据验证了该结构设计的有效性：资金归集清晰、分派机制透明、运营管理稳定。</w:t>
      </w:r>
    </w:p>
    <w:p>
      <w:pPr>
        <w:pStyle w:val="Heading3"/>
        <w:spacing w:after="120" w:before="240"/>
      </w:pPr>
      <w:r>
        <w:rPr>
          <w:rFonts w:ascii="SimHei" w:cs="SimHei" w:eastAsia="SimHei" w:hAnsi="SimHei"/>
          <w:b/>
          <w:bCs/>
          <w:sz w:val="24"/>
          <w:szCs w:val="24"/>
        </w:rPr>
        <w:t xml:space="preserve">4.5.3 运营管理</w:t>
      </w:r>
    </w:p>
    <w:p>
      <w:pPr>
        <w:spacing w:after="40" w:line="340"/>
        <w:ind w:left="480" w:hanging="0"/>
      </w:pPr>
      <w:r>
        <w:rPr>
          <w:rFonts w:ascii="SimSun" w:cs="SimSun" w:eastAsia="SimSun" w:hAnsi="SimSun"/>
          <w:b/>
          <w:bCs/>
          <w:sz w:val="24"/>
          <w:szCs w:val="24"/>
        </w:rPr>
        <w:t xml:space="preserve">运营管理机构</w:t>
      </w:r>
      <w:r>
        <w:rPr>
          <w:rFonts w:ascii="SimSun" w:cs="SimSun" w:eastAsia="SimSun" w:hAnsi="SimSun"/>
          <w:b w:val="false"/>
          <w:bCs w:val="false"/>
          <w:sz w:val="24"/>
          <w:szCs w:val="24"/>
        </w:rPr>
        <w:t xml:space="preserve">：大悦城商业运营管理（天津）有限公司，运营管理能力稳定</w:t>
      </w:r>
    </w:p>
    <w:p>
      <w:pPr>
        <w:spacing w:after="40" w:line="340"/>
        <w:ind w:left="480" w:hanging="0"/>
      </w:pPr>
      <w:r>
        <w:rPr>
          <w:rFonts w:ascii="SimSun" w:cs="SimSun" w:eastAsia="SimSun" w:hAnsi="SimSun"/>
          <w:b/>
          <w:bCs/>
          <w:sz w:val="24"/>
          <w:szCs w:val="24"/>
        </w:rPr>
        <w:t xml:space="preserve">2025年运营亮点</w:t>
      </w:r>
      <w:r>
        <w:rPr>
          <w:rFonts w:ascii="SimSun" w:cs="SimSun" w:eastAsia="SimSun" w:hAnsi="SimSun"/>
          <w:b w:val="false"/>
          <w:bCs w:val="false"/>
          <w:sz w:val="24"/>
          <w:szCs w:val="24"/>
        </w:rPr>
        <w:t xml:space="preserve">：</w:t>
      </w:r>
    </w:p>
    <w:p>
      <w:pPr>
        <w:spacing w:after="40" w:line="340"/>
        <w:ind w:left="480" w:hanging="0"/>
      </w:pPr>
      <w:r>
        <w:rPr>
          <w:rFonts w:ascii="SimSun" w:cs="SimSun" w:eastAsia="SimSun" w:hAnsi="SimSun"/>
          <w:b w:val="false"/>
          <w:bCs w:val="false"/>
          <w:sz w:val="24"/>
          <w:szCs w:val="24"/>
        </w:rPr>
        <w:t xml:space="preserve">租金单价同比提升3.7%，体现定价能力</w:t>
      </w:r>
    </w:p>
    <w:p>
      <w:pPr>
        <w:spacing w:after="40" w:line="340"/>
        <w:ind w:left="480" w:hanging="0"/>
      </w:pPr>
      <w:r>
        <w:rPr>
          <w:rFonts w:ascii="SimSun" w:cs="SimSun" w:eastAsia="SimSun" w:hAnsi="SimSun"/>
          <w:b w:val="false"/>
          <w:bCs w:val="false"/>
          <w:sz w:val="24"/>
          <w:szCs w:val="24"/>
        </w:rPr>
        <w:t xml:space="preserve">首店经济策略引入9家特色首店（Q2），增强吸引力</w:t>
      </w:r>
    </w:p>
    <w:p>
      <w:pPr>
        <w:spacing w:after="40" w:line="340"/>
        <w:ind w:left="480" w:hanging="0"/>
      </w:pPr>
      <w:r>
        <w:rPr>
          <w:rFonts w:ascii="SimSun" w:cs="SimSun" w:eastAsia="SimSun" w:hAnsi="SimSun"/>
          <w:b w:val="false"/>
          <w:bCs w:val="false"/>
          <w:sz w:val="24"/>
          <w:szCs w:val="24"/>
        </w:rPr>
        <w:t xml:space="preserve">全年租金收缴率99%+，运营效率极高</w:t>
      </w:r>
    </w:p>
    <w:p>
      <w:pPr>
        <w:spacing w:after="40" w:line="340"/>
        <w:ind w:left="480" w:hanging="0"/>
      </w:pPr>
      <w:r>
        <w:rPr>
          <w:rFonts w:ascii="SimSun" w:cs="SimSun" w:eastAsia="SimSun" w:hAnsi="SimSun"/>
          <w:b w:val="false"/>
          <w:bCs w:val="false"/>
          <w:sz w:val="24"/>
          <w:szCs w:val="24"/>
        </w:rPr>
        <w:t xml:space="preserve">Q4收入8,918万元创单季新高</w:t>
      </w:r>
    </w:p>
    <w:p>
      <w:pPr>
        <w:pStyle w:val="Heading3"/>
        <w:spacing w:after="120" w:before="240"/>
      </w:pPr>
      <w:r>
        <w:rPr>
          <w:rFonts w:ascii="SimHei" w:cs="SimHei" w:eastAsia="SimHei" w:hAnsi="SimHei"/>
          <w:b/>
          <w:bCs/>
          <w:sz w:val="24"/>
          <w:szCs w:val="24"/>
        </w:rPr>
        <w:t xml:space="preserve">4.5.4 风险评估</w:t>
      </w:r>
    </w:p>
    <w:p>
      <w:pPr>
        <w:spacing w:after="60" w:line="360"/>
        <w:ind w:firstLine="480"/>
        <w:jc w:val="both"/>
      </w:pPr>
      <w:r>
        <w:rPr>
          <w:rFonts w:ascii="SimSun" w:cs="SimSun" w:eastAsia="SimSun" w:hAnsi="SimSun"/>
          <w:b w:val="false"/>
          <w:bCs w:val="false"/>
          <w:i w:val="false"/>
          <w:iCs w:val="false"/>
          <w:strike w:val="false"/>
          <w:sz w:val="24"/>
          <w:szCs w:val="24"/>
        </w:rPr>
        <w:t xml:space="preserve">华夏大悦城REIT面临的主要风险（基于2025年运营数据更新）：</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单一资产风险</w:t>
      </w:r>
      <w:r>
        <w:rPr>
          <w:rFonts w:ascii="SimSun" w:cs="SimSun" w:eastAsia="SimSun" w:hAnsi="SimSun"/>
          <w:b w:val="false"/>
          <w:bCs w:val="false"/>
          <w:sz w:val="24"/>
          <w:szCs w:val="24"/>
        </w:rPr>
        <w:t xml:space="preserve">：底层资产仅成都大悦城一个项目，但228万平方米扩募储备可部分对冲</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区域风险</w:t>
      </w:r>
      <w:r>
        <w:rPr>
          <w:rFonts w:ascii="SimSun" w:cs="SimSun" w:eastAsia="SimSun" w:hAnsi="SimSun"/>
          <w:b w:val="false"/>
          <w:bCs w:val="false"/>
          <w:sz w:val="24"/>
          <w:szCs w:val="24"/>
        </w:rPr>
        <w:t xml:space="preserve">：成都商业地产市场竞争加剧，但成都大悦城保持非奢购物中心头部地位</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利率风险</w:t>
      </w:r>
      <w:r>
        <w:rPr>
          <w:rFonts w:ascii="SimSun" w:cs="SimSun" w:eastAsia="SimSun" w:hAnsi="SimSun"/>
          <w:b w:val="false"/>
          <w:bCs w:val="false"/>
          <w:sz w:val="24"/>
          <w:szCs w:val="24"/>
        </w:rPr>
        <w:t xml:space="preserve">：REITs分派率5.48%相对于当前市场利率仍有吸引力</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运营风险</w:t>
      </w:r>
      <w:r>
        <w:rPr>
          <w:rFonts w:ascii="SimSun" w:cs="SimSun" w:eastAsia="SimSun" w:hAnsi="SimSun"/>
          <w:b w:val="false"/>
          <w:bCs w:val="false"/>
          <w:sz w:val="24"/>
          <w:szCs w:val="24"/>
        </w:rPr>
        <w:t xml:space="preserve">：2025年运营数据全面超预期，运营风险可控</w:t>
      </w:r>
    </w:p>
    <w:p>
      <w:pPr>
        <w:pStyle w:val="Heading3"/>
        <w:spacing w:after="120" w:before="240"/>
      </w:pPr>
      <w:r>
        <w:rPr>
          <w:rFonts w:ascii="SimHei" w:cs="SimHei" w:eastAsia="SimHei" w:hAnsi="SimHei"/>
          <w:b/>
          <w:bCs/>
          <w:sz w:val="24"/>
          <w:szCs w:val="24"/>
        </w:rPr>
        <w:t xml:space="preserve">4.5.5 跨境对比视角（第5D）</w:t>
      </w:r>
    </w:p>
    <w:p>
      <w:pPr>
        <w:spacing w:after="60" w:line="360"/>
        <w:ind w:firstLine="480"/>
        <w:jc w:val="both"/>
      </w:pPr>
      <w:r>
        <w:rPr>
          <w:rFonts w:ascii="SimSun" w:cs="SimSun" w:eastAsia="SimSun" w:hAnsi="SimSun"/>
          <w:b w:val="false"/>
          <w:bCs w:val="false"/>
          <w:i w:val="false"/>
          <w:iCs w:val="false"/>
          <w:strike w:val="false"/>
          <w:sz w:val="24"/>
          <w:szCs w:val="24"/>
        </w:rPr>
        <w:t xml:space="preserve">华夏大悦城REIT作为中国消费基础设施REITs的典型代表，其运营表现可与国际REITs对标：</w:t>
      </w:r>
    </w:p>
    <w:p>
      <w:pPr>
        <w:spacing w:after="40" w:line="340"/>
        <w:ind w:left="480" w:hanging="0"/>
      </w:pPr>
      <w:r>
        <w:rPr>
          <w:rFonts w:ascii="SimSun" w:cs="SimSun" w:eastAsia="SimSun" w:hAnsi="SimSun"/>
          <w:b w:val="false"/>
          <w:bCs w:val="false"/>
          <w:sz w:val="24"/>
          <w:szCs w:val="24"/>
        </w:rPr>
        <w:t xml:space="preserve">5.48%的分派率在亚太REITs中处于中等偏上水平</w:t>
      </w:r>
    </w:p>
    <w:p>
      <w:pPr>
        <w:spacing w:after="40" w:line="340"/>
        <w:ind w:left="480" w:hanging="0"/>
      </w:pPr>
      <w:r>
        <w:rPr>
          <w:rFonts w:ascii="SimSun" w:cs="SimSun" w:eastAsia="SimSun" w:hAnsi="SimSun"/>
          <w:b w:val="false"/>
          <w:bCs w:val="false"/>
          <w:sz w:val="24"/>
          <w:szCs w:val="24"/>
        </w:rPr>
        <w:t xml:space="preserve">97-98%的出租率处于行业优秀水平</w:t>
      </w:r>
    </w:p>
    <w:p>
      <w:pPr>
        <w:spacing w:after="40" w:line="340"/>
        <w:ind w:left="480" w:hanging="0"/>
      </w:pPr>
      <w:r>
        <w:rPr>
          <w:rFonts w:ascii="SimSun" w:cs="SimSun" w:eastAsia="SimSun" w:hAnsi="SimSun"/>
          <w:b w:val="false"/>
          <w:bCs w:val="false"/>
          <w:sz w:val="24"/>
          <w:szCs w:val="24"/>
        </w:rPr>
        <w:t xml:space="preserve">但中国REITs市场的流动性和估值体系与国际市场仍有差距</w:t>
      </w:r>
    </w:p>
    <w:p>
      <w:pPr>
        <w:pStyle w:val="Heading2"/>
        <w:spacing w:after="180" w:before="360"/>
      </w:pPr>
      <w:r>
        <w:rPr>
          <w:rFonts w:ascii="SimHei" w:cs="SimHei" w:eastAsia="SimHei" w:hAnsi="SimHei"/>
          <w:b/>
          <w:bCs/>
          <w:sz w:val="28"/>
          <w:szCs w:val="28"/>
        </w:rPr>
        <w:t xml:space="preserve">4.6 案例内分析小结</w:t>
      </w:r>
    </w:p>
    <w:p>
      <w:pPr>
        <w:pStyle w:val="Heading3"/>
        <w:spacing w:after="120" w:before="240"/>
      </w:pPr>
      <w:r>
        <w:rPr>
          <w:rFonts w:ascii="SimHei" w:cs="SimHei" w:eastAsia="SimHei" w:hAnsi="SimHei"/>
          <w:b/>
          <w:bCs/>
          <w:sz w:val="24"/>
          <w:szCs w:val="24"/>
        </w:rPr>
        <w:t xml:space="preserve">4.6.1 主要发现</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大悦城财务困境出现转机</w:t>
      </w:r>
      <w:r>
        <w:rPr>
          <w:rFonts w:ascii="SimSun" w:cs="SimSun" w:eastAsia="SimSun" w:hAnsi="SimSun"/>
          <w:b w:val="false"/>
          <w:bCs w:val="false"/>
          <w:sz w:val="24"/>
          <w:szCs w:val="24"/>
        </w:rPr>
        <w:t xml:space="preserve">：2025年上半年净利润7.48亿元（扭亏为盈），综合毛利率从22.59%大幅提升至36.35%，融资成本降至3.64%，减亏趋势明确。</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四机制从中短期验证升级为中长期验证</w:t>
      </w:r>
      <w:r>
        <w:rPr>
          <w:rFonts w:ascii="SimSun" w:cs="SimSun" w:eastAsia="SimSun" w:hAnsi="SimSun"/>
          <w:b w:val="false"/>
          <w:bCs w:val="false"/>
          <w:sz w:val="24"/>
          <w:szCs w:val="24"/>
        </w:rPr>
        <w:t xml:space="preserve">：时间窗口延伸至2025年后，四机制全部获得中长期验证证据。运营效率提升机制验证最为充分（出租率97-98%、分派率5.48%持续超预期），融资结构优化机制同样达到高置信度（融资成本-42bp、新增借款2.85%）。</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REITs效应具有阶段性特征</w:t>
      </w:r>
      <w:r>
        <w:rPr>
          <w:rFonts w:ascii="SimSun" w:cs="SimSun" w:eastAsia="SimSun" w:hAnsi="SimSun"/>
          <w:b w:val="false"/>
          <w:bCs w:val="false"/>
          <w:sz w:val="24"/>
          <w:szCs w:val="24"/>
        </w:rPr>
        <w:t xml:space="preserve">：</w:t>
      </w:r>
    </w:p>
    <w:p>
      <w:pPr>
        <w:spacing w:after="40" w:line="340"/>
        <w:ind w:left="480" w:hanging="0"/>
      </w:pPr>
      <w:r>
        <w:rPr>
          <w:rFonts w:ascii="SimSun" w:cs="SimSun" w:eastAsia="SimSun" w:hAnsi="SimSun"/>
          <w:b/>
          <w:bCs/>
          <w:sz w:val="24"/>
          <w:szCs w:val="24"/>
        </w:rPr>
        <w:t xml:space="preserve">短期（0-3个月）</w:t>
      </w:r>
      <w:r>
        <w:rPr>
          <w:rFonts w:ascii="SimSun" w:cs="SimSun" w:eastAsia="SimSun" w:hAnsi="SimSun"/>
          <w:b w:val="false"/>
          <w:bCs w:val="false"/>
          <w:sz w:val="24"/>
          <w:szCs w:val="24"/>
        </w:rPr>
        <w:t xml:space="preserve">：效应有限，部分运作机制无法验证</w:t>
      </w:r>
    </w:p>
    <w:p>
      <w:pPr>
        <w:spacing w:after="40" w:line="340"/>
        <w:ind w:left="480" w:hanging="0"/>
      </w:pPr>
      <w:r>
        <w:rPr>
          <w:rFonts w:ascii="SimSun" w:cs="SimSun" w:eastAsia="SimSun" w:hAnsi="SimSun"/>
          <w:b/>
          <w:bCs/>
          <w:sz w:val="24"/>
          <w:szCs w:val="24"/>
        </w:rPr>
        <w:t xml:space="preserve">中期（3-12个月）</w:t>
      </w:r>
      <w:r>
        <w:rPr>
          <w:rFonts w:ascii="SimSun" w:cs="SimSun" w:eastAsia="SimSun" w:hAnsi="SimSun"/>
          <w:b w:val="false"/>
          <w:bCs w:val="false"/>
          <w:sz w:val="24"/>
          <w:szCs w:val="24"/>
        </w:rPr>
        <w:t xml:space="preserve">：融资成本和运营效率改善显现</w:t>
      </w:r>
    </w:p>
    <w:p>
      <w:pPr>
        <w:spacing w:after="40" w:line="340"/>
        <w:ind w:left="480" w:hanging="0"/>
      </w:pPr>
      <w:r>
        <w:rPr>
          <w:rFonts w:ascii="SimSun" w:cs="SimSun" w:eastAsia="SimSun" w:hAnsi="SimSun"/>
          <w:b/>
          <w:bCs/>
          <w:sz w:val="24"/>
          <w:szCs w:val="24"/>
        </w:rPr>
        <w:t xml:space="preserve">长期（12个月+）</w:t>
      </w:r>
      <w:r>
        <w:rPr>
          <w:rFonts w:ascii="SimSun" w:cs="SimSun" w:eastAsia="SimSun" w:hAnsi="SimSun"/>
          <w:b w:val="false"/>
          <w:bCs w:val="false"/>
          <w:sz w:val="24"/>
          <w:szCs w:val="24"/>
        </w:rPr>
        <w:t xml:space="preserve">：四运作机制全面验证，但全年仍亏损说明效应积累需要更长时间</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"质量改善"先于"规模改善"</w:t>
      </w:r>
      <w:r>
        <w:rPr>
          <w:rFonts w:ascii="SimSun" w:cs="SimSun" w:eastAsia="SimSun" w:hAnsi="SimSun"/>
          <w:b w:val="false"/>
          <w:bCs w:val="false"/>
          <w:sz w:val="24"/>
          <w:szCs w:val="24"/>
        </w:rPr>
        <w:t xml:space="preserve">：毛利率大幅提升但营收仍在下降，说明REITs推动的首先是利润质量改善，规模恢复需要更长时间。</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资产出表是双刃剑</w:t>
      </w:r>
      <w:r>
        <w:rPr>
          <w:rFonts w:ascii="SimSun" w:cs="SimSun" w:eastAsia="SimSun" w:hAnsi="SimSun"/>
          <w:b w:val="false"/>
          <w:bCs w:val="false"/>
          <w:sz w:val="24"/>
          <w:szCs w:val="24"/>
        </w:rPr>
        <w:t xml:space="preserve">：REITs出表降低了总资产和负债，但也减少了合并报表中的优质资产。2025年运营数据表明，出表资产的运营质量反而提升，这为"出表不等于失控"提供了实证支持。</w:t>
      </w:r>
    </w:p>
    <w:p>
      <w:pPr>
        <w:pStyle w:val="Heading3"/>
        <w:spacing w:after="120" w:before="240"/>
      </w:pPr>
      <w:r>
        <w:rPr>
          <w:rFonts w:ascii="SimHei" w:cs="SimHei" w:eastAsia="SimHei" w:hAnsi="SimHei"/>
          <w:b/>
          <w:bCs/>
          <w:sz w:val="24"/>
          <w:szCs w:val="24"/>
        </w:rPr>
        <w:t xml:space="preserve">4.6.2 需持续跟踪验证的问题</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2025年全年完整年报数据</w:t>
      </w:r>
      <w:r>
        <w:rPr>
          <w:rFonts w:ascii="SimSun" w:cs="SimSun" w:eastAsia="SimSun" w:hAnsi="SimSun"/>
          <w:b w:val="false"/>
          <w:bCs w:val="false"/>
          <w:sz w:val="24"/>
          <w:szCs w:val="24"/>
        </w:rPr>
        <w:t xml:space="preserve">：总资产、总负债、资产负债率的完整变化</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筹资现金流的详细分解</w:t>
      </w:r>
      <w:r>
        <w:rPr>
          <w:rFonts w:ascii="SimSun" w:cs="SimSun" w:eastAsia="SimSun" w:hAnsi="SimSun"/>
          <w:b w:val="false"/>
          <w:bCs w:val="false"/>
          <w:sz w:val="24"/>
          <w:szCs w:val="24"/>
        </w:rPr>
        <w:t xml:space="preserve">：REITs发行的一次性现金流入具体金额和使用方向</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REITs分派可持续性</w:t>
      </w:r>
      <w:r>
        <w:rPr>
          <w:rFonts w:ascii="SimSun" w:cs="SimSun" w:eastAsia="SimSun" w:hAnsi="SimSun"/>
          <w:b w:val="false"/>
          <w:bCs w:val="false"/>
          <w:sz w:val="24"/>
          <w:szCs w:val="24"/>
        </w:rPr>
        <w:t xml:space="preserve">：2025年超预期表现能否在2026年延续</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扩募进展</w:t>
      </w:r>
      <w:r>
        <w:rPr>
          <w:rFonts w:ascii="SimSun" w:cs="SimSun" w:eastAsia="SimSun" w:hAnsi="SimSun"/>
          <w:b w:val="false"/>
          <w:bCs w:val="false"/>
          <w:sz w:val="24"/>
          <w:szCs w:val="24"/>
        </w:rPr>
        <w:t xml:space="preserve">：228万平方米扩募储备的落地时间和影响</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毛利率改善的持续性</w:t>
      </w:r>
      <w:r>
        <w:rPr>
          <w:rFonts w:ascii="SimSun" w:cs="SimSun" w:eastAsia="SimSun" w:hAnsi="SimSun"/>
          <w:b w:val="false"/>
          <w:bCs w:val="false"/>
          <w:sz w:val="24"/>
          <w:szCs w:val="24"/>
        </w:rPr>
        <w:t xml:space="preserve">：36.35%是否为可持续水平</w:t>
      </w:r>
    </w:p>
    <w:p>
      <w:pPr>
        <w:pStyle w:val="Heading3"/>
        <w:spacing w:after="120" w:before="240"/>
      </w:pPr>
      <w:r>
        <w:rPr>
          <w:rFonts w:ascii="SimHei" w:cs="SimHei" w:eastAsia="SimHei" w:hAnsi="SimHei"/>
          <w:b/>
          <w:bCs/>
          <w:sz w:val="24"/>
          <w:szCs w:val="24"/>
        </w:rPr>
        <w:t xml:space="preserve">4.6.3 对论文研究假设的再评估</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研究假设</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v2.2评估(短期)</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v3.0评估(中长期)</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变化</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H1: REITs改善资产结构</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初步验证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实质性验证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H2: REITs改善现金流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未验证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初步验证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H3: REITs提升企业价值</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方向性改善</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减亏趋势确认</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H4: REITs降低融资成本</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信号改善</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实质性验证(-42bp)</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bl>
    <w:p>
      <w:pPr>
        <w:spacing w:after="120"/>
      </w:pPr>
    </w:p>
    <w:p>
      <w:pPr>
        <w:pStyle w:val="Heading2"/>
        <w:spacing w:after="180" w:before="360"/>
      </w:pPr>
      <w:r>
        <w:rPr>
          <w:rFonts w:ascii="SimHei" w:cs="SimHei" w:eastAsia="SimHei" w:hAnsi="SimHei"/>
          <w:b/>
          <w:bCs/>
          <w:sz w:val="28"/>
          <w:szCs w:val="28"/>
        </w:rPr>
        <w:t xml:space="preserve">4.7 基于SWOT的REITs战略建议</w:t>
      </w:r>
    </w:p>
    <w:p>
      <w:pPr>
        <w:spacing w:after="60" w:line="360"/>
        <w:ind w:firstLine="480"/>
        <w:jc w:val="both"/>
      </w:pPr>
      <w:r>
        <w:rPr>
          <w:rFonts w:ascii="SimSun" w:cs="SimSun" w:eastAsia="SimSun" w:hAnsi="SimSun"/>
          <w:b w:val="false"/>
          <w:bCs w:val="false"/>
          <w:i w:val="false"/>
          <w:iCs w:val="false"/>
          <w:strike w:val="false"/>
          <w:sz w:val="24"/>
          <w:szCs w:val="24"/>
        </w:rPr>
        <w:t xml:space="preserve">基于本章SWOT分析（4.1.3节）和实证发现，为大悦城提出以下REITs应用战略建议：</w:t>
      </w:r>
    </w:p>
    <w:p>
      <w:pPr>
        <w:pStyle w:val="Heading3"/>
        <w:spacing w:after="120" w:before="240"/>
      </w:pPr>
      <w:r>
        <w:rPr>
          <w:rFonts w:ascii="SimHei" w:cs="SimHei" w:eastAsia="SimHei" w:hAnsi="SimHei"/>
          <w:b/>
          <w:bCs/>
          <w:sz w:val="24"/>
          <w:szCs w:val="24"/>
        </w:rPr>
        <w:t xml:space="preserve">4.7.1 SO战略（优势-机会组合）</w:t>
      </w:r>
    </w:p>
    <w:p>
      <w:pPr>
        <w:spacing w:after="40" w:line="340"/>
        <w:ind w:left="480" w:hanging="0"/>
      </w:pPr>
      <w:r>
        <w:rPr>
          <w:rFonts w:ascii="SimSun" w:cs="SimSun" w:eastAsia="SimSun" w:hAnsi="SimSun"/>
          <w:b/>
          <w:bCs/>
          <w:sz w:val="24"/>
          <w:szCs w:val="24"/>
        </w:rPr>
        <w:t xml:space="preserve">利用央企信用+REITs政策</w:t>
      </w:r>
      <w:r>
        <w:rPr>
          <w:rFonts w:ascii="SimSun" w:cs="SimSun" w:eastAsia="SimSun" w:hAnsi="SimSun"/>
          <w:b w:val="false"/>
          <w:bCs w:val="false"/>
          <w:sz w:val="24"/>
          <w:szCs w:val="24"/>
        </w:rPr>
        <w:t xml:space="preserve">：借助中粮集团信用背书，持续申报更多REITs项目，盘活存量资产</w:t>
      </w:r>
    </w:p>
    <w:p>
      <w:pPr>
        <w:spacing w:after="40" w:line="340"/>
        <w:ind w:left="480" w:hanging="0"/>
      </w:pPr>
      <w:r>
        <w:rPr>
          <w:rFonts w:ascii="SimSun" w:cs="SimSun" w:eastAsia="SimSun" w:hAnsi="SimSun"/>
          <w:b/>
          <w:bCs/>
          <w:sz w:val="24"/>
          <w:szCs w:val="24"/>
        </w:rPr>
        <w:t xml:space="preserve">发挥品牌价值+消费升级</w:t>
      </w:r>
      <w:r>
        <w:rPr>
          <w:rFonts w:ascii="SimSun" w:cs="SimSun" w:eastAsia="SimSun" w:hAnsi="SimSun"/>
          <w:b w:val="false"/>
          <w:bCs w:val="false"/>
          <w:sz w:val="24"/>
          <w:szCs w:val="24"/>
        </w:rPr>
        <w:t xml:space="preserve">：将"大悦城"品牌与消费升级主题结合，打造特色消费基础设施REITs</w:t>
      </w:r>
    </w:p>
    <w:p>
      <w:pPr>
        <w:spacing w:after="40" w:line="340"/>
        <w:ind w:left="480" w:hanging="0"/>
      </w:pPr>
      <w:r>
        <w:rPr>
          <w:rFonts w:ascii="SimSun" w:cs="SimSun" w:eastAsia="SimSun" w:hAnsi="SimSun"/>
          <w:b/>
          <w:bCs/>
          <w:sz w:val="24"/>
          <w:szCs w:val="24"/>
        </w:rPr>
        <w:t xml:space="preserve">结合运营经验+存量盘活</w:t>
      </w:r>
      <w:r>
        <w:rPr>
          <w:rFonts w:ascii="SimSun" w:cs="SimSun" w:eastAsia="SimSun" w:hAnsi="SimSun"/>
          <w:b w:val="false"/>
          <w:bCs w:val="false"/>
          <w:sz w:val="24"/>
          <w:szCs w:val="24"/>
        </w:rPr>
        <w:t xml:space="preserve">：将商业地产运营经验转化为REITs管理能力，拓展轻资产管理业务</w:t>
      </w:r>
    </w:p>
    <w:p>
      <w:pPr>
        <w:pStyle w:val="Heading3"/>
        <w:spacing w:after="120" w:before="240"/>
      </w:pPr>
      <w:r>
        <w:rPr>
          <w:rFonts w:ascii="SimHei" w:cs="SimHei" w:eastAsia="SimHei" w:hAnsi="SimHei"/>
          <w:b/>
          <w:bCs/>
          <w:sz w:val="24"/>
          <w:szCs w:val="24"/>
        </w:rPr>
        <w:t xml:space="preserve">4.7.2 ST战略（优势-威胁组合）</w:t>
      </w:r>
    </w:p>
    <w:p>
      <w:pPr>
        <w:spacing w:after="40" w:line="340"/>
        <w:ind w:left="480" w:hanging="0"/>
      </w:pPr>
      <w:r>
        <w:rPr>
          <w:rFonts w:ascii="SimSun" w:cs="SimSun" w:eastAsia="SimSun" w:hAnsi="SimSun"/>
          <w:b/>
          <w:bCs/>
          <w:sz w:val="24"/>
          <w:szCs w:val="24"/>
        </w:rPr>
        <w:t xml:space="preserve">利用央企背景应对融资收紧</w:t>
      </w:r>
      <w:r>
        <w:rPr>
          <w:rFonts w:ascii="SimSun" w:cs="SimSun" w:eastAsia="SimSun" w:hAnsi="SimSun"/>
          <w:b w:val="false"/>
          <w:bCs w:val="false"/>
          <w:sz w:val="24"/>
          <w:szCs w:val="24"/>
        </w:rPr>
        <w:t xml:space="preserve">：在行业融资收紧环境下，发挥央企融资渠道优势</w:t>
      </w:r>
    </w:p>
    <w:p>
      <w:pPr>
        <w:spacing w:after="40" w:line="340"/>
        <w:ind w:left="480" w:hanging="0"/>
      </w:pPr>
      <w:r>
        <w:rPr>
          <w:rFonts w:ascii="SimSun" w:cs="SimSun" w:eastAsia="SimSun" w:hAnsi="SimSun"/>
          <w:b/>
          <w:bCs/>
          <w:sz w:val="24"/>
          <w:szCs w:val="24"/>
        </w:rPr>
        <w:t xml:space="preserve">发挥品牌价值抵御竞争加剧</w:t>
      </w:r>
      <w:r>
        <w:rPr>
          <w:rFonts w:ascii="SimSun" w:cs="SimSun" w:eastAsia="SimSun" w:hAnsi="SimSun"/>
          <w:b w:val="false"/>
          <w:bCs w:val="false"/>
          <w:sz w:val="24"/>
          <w:szCs w:val="24"/>
        </w:rPr>
        <w:t xml:space="preserve">：通过品牌差异化在存量市场竞争中保持优势</w:t>
      </w:r>
    </w:p>
    <w:p>
      <w:pPr>
        <w:spacing w:after="40" w:line="340"/>
        <w:ind w:left="480" w:hanging="0"/>
      </w:pPr>
      <w:r>
        <w:rPr>
          <w:rFonts w:ascii="SimSun" w:cs="SimSun" w:eastAsia="SimSun" w:hAnsi="SimSun"/>
          <w:b/>
          <w:bCs/>
          <w:sz w:val="24"/>
          <w:szCs w:val="24"/>
        </w:rPr>
        <w:t xml:space="preserve">利用资产质量应对行业周期</w:t>
      </w:r>
      <w:r>
        <w:rPr>
          <w:rFonts w:ascii="SimSun" w:cs="SimSun" w:eastAsia="SimSun" w:hAnsi="SimSun"/>
          <w:b w:val="false"/>
          <w:bCs w:val="false"/>
          <w:sz w:val="24"/>
          <w:szCs w:val="24"/>
        </w:rPr>
        <w:t xml:space="preserve">：选择核心区位优质资产发行REITs，抵御行业下行周期影响</w:t>
      </w:r>
    </w:p>
    <w:p>
      <w:pPr>
        <w:pStyle w:val="Heading3"/>
        <w:spacing w:after="120" w:before="240"/>
      </w:pPr>
      <w:r>
        <w:rPr>
          <w:rFonts w:ascii="SimHei" w:cs="SimHei" w:eastAsia="SimHei" w:hAnsi="SimHei"/>
          <w:b/>
          <w:bCs/>
          <w:sz w:val="24"/>
          <w:szCs w:val="24"/>
        </w:rPr>
        <w:t xml:space="preserve">4.7.3 WO战略（劣势-机会组合）</w:t>
      </w:r>
    </w:p>
    <w:p>
      <w:pPr>
        <w:spacing w:after="40" w:line="340"/>
        <w:ind w:left="480" w:hanging="0"/>
      </w:pPr>
      <w:r>
        <w:rPr>
          <w:rFonts w:ascii="SimSun" w:cs="SimSun" w:eastAsia="SimSun" w:hAnsi="SimSun"/>
          <w:b/>
          <w:bCs/>
          <w:sz w:val="24"/>
          <w:szCs w:val="24"/>
        </w:rPr>
        <w:t xml:space="preserve">通过REITs改善负债结构</w:t>
      </w:r>
      <w:r>
        <w:rPr>
          <w:rFonts w:ascii="SimSun" w:cs="SimSun" w:eastAsia="SimSun" w:hAnsi="SimSun"/>
          <w:b w:val="false"/>
          <w:bCs w:val="false"/>
          <w:sz w:val="24"/>
          <w:szCs w:val="24"/>
        </w:rPr>
        <w:t xml:space="preserve">：将REITs资金用于偿还高成本债务，优化资产负债率</w:t>
      </w:r>
    </w:p>
    <w:p>
      <w:pPr>
        <w:spacing w:after="40" w:line="340"/>
        <w:ind w:left="480" w:hanging="0"/>
      </w:pPr>
      <w:r>
        <w:rPr>
          <w:rFonts w:ascii="SimSun" w:cs="SimSun" w:eastAsia="SimSun" w:hAnsi="SimSun"/>
          <w:b/>
          <w:bCs/>
          <w:sz w:val="24"/>
          <w:szCs w:val="24"/>
        </w:rPr>
        <w:t xml:space="preserve">利用轻资产转型降低重资产压力</w:t>
      </w:r>
      <w:r>
        <w:rPr>
          <w:rFonts w:ascii="SimSun" w:cs="SimSun" w:eastAsia="SimSun" w:hAnsi="SimSun"/>
          <w:b w:val="false"/>
          <w:bCs w:val="false"/>
          <w:sz w:val="24"/>
          <w:szCs w:val="24"/>
        </w:rPr>
        <w:t xml:space="preserve">：通过REITs出表实现"重资产→轻资产"转型</w:t>
      </w:r>
    </w:p>
    <w:p>
      <w:pPr>
        <w:spacing w:after="40" w:line="340"/>
        <w:ind w:left="480" w:hanging="0"/>
      </w:pPr>
      <w:r>
        <w:rPr>
          <w:rFonts w:ascii="SimSun" w:cs="SimSun" w:eastAsia="SimSun" w:hAnsi="SimSun"/>
          <w:b/>
          <w:bCs/>
          <w:sz w:val="24"/>
          <w:szCs w:val="24"/>
        </w:rPr>
        <w:t xml:space="preserve">借助REITs提升决策市场化</w:t>
      </w:r>
      <w:r>
        <w:rPr>
          <w:rFonts w:ascii="SimSun" w:cs="SimSun" w:eastAsia="SimSun" w:hAnsi="SimSun"/>
          <w:b w:val="false"/>
          <w:bCs w:val="false"/>
          <w:sz w:val="24"/>
          <w:szCs w:val="24"/>
        </w:rPr>
        <w:t xml:space="preserve">：REITs的公开市场运作倒逼企业提升市场化运作水平</w:t>
      </w:r>
    </w:p>
    <w:p>
      <w:pPr>
        <w:pStyle w:val="Heading3"/>
        <w:spacing w:after="120" w:before="240"/>
      </w:pPr>
      <w:r>
        <w:rPr>
          <w:rFonts w:ascii="SimHei" w:cs="SimHei" w:eastAsia="SimHei" w:hAnsi="SimHei"/>
          <w:b/>
          <w:bCs/>
          <w:sz w:val="24"/>
          <w:szCs w:val="24"/>
        </w:rPr>
        <w:t xml:space="preserve">4.7.4 WT战略（劣势-威胁组合）</w:t>
      </w:r>
    </w:p>
    <w:p>
      <w:pPr>
        <w:spacing w:after="40" w:line="340"/>
        <w:ind w:left="480" w:hanging="0"/>
      </w:pPr>
      <w:r>
        <w:rPr>
          <w:rFonts w:ascii="SimSun" w:cs="SimSun" w:eastAsia="SimSun" w:hAnsi="SimSun"/>
          <w:b/>
          <w:bCs/>
          <w:sz w:val="24"/>
          <w:szCs w:val="24"/>
        </w:rPr>
        <w:t xml:space="preserve">规避重资产模式在行业下行期的风险</w:t>
      </w:r>
      <w:r>
        <w:rPr>
          <w:rFonts w:ascii="SimSun" w:cs="SimSun" w:eastAsia="SimSun" w:hAnsi="SimSun"/>
          <w:b w:val="false"/>
          <w:bCs w:val="false"/>
          <w:sz w:val="24"/>
          <w:szCs w:val="24"/>
        </w:rPr>
        <w:t xml:space="preserve">：加快REITs发行节奏，减少自有资金占用</w:t>
      </w:r>
    </w:p>
    <w:p>
      <w:pPr>
        <w:spacing w:after="40" w:line="340"/>
        <w:ind w:left="480" w:hanging="0"/>
      </w:pPr>
      <w:r>
        <w:rPr>
          <w:rFonts w:ascii="SimSun" w:cs="SimSun" w:eastAsia="SimSun" w:hAnsi="SimSun"/>
          <w:b/>
          <w:bCs/>
          <w:sz w:val="24"/>
          <w:szCs w:val="24"/>
        </w:rPr>
        <w:t xml:space="preserve">防范高负债在经济下行期的风险</w:t>
      </w:r>
      <w:r>
        <w:rPr>
          <w:rFonts w:ascii="SimSun" w:cs="SimSun" w:eastAsia="SimSun" w:hAnsi="SimSun"/>
          <w:b w:val="false"/>
          <w:bCs w:val="false"/>
          <w:sz w:val="24"/>
          <w:szCs w:val="24"/>
        </w:rPr>
        <w:t xml:space="preserve">：优先使用REITs资金偿还到期债务</w:t>
      </w:r>
    </w:p>
    <w:p>
      <w:pPr>
        <w:spacing w:after="40" w:line="340"/>
        <w:ind w:left="480" w:hanging="0"/>
      </w:pPr>
      <w:r>
        <w:rPr>
          <w:rFonts w:ascii="SimSun" w:cs="SimSun" w:eastAsia="SimSun" w:hAnsi="SimSun"/>
          <w:b/>
          <w:bCs/>
          <w:sz w:val="24"/>
          <w:szCs w:val="24"/>
        </w:rPr>
        <w:t xml:space="preserve">应对央企决策效率与市场竞争的矛盾</w:t>
      </w:r>
      <w:r>
        <w:rPr>
          <w:rFonts w:ascii="SimSun" w:cs="SimSun" w:eastAsia="SimSun" w:hAnsi="SimSun"/>
          <w:b w:val="false"/>
          <w:bCs w:val="false"/>
          <w:sz w:val="24"/>
          <w:szCs w:val="24"/>
        </w:rPr>
        <w:t xml:space="preserve">：建立专门的REITs事业部，提升市场反应速度</w:t>
      </w:r>
    </w:p>
    <w:p>
      <w:pPr>
        <w:pStyle w:val="Heading3"/>
        <w:spacing w:after="120" w:before="240"/>
      </w:pPr>
      <w:r>
        <w:rPr>
          <w:rFonts w:ascii="SimHei" w:cs="SimHei" w:eastAsia="SimHei" w:hAnsi="SimHei"/>
          <w:b/>
          <w:bCs/>
          <w:sz w:val="24"/>
          <w:szCs w:val="24"/>
        </w:rPr>
        <w:t xml:space="preserve">4.7.5 战略优先级建议</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短期（1年内）</w:t>
      </w:r>
      <w:r>
        <w:rPr>
          <w:rFonts w:ascii="SimSun" w:cs="SimSun" w:eastAsia="SimSun" w:hAnsi="SimSun"/>
          <w:b w:val="false"/>
          <w:bCs w:val="false"/>
          <w:sz w:val="24"/>
          <w:szCs w:val="24"/>
        </w:rPr>
        <w:t xml:space="preserve">：执行WO战略，重点通过REITs改善负债结构</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中期（1-3年）</w:t>
      </w:r>
      <w:r>
        <w:rPr>
          <w:rFonts w:ascii="SimSun" w:cs="SimSun" w:eastAsia="SimSun" w:hAnsi="SimSun"/>
          <w:b w:val="false"/>
          <w:bCs w:val="false"/>
          <w:sz w:val="24"/>
          <w:szCs w:val="24"/>
        </w:rPr>
        <w:t xml:space="preserve">：执行SO战略，将REITs作为核心转型工具</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长期（3年以上）</w:t>
      </w:r>
      <w:r>
        <w:rPr>
          <w:rFonts w:ascii="SimSun" w:cs="SimSun" w:eastAsia="SimSun" w:hAnsi="SimSun"/>
          <w:b w:val="false"/>
          <w:bCs w:val="false"/>
          <w:sz w:val="24"/>
          <w:szCs w:val="24"/>
        </w:rPr>
        <w:t xml:space="preserve">：执行ST战略，建立基于REITs的可持续发展模式</w:t>
      </w:r>
    </w:p>
    <w:p>
      <w:pPr>
        <w:pStyle w:val="Heading1"/>
        <w:spacing w:after="240" w:before="480"/>
      </w:pPr>
      <w:r>
        <w:rPr>
          <w:rFonts w:ascii="SimHei" w:cs="SimHei" w:eastAsia="SimHei" w:hAnsi="SimHei"/>
          <w:b/>
          <w:bCs/>
          <w:sz w:val="32"/>
          <w:szCs w:val="32"/>
        </w:rPr>
        <w:t xml:space="preserve">第五章 对比案例分析：万科、保利与商业地产企业参照分析</w:t>
      </w:r>
    </w:p>
    <w:p>
      <w:pPr>
        <w:spacing w:after="60" w:line="320"/>
        <w:ind w:left="400"/>
      </w:pPr>
      <w:r>
        <w:rPr>
          <w:rFonts w:ascii="SimSun" w:cs="SimSun" w:eastAsia="SimSun" w:hAnsi="SimSun"/>
          <w:b w:val="false"/>
          <w:bCs w:val="false"/>
          <w:i/>
          <w:iCs/>
          <w:color w:val="555555"/>
          <w:sz w:val="21"/>
          <w:szCs w:val="21"/>
        </w:rPr>
        <w:t xml:space="preserve">版本：v3.0 | 章节结构优化版 | 更新时间：2026-04-15 定位：为第四章大悦城核心案例提供多维度对照视角，验证REITs在不同企业状态下的适用性</w:t>
      </w:r>
    </w:p>
    <w:p>
      <w:pPr>
        <w:pStyle w:val="Heading2"/>
        <w:spacing w:after="180" w:before="360"/>
      </w:pPr>
      <w:r>
        <w:rPr>
          <w:rFonts w:ascii="SimHei" w:cs="SimHei" w:eastAsia="SimHei" w:hAnsi="SimHei"/>
          <w:b/>
          <w:bCs/>
          <w:sz w:val="28"/>
          <w:szCs w:val="28"/>
        </w:rPr>
        <w:t xml:space="preserve">5.1 对比案例选择逻辑与参照定位</w:t>
      </w:r>
    </w:p>
    <w:p>
      <w:pPr>
        <w:pStyle w:val="Heading3"/>
        <w:spacing w:after="120" w:before="240"/>
      </w:pPr>
      <w:r>
        <w:rPr>
          <w:rFonts w:ascii="SimHei" w:cs="SimHei" w:eastAsia="SimHei" w:hAnsi="SimHei"/>
          <w:b/>
          <w:bCs/>
          <w:sz w:val="24"/>
          <w:szCs w:val="24"/>
        </w:rPr>
        <w:t xml:space="preserve">5.1.1 案例选择依据</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本研究选择</w:t>
      </w:r>
      <w:r>
        <w:rPr>
          <w:rFonts w:ascii="SimSun" w:cs="SimSun" w:eastAsia="SimSun" w:hAnsi="SimSun"/>
          <w:b/>
          <w:bCs/>
          <w:i w:val="false"/>
          <w:iCs w:val="false"/>
          <w:strike w:val="false"/>
          <w:sz w:val="24"/>
          <w:szCs w:val="24"/>
        </w:rPr>
        <w:t xml:space="preserve">万科企业股份有限公司</w:t>
      </w:r>
      <w:r>
        <w:rPr>
          <w:rFonts w:ascii="SimSun" w:cs="SimSun" w:eastAsia="SimSun" w:hAnsi="SimSun"/>
          <w:b w:val="false"/>
          <w:bCs w:val="false"/>
          <w:i w:val="false"/>
          <w:iCs w:val="false"/>
          <w:strike w:val="false"/>
          <w:sz w:val="24"/>
          <w:szCs w:val="24"/>
        </w:rPr>
        <w:t xml:space="preserve">（000002.SZ）、</w:t>
      </w:r>
      <w:r>
        <w:rPr>
          <w:rFonts w:ascii="SimSun" w:cs="SimSun" w:eastAsia="SimSun" w:hAnsi="SimSun"/>
          <w:b/>
          <w:bCs/>
          <w:i w:val="false"/>
          <w:iCs w:val="false"/>
          <w:strike w:val="false"/>
          <w:sz w:val="24"/>
          <w:szCs w:val="24"/>
        </w:rPr>
        <w:t xml:space="preserve">保利发展控股集团股份有限公司</w:t>
      </w:r>
      <w:r>
        <w:rPr>
          <w:rFonts w:ascii="SimSun" w:cs="SimSun" w:eastAsia="SimSun" w:hAnsi="SimSun"/>
          <w:b w:val="false"/>
          <w:bCs w:val="false"/>
          <w:i w:val="false"/>
          <w:iCs w:val="false"/>
          <w:strike w:val="false"/>
          <w:sz w:val="24"/>
          <w:szCs w:val="24"/>
        </w:rPr>
        <w:t xml:space="preserve">（600048.SH）、</w:t>
      </w:r>
      <w:r>
        <w:rPr>
          <w:rFonts w:ascii="SimSun" w:cs="SimSun" w:eastAsia="SimSun" w:hAnsi="SimSun"/>
          <w:b/>
          <w:bCs/>
          <w:i w:val="false"/>
          <w:iCs w:val="false"/>
          <w:strike w:val="false"/>
          <w:sz w:val="24"/>
          <w:szCs w:val="24"/>
        </w:rPr>
        <w:t xml:space="preserve">华润万象生活</w:t>
      </w:r>
      <w:r>
        <w:rPr>
          <w:rFonts w:ascii="SimSun" w:cs="SimSun" w:eastAsia="SimSun" w:hAnsi="SimSun"/>
          <w:b w:val="false"/>
          <w:bCs w:val="false"/>
          <w:i w:val="false"/>
          <w:iCs w:val="false"/>
          <w:strike w:val="false"/>
          <w:sz w:val="24"/>
          <w:szCs w:val="24"/>
        </w:rPr>
        <w:t xml:space="preserve">（01209.HK）、</w:t>
      </w:r>
      <w:r>
        <w:rPr>
          <w:rFonts w:ascii="SimSun" w:cs="SimSun" w:eastAsia="SimSun" w:hAnsi="SimSun"/>
          <w:b/>
          <w:bCs/>
          <w:i w:val="false"/>
          <w:iCs w:val="false"/>
          <w:strike w:val="false"/>
          <w:sz w:val="24"/>
          <w:szCs w:val="24"/>
        </w:rPr>
        <w:t xml:space="preserve">龙湖集团</w:t>
      </w:r>
      <w:r>
        <w:rPr>
          <w:rFonts w:ascii="SimSun" w:cs="SimSun" w:eastAsia="SimSun" w:hAnsi="SimSun"/>
          <w:b w:val="false"/>
          <w:bCs w:val="false"/>
          <w:i w:val="false"/>
          <w:iCs w:val="false"/>
          <w:strike w:val="false"/>
          <w:sz w:val="24"/>
          <w:szCs w:val="24"/>
        </w:rPr>
        <w:t xml:space="preserve">（00960.HK）和</w:t>
      </w:r>
      <w:r>
        <w:rPr>
          <w:rFonts w:ascii="SimSun" w:cs="SimSun" w:eastAsia="SimSun" w:hAnsi="SimSun"/>
          <w:b/>
          <w:bCs/>
          <w:i w:val="false"/>
          <w:iCs w:val="false"/>
          <w:strike w:val="false"/>
          <w:sz w:val="24"/>
          <w:szCs w:val="24"/>
        </w:rPr>
        <w:t xml:space="preserve">新城控股</w:t>
      </w:r>
      <w:r>
        <w:rPr>
          <w:rFonts w:ascii="SimSun" w:cs="SimSun" w:eastAsia="SimSun" w:hAnsi="SimSun"/>
          <w:b w:val="false"/>
          <w:bCs w:val="false"/>
          <w:i w:val="false"/>
          <w:iCs w:val="false"/>
          <w:strike w:val="false"/>
          <w:sz w:val="24"/>
          <w:szCs w:val="24"/>
        </w:rPr>
        <w:t xml:space="preserve">作为参照案例，基于以下考虑：</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选择标准</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万科</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保利</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华润万象生活</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龙湖集团</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新城控股</w:t>
            </w:r>
          </w:p>
        </w:tc>
        <w:tc>
          <w:tcPr>
            <w:tcW w:type="dxa" w:w="123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参照意义</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企业规模</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行业龙头（总资产&gt;1.7万亿）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头部央企（总资产&gt;1.5万亿）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中等规模（总资产约2000亿）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中等规模（总资产约8000亿）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中等偏大（总资产约5000亿）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提供规模对比视角</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企业性质</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民营龙头→混合所有制</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央企背景</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国有企业（央企）</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民营企业</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民营企业</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检验企业性质影响</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REITs实践</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物流REITs尝试</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租赁住房REITs探索</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已有REITs发行</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REITs尝试中</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无REITs实践</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提供REITs应用多样性</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商业地产占比</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较低（&lt;10%）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中低（10-20%）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高（50-60%）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中（20-30%）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中（15-20%）</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检验业务结构影响</w:t>
            </w:r>
          </w:p>
        </w:tc>
      </w:tr>
      <w:tr>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财务状态</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2024年严重亏损</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2025H1净利润下降</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稳健增长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相对稳健</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营收下降但商业增长</w:t>
            </w:r>
          </w:p>
        </w:tc>
        <w:tc>
          <w:tcPr>
            <w:tcW w:type="dxa" w:w="123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提供不同困境程度参照</w:t>
            </w:r>
          </w:p>
        </w:tc>
      </w:tr>
    </w:tbl>
    <w:p>
      <w:pPr>
        <w:spacing w:after="120"/>
      </w:pPr>
    </w:p>
    <w:p>
      <w:pPr>
        <w:pStyle w:val="Heading3"/>
        <w:spacing w:after="120" w:before="240"/>
      </w:pPr>
      <w:r>
        <w:rPr>
          <w:rFonts w:ascii="SimHei" w:cs="SimHei" w:eastAsia="SimHei" w:hAnsi="SimHei"/>
          <w:b/>
          <w:bCs/>
          <w:sz w:val="24"/>
          <w:szCs w:val="24"/>
        </w:rPr>
        <w:t xml:space="preserve">5.1.2 参照定位（非控制组）</w:t>
      </w:r>
    </w:p>
    <w:p>
      <w:pPr>
        <w:spacing w:after="60" w:line="360"/>
        <w:ind w:firstLine="480"/>
        <w:jc w:val="both"/>
      </w:pPr>
      <w:r>
        <w:rPr>
          <w:rFonts w:ascii="SimSun" w:cs="SimSun" w:eastAsia="SimSun" w:hAnsi="SimSun"/>
          <w:b w:val="false"/>
          <w:bCs w:val="false"/>
          <w:i w:val="false"/>
          <w:iCs w:val="false"/>
          <w:strike w:val="false"/>
          <w:sz w:val="24"/>
          <w:szCs w:val="24"/>
        </w:rPr>
        <w:t xml:space="preserve">在方法论修正后，所有参照案例从原DID模型中的"控制组"调整为</w:t>
      </w:r>
      <w:r>
        <w:rPr>
          <w:rFonts w:ascii="SimSun" w:cs="SimSun" w:eastAsia="SimSun" w:hAnsi="SimSun"/>
          <w:b/>
          <w:bCs/>
          <w:i w:val="false"/>
          <w:iCs w:val="false"/>
          <w:strike w:val="false"/>
          <w:sz w:val="24"/>
          <w:szCs w:val="24"/>
        </w:rPr>
        <w:t xml:space="preserve">多维参照案例</w:t>
      </w:r>
      <w:r>
        <w:rPr>
          <w:rFonts w:ascii="SimSun" w:cs="SimSun" w:eastAsia="SimSun" w:hAnsi="SimSun"/>
          <w:b w:val="false"/>
          <w:bCs w:val="false"/>
          <w:i w:val="false"/>
          <w:iCs w:val="false"/>
          <w:strike w:val="false"/>
          <w:sz w:val="24"/>
          <w:szCs w:val="24"/>
        </w:rPr>
        <w:t xml:space="preserve">，定位为：</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规模效应参照</w:t>
      </w:r>
      <w:r>
        <w:rPr>
          <w:rFonts w:ascii="SimSun" w:cs="SimSun" w:eastAsia="SimSun" w:hAnsi="SimSun"/>
          <w:b w:val="false"/>
          <w:bCs w:val="false"/>
          <w:sz w:val="24"/>
          <w:szCs w:val="24"/>
        </w:rPr>
        <w:t xml:space="preserve">：万科/保利的超大规模 vs 华润/龙湖/新城的中等规模 vs 大悦城的中等规模</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企业性质参照</w:t>
      </w:r>
      <w:r>
        <w:rPr>
          <w:rFonts w:ascii="SimSun" w:cs="SimSun" w:eastAsia="SimSun" w:hAnsi="SimSun"/>
          <w:b w:val="false"/>
          <w:bCs w:val="false"/>
          <w:sz w:val="24"/>
          <w:szCs w:val="24"/>
        </w:rPr>
        <w:t xml:space="preserve">：万科（民营→混改）vs 保利/华润（央企）vs 龙湖/新城（民营）</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REITs实践参照</w:t>
      </w:r>
      <w:r>
        <w:rPr>
          <w:rFonts w:ascii="SimSun" w:cs="SimSun" w:eastAsia="SimSun" w:hAnsi="SimSun"/>
          <w:b w:val="false"/>
          <w:bCs w:val="false"/>
          <w:sz w:val="24"/>
          <w:szCs w:val="24"/>
        </w:rPr>
        <w:t xml:space="preserve">：华润（已发行）vs 龙湖（尝试中）vs 万科/保利（探索中）vs 新城（无实践）</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商业地产占比参照</w:t>
      </w:r>
      <w:r>
        <w:rPr>
          <w:rFonts w:ascii="SimSun" w:cs="SimSun" w:eastAsia="SimSun" w:hAnsi="SimSun"/>
          <w:b w:val="false"/>
          <w:bCs w:val="false"/>
          <w:sz w:val="24"/>
          <w:szCs w:val="24"/>
        </w:rPr>
        <w:t xml:space="preserve">：华润（纯商业）vs 龙湖/新城（商住并举）vs 万科/保利（住宅为主）</w:t>
      </w:r>
    </w:p>
    <w:p>
      <w:pPr>
        <w:pStyle w:val="Heading2"/>
        <w:spacing w:after="180" w:before="360"/>
      </w:pPr>
      <w:r>
        <w:rPr>
          <w:rFonts w:ascii="SimHei" w:cs="SimHei" w:eastAsia="SimHei" w:hAnsi="SimHei"/>
          <w:b/>
          <w:bCs/>
          <w:sz w:val="28"/>
          <w:szCs w:val="28"/>
        </w:rPr>
        <w:t xml:space="preserve">5.2 住宅房企对比分析：万科与保利</w:t>
      </w:r>
    </w:p>
    <w:p>
      <w:pPr>
        <w:spacing w:after="60" w:line="320"/>
        <w:ind w:left="400"/>
      </w:pPr>
      <w:r>
        <w:rPr>
          <w:rFonts w:ascii="SimSun" w:cs="SimSun" w:eastAsia="SimSun" w:hAnsi="SimSun"/>
          <w:b/>
          <w:bCs/>
          <w:i/>
          <w:iCs/>
          <w:color w:val="555555"/>
          <w:sz w:val="21"/>
          <w:szCs w:val="21"/>
        </w:rPr>
        <w:t xml:space="preserve">【章节定位】</w:t>
      </w:r>
      <w:r>
        <w:rPr>
          <w:rFonts w:ascii="SimSun" w:cs="SimSun" w:eastAsia="SimSun" w:hAnsi="SimSun"/>
          <w:b w:val="false"/>
          <w:bCs w:val="false"/>
          <w:i/>
          <w:iCs/>
          <w:color w:val="555555"/>
          <w:sz w:val="21"/>
          <w:szCs w:val="21"/>
        </w:rPr>
        <w:t xml:space="preserve"> 本节聚焦万科、保利两家以住宅开发为主的头部房企，分析其REITs探索实践及其对大悦城案例的参照意义。与大悦城（商业地产为主）相比，这两家企业的业务结构、资产类型与REITs实践存在显著差异，提供不同维度的对比参照价值。</w:t>
      </w:r>
    </w:p>
    <w:p>
      <w:pPr>
        <w:pStyle w:val="Heading3"/>
        <w:spacing w:after="120" w:before="240"/>
      </w:pPr>
      <w:r>
        <w:rPr>
          <w:rFonts w:ascii="SimHei" w:cs="SimHei" w:eastAsia="SimHei" w:hAnsi="SimHei"/>
          <w:b/>
          <w:bCs/>
          <w:sz w:val="24"/>
          <w:szCs w:val="24"/>
        </w:rPr>
        <w:t xml:space="preserve">5.2.1 万科基本情况与REITs探索</w:t>
      </w:r>
    </w:p>
    <w:p>
      <w:pPr>
        <w:spacing w:after="60" w:line="360"/>
        <w:ind w:firstLine="480"/>
        <w:jc w:val="both"/>
      </w:pPr>
      <w:r>
        <w:rPr>
          <w:rFonts w:ascii="SimSun" w:cs="SimSun" w:eastAsia="SimSun" w:hAnsi="SimSun"/>
          <w:b/>
          <w:bCs/>
          <w:i w:val="false"/>
          <w:iCs w:val="false"/>
          <w:strike w:val="false"/>
          <w:sz w:val="24"/>
          <w:szCs w:val="24"/>
        </w:rPr>
        <w:t xml:space="preserve">万科企业股份有限公司</w:t>
      </w:r>
      <w:r>
        <w:rPr>
          <w:rFonts w:ascii="SimSun" w:cs="SimSun" w:eastAsia="SimSun" w:hAnsi="SimSun"/>
          <w:b w:val="false"/>
          <w:bCs w:val="false"/>
          <w:i w:val="false"/>
          <w:iCs w:val="false"/>
          <w:strike w:val="false"/>
          <w:sz w:val="24"/>
          <w:szCs w:val="24"/>
        </w:rPr>
        <w:t xml:space="preserve">（股票代码：000002.SZ）是中国房地产行业龙头，2024年面临严峻挑战：营业收入3,980.24亿元（↓12.5%），归母净利润</w:t>
      </w:r>
      <w:r>
        <w:rPr>
          <w:rFonts w:ascii="SimSun" w:cs="SimSun" w:eastAsia="SimSun" w:hAnsi="SimSun"/>
          <w:b/>
          <w:bCs/>
          <w:i w:val="false"/>
          <w:iCs w:val="false"/>
          <w:strike w:val="false"/>
          <w:sz w:val="24"/>
          <w:szCs w:val="24"/>
        </w:rPr>
        <w:t xml:space="preserve">-494.78亿元</w:t>
      </w:r>
      <w:r>
        <w:rPr>
          <w:rFonts w:ascii="SimSun" w:cs="SimSun" w:eastAsia="SimSun" w:hAnsi="SimSun"/>
          <w:b w:val="false"/>
          <w:bCs w:val="false"/>
          <w:i w:val="false"/>
          <w:iCs w:val="false"/>
          <w:strike w:val="false"/>
          <w:sz w:val="24"/>
          <w:szCs w:val="24"/>
        </w:rPr>
        <w:t xml:space="preserve">（创行业纪录），经营现金流312.67亿元（↓28.4%），资产负债率76.2%。</w:t>
      </w:r>
    </w:p>
    <w:p>
      <w:pPr>
        <w:spacing w:after="60" w:line="360"/>
        <w:ind w:firstLine="480"/>
        <w:jc w:val="both"/>
      </w:pPr>
      <w:r>
        <w:rPr>
          <w:rFonts w:ascii="SimSun" w:cs="SimSun" w:eastAsia="SimSun" w:hAnsi="SimSun"/>
          <w:b w:val="false"/>
          <w:bCs w:val="false"/>
          <w:i w:val="false"/>
          <w:iCs w:val="false"/>
          <w:strike w:val="false"/>
          <w:sz w:val="24"/>
          <w:szCs w:val="24"/>
        </w:rPr>
        <w:t xml:space="preserve">万科在REITs领域进行了三方面探索：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物流REITs</w:t>
      </w:r>
      <w:r>
        <w:rPr>
          <w:rFonts w:ascii="SimSun" w:cs="SimSun" w:eastAsia="SimSun" w:hAnsi="SimSun"/>
          <w:b w:val="false"/>
          <w:bCs w:val="false"/>
          <w:sz w:val="24"/>
          <w:szCs w:val="24"/>
        </w:rPr>
        <w:t xml:space="preserve">：2023年申报"中金普洛斯仓储物流REITs"（规模约30亿元），但审批进度缓慢，面临物流地产收益率偏低（3-4%）挑战</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租赁住房REITs</w:t>
      </w:r>
      <w:r>
        <w:rPr>
          <w:rFonts w:ascii="SimSun" w:cs="SimSun" w:eastAsia="SimSun" w:hAnsi="SimSun"/>
          <w:b w:val="false"/>
          <w:bCs w:val="false"/>
          <w:sz w:val="24"/>
          <w:szCs w:val="24"/>
        </w:rPr>
        <w:t xml:space="preserve">：旗下泊寓品牌具备REITs底层资产条件，但收益率（约3-4%）低于商业地产REITs要求</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商业地产REITs储备</w:t>
      </w:r>
      <w:r>
        <w:rPr>
          <w:rFonts w:ascii="SimSun" w:cs="SimSun" w:eastAsia="SimSun" w:hAnsi="SimSun"/>
          <w:b w:val="false"/>
          <w:bCs w:val="false"/>
          <w:sz w:val="24"/>
          <w:szCs w:val="24"/>
        </w:rPr>
        <w:t xml:space="preserve">：持有万科广场等商业物业，但非核心业务，运营经验有限</w:t>
      </w:r>
    </w:p>
    <w:p>
      <w:pPr>
        <w:spacing w:after="60" w:line="360"/>
        <w:ind w:firstLine="480"/>
        <w:jc w:val="both"/>
      </w:pPr>
      <w:r>
        <w:rPr>
          <w:rFonts w:ascii="SimSun" w:cs="SimSun" w:eastAsia="SimSun" w:hAnsi="SimSun"/>
          <w:b/>
          <w:bCs/>
          <w:i w:val="false"/>
          <w:iCs w:val="false"/>
          <w:strike w:val="false"/>
          <w:sz w:val="24"/>
          <w:szCs w:val="24"/>
        </w:rPr>
        <w:t xml:space="preserve">关键制约因素</w:t>
      </w:r>
      <w:r>
        <w:rPr>
          <w:rFonts w:ascii="SimSun" w:cs="SimSun" w:eastAsia="SimSun" w:hAnsi="SimSun"/>
          <w:b w:val="false"/>
          <w:bCs w:val="false"/>
          <w:i w:val="false"/>
          <w:iCs w:val="false"/>
          <w:strike w:val="false"/>
          <w:sz w:val="24"/>
          <w:szCs w:val="24"/>
        </w:rPr>
        <w:t xml:space="preserve">：资产收益率瓶颈、战略优先级不足、规模过大导致执行效率受限。</w:t>
      </w:r>
    </w:p>
    <w:p>
      <w:pPr>
        <w:pStyle w:val="Heading3"/>
        <w:spacing w:after="120" w:before="240"/>
      </w:pPr>
      <w:r>
        <w:rPr>
          <w:rFonts w:ascii="SimHei" w:cs="SimHei" w:eastAsia="SimHei" w:hAnsi="SimHei"/>
          <w:b/>
          <w:bCs/>
          <w:sz w:val="24"/>
          <w:szCs w:val="24"/>
        </w:rPr>
        <w:t xml:space="preserve">5.2.2 保利基本情况与REITs创新</w:t>
      </w:r>
    </w:p>
    <w:p>
      <w:pPr>
        <w:spacing w:after="60" w:line="360"/>
        <w:ind w:firstLine="480"/>
        <w:jc w:val="both"/>
      </w:pPr>
      <w:r>
        <w:rPr>
          <w:rFonts w:ascii="SimSun" w:cs="SimSun" w:eastAsia="SimSun" w:hAnsi="SimSun"/>
          <w:b/>
          <w:bCs/>
          <w:i w:val="false"/>
          <w:iCs w:val="false"/>
          <w:strike w:val="false"/>
          <w:sz w:val="24"/>
          <w:szCs w:val="24"/>
        </w:rPr>
        <w:t xml:space="preserve">保利发展控股集团股份有限公司</w:t>
      </w:r>
      <w:r>
        <w:rPr>
          <w:rFonts w:ascii="SimSun" w:cs="SimSun" w:eastAsia="SimSun" w:hAnsi="SimSun"/>
          <w:b w:val="false"/>
          <w:bCs w:val="false"/>
          <w:i w:val="false"/>
          <w:iCs w:val="false"/>
          <w:strike w:val="false"/>
          <w:sz w:val="24"/>
          <w:szCs w:val="24"/>
        </w:rPr>
        <w:t xml:space="preserve">（股票代码：600048.SH）是央企中国保利集团旗下房地产平台，财务表现相对稳健：2023年营业收入3,468.94亿元，归母净利润120.37亿元，总资产14,397.55亿元，资产负债率77.92%。但2025H1净利润同比下降34%，显示央企也面临行业压力。</w:t>
      </w:r>
    </w:p>
    <w:p>
      <w:pPr>
        <w:spacing w:after="60" w:line="360"/>
        <w:ind w:firstLine="480"/>
        <w:jc w:val="both"/>
      </w:pPr>
      <w:r>
        <w:rPr>
          <w:rFonts w:ascii="SimSun" w:cs="SimSun" w:eastAsia="SimSun" w:hAnsi="SimSun"/>
          <w:b w:val="false"/>
          <w:bCs w:val="false"/>
          <w:i w:val="false"/>
          <w:iCs w:val="false"/>
          <w:strike w:val="false"/>
          <w:sz w:val="24"/>
          <w:szCs w:val="24"/>
        </w:rPr>
        <w:t xml:space="preserve">保利在REITs领域的探索：</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租赁住房REITs</w:t>
      </w:r>
      <w:r>
        <w:rPr>
          <w:rFonts w:ascii="SimSun" w:cs="SimSun" w:eastAsia="SimSun" w:hAnsi="SimSun"/>
          <w:b w:val="false"/>
          <w:bCs w:val="false"/>
          <w:sz w:val="24"/>
          <w:szCs w:val="24"/>
        </w:rPr>
        <w:t xml:space="preserve">：2022年申报"保利发展租赁住房REITs"，底层资产为保利N+公寓，但收益率（约3.5-4.2%）接近政策下限</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商业地产REITs储备</w:t>
      </w:r>
      <w:r>
        <w:rPr>
          <w:rFonts w:ascii="SimSun" w:cs="SimSun" w:eastAsia="SimSun" w:hAnsi="SimSun"/>
          <w:b w:val="false"/>
          <w:bCs w:val="false"/>
          <w:sz w:val="24"/>
          <w:szCs w:val="24"/>
        </w:rPr>
        <w:t xml:space="preserve">：持有保利广场等商业物业，规模有限未形成REITs发行基础</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基础设施REITs尝试</w:t>
      </w:r>
      <w:r>
        <w:rPr>
          <w:rFonts w:ascii="SimSun" w:cs="SimSun" w:eastAsia="SimSun" w:hAnsi="SimSun"/>
          <w:b w:val="false"/>
          <w:bCs w:val="false"/>
          <w:sz w:val="24"/>
          <w:szCs w:val="24"/>
        </w:rPr>
        <w:t xml:space="preserve">：探索停车场、产业园等基础设施类REITs，符合政策导向但资产梳理需时</w:t>
      </w:r>
    </w:p>
    <w:p>
      <w:pPr>
        <w:spacing w:after="60" w:line="360"/>
        <w:ind w:firstLine="480"/>
        <w:jc w:val="both"/>
      </w:pPr>
      <w:r>
        <w:rPr>
          <w:rFonts w:ascii="SimSun" w:cs="SimSun" w:eastAsia="SimSun" w:hAnsi="SimSun"/>
          <w:b/>
          <w:bCs/>
          <w:i w:val="false"/>
          <w:iCs w:val="false"/>
          <w:strike w:val="false"/>
          <w:sz w:val="24"/>
          <w:szCs w:val="24"/>
        </w:rPr>
        <w:t xml:space="preserve">央企背景的双重作用</w:t>
      </w:r>
      <w:r>
        <w:rPr>
          <w:rFonts w:ascii="SimSun" w:cs="SimSun" w:eastAsia="SimSun" w:hAnsi="SimSun"/>
          <w:b w:val="false"/>
          <w:bCs w:val="false"/>
          <w:i w:val="false"/>
          <w:iCs w:val="false"/>
          <w:strike w:val="false"/>
          <w:sz w:val="24"/>
          <w:szCs w:val="24"/>
        </w:rPr>
        <w:t xml:space="preserve">：信用优势（AAA评级、融资成本低）与决策流程约束并存，执行效率可能受作用。</w:t>
      </w:r>
    </w:p>
    <w:p>
      <w:pPr>
        <w:pStyle w:val="Heading3"/>
        <w:spacing w:after="120" w:before="240"/>
      </w:pPr>
      <w:r>
        <w:rPr>
          <w:rFonts w:ascii="SimHei" w:cs="SimHei" w:eastAsia="SimHei" w:hAnsi="SimHei"/>
          <w:b/>
          <w:bCs/>
          <w:sz w:val="24"/>
          <w:szCs w:val="24"/>
        </w:rPr>
        <w:t xml:space="preserve">5.2.3 住宅房企对比小结</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对比维度</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万科</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保利</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核心启示</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资产收益率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5.48%（超预期）</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3-4%（偏低）</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3.5-4.2%（偏低）</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收益率是REITs发行的关键门槛</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战略定位</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REITs作为核心转型工具</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REITs作为补充融资渠道</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REITs探索中</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战略重视程度决定执行力度</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企业规模</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中等（&lt;2000亿）</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超大（&gt;1.6万亿）</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大（&gt;1.4万亿）</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规模过大可能制约REITs应用</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执行效率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9个月完成发行</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审批缓慢</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申报2年未果</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决策效率作用REITs落地</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核心发现</w:t>
      </w:r>
      <w:r>
        <w:rPr>
          <w:rFonts w:ascii="SimSun" w:cs="SimSun" w:eastAsia="SimSun" w:hAnsi="SimSun"/>
          <w:b w:val="false"/>
          <w:bCs w:val="false"/>
          <w:i w:val="false"/>
          <w:iCs w:val="false"/>
          <w:strike w:val="false"/>
          <w:sz w:val="24"/>
          <w:szCs w:val="24"/>
        </w:rPr>
        <w:t xml:space="preserve">：住宅房企（万科/保利）的案例表明，资产收益率是REITs应用的核心制约因素；央企背景在REITs发行中既是优势（信用背书）也是约束（决策流程），与大悦城形成对照。</w:t>
      </w:r>
    </w:p>
    <w:p>
      <w:pPr>
        <w:pStyle w:val="Heading2"/>
        <w:spacing w:after="180" w:before="360"/>
      </w:pPr>
      <w:r>
        <w:rPr>
          <w:rFonts w:ascii="SimHei" w:cs="SimHei" w:eastAsia="SimHei" w:hAnsi="SimHei"/>
          <w:b/>
          <w:bCs/>
          <w:sz w:val="28"/>
          <w:szCs w:val="28"/>
        </w:rPr>
        <w:t xml:space="preserve">5.3 商业地产企业对比分析：华润万象生活、龙湖集团、新城控股</w:t>
      </w:r>
    </w:p>
    <w:p>
      <w:pPr>
        <w:pStyle w:val="Heading3"/>
        <w:spacing w:after="120" w:before="240"/>
      </w:pPr>
      <w:r>
        <w:rPr>
          <w:rFonts w:ascii="SimHei" w:cs="SimHei" w:eastAsia="SimHei" w:hAnsi="SimHei"/>
          <w:b/>
          <w:bCs/>
          <w:sz w:val="24"/>
          <w:szCs w:val="24"/>
        </w:rPr>
        <w:t xml:space="preserve">5.3.1 案例选择与对比价值</w:t>
      </w:r>
    </w:p>
    <w:p>
      <w:pPr>
        <w:spacing w:after="60" w:line="360"/>
        <w:ind w:firstLine="480"/>
        <w:jc w:val="both"/>
      </w:pPr>
      <w:r>
        <w:rPr>
          <w:rFonts w:ascii="SimSun" w:cs="SimSun" w:eastAsia="SimSun" w:hAnsi="SimSun"/>
          <w:b/>
          <w:bCs/>
          <w:i w:val="false"/>
          <w:iCs w:val="false"/>
          <w:strike w:val="false"/>
          <w:sz w:val="24"/>
          <w:szCs w:val="24"/>
        </w:rPr>
        <w:t xml:space="preserve">对比价值定位</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弥补万科/保利对比的局限</w:t>
      </w:r>
      <w:r>
        <w:rPr>
          <w:rFonts w:ascii="SimSun" w:cs="SimSun" w:eastAsia="SimSun" w:hAnsi="SimSun"/>
          <w:b w:val="false"/>
          <w:bCs w:val="false"/>
          <w:sz w:val="24"/>
          <w:szCs w:val="24"/>
        </w:rPr>
        <w:t xml:space="preserve">：万科、保利以住宅开发为主，与大悦城的商业地产业务结构差异较大</w:t>
      </w:r>
    </w:p>
    <w:p>
      <w:pPr>
        <w:spacing w:after="40" w:line="340"/>
        <w:ind w:left="480" w:hanging="0"/>
      </w:pPr>
      <w:r>
        <w:rPr>
          <w:rFonts w:ascii="SimSun" w:cs="SimSun" w:eastAsia="SimSun" w:hAnsi="SimSun"/>
          <w:b/>
          <w:bCs/>
          <w:sz w:val="24"/>
          <w:szCs w:val="24"/>
        </w:rPr>
        <w:t xml:space="preserve">提供商业地产行业内部对照</w:t>
      </w:r>
      <w:r>
        <w:rPr>
          <w:rFonts w:ascii="SimSun" w:cs="SimSun" w:eastAsia="SimSun" w:hAnsi="SimSun"/>
          <w:b w:val="false"/>
          <w:bCs w:val="false"/>
          <w:sz w:val="24"/>
          <w:szCs w:val="24"/>
        </w:rPr>
        <w:t xml:space="preserve">：华润、龙湖、新城与大悦城同属商业地产领域，业务结构更具可比性</w:t>
      </w:r>
    </w:p>
    <w:p>
      <w:pPr>
        <w:spacing w:after="40" w:line="340"/>
        <w:ind w:left="480" w:hanging="0"/>
      </w:pPr>
      <w:r>
        <w:rPr>
          <w:rFonts w:ascii="SimSun" w:cs="SimSun" w:eastAsia="SimSun" w:hAnsi="SimSun"/>
          <w:b/>
          <w:bCs/>
          <w:sz w:val="24"/>
          <w:szCs w:val="24"/>
        </w:rPr>
        <w:t xml:space="preserve">检验REITs在商业地产细分行业的适用性差异</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对比维度</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华润万象生活</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龙湖集团</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新城控股</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对比价值</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企业性质</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国有企业（央企）</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民营企业</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民营企业</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国有企业</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检验企业性质影响</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REITs状态</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已有REITs发行</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REITs尝试中</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无REITs实践</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REITs已发行</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检验REITs实践阶段差异</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商业地产占比</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50-60%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20-30%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15-20%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70-80%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检验业务结构影响</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商业模式</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纯轻资产运营</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开发+运营并举</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住宅+商业双轮</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重资产持有+运营</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检验商业模式影响</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财务状态</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稳健增长</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相对稳健</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营收下降但商业增长</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财务困境转型中</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检验不同财务状态下的REITs适用性</w:t>
            </w:r>
          </w:p>
        </w:tc>
      </w:tr>
    </w:tbl>
    <w:p>
      <w:pPr>
        <w:spacing w:after="120"/>
      </w:pPr>
    </w:p>
    <w:p>
      <w:pPr>
        <w:pStyle w:val="Heading3"/>
        <w:spacing w:after="120" w:before="240"/>
      </w:pPr>
      <w:r>
        <w:rPr>
          <w:rFonts w:ascii="SimHei" w:cs="SimHei" w:eastAsia="SimHei" w:hAnsi="SimHei"/>
          <w:b/>
          <w:bCs/>
          <w:sz w:val="24"/>
          <w:szCs w:val="24"/>
        </w:rPr>
        <w:t xml:space="preserve">5.3.2 华润万象生活：轻资产模式下的REITs成功实践</w:t>
      </w:r>
    </w:p>
    <w:p>
      <w:pPr>
        <w:spacing w:after="60" w:line="360"/>
        <w:ind w:firstLine="480"/>
        <w:jc w:val="both"/>
      </w:pPr>
      <w:r>
        <w:rPr>
          <w:rFonts w:ascii="SimSun" w:cs="SimSun" w:eastAsia="SimSun" w:hAnsi="SimSun"/>
          <w:b/>
          <w:bCs/>
          <w:i w:val="false"/>
          <w:iCs w:val="false"/>
          <w:strike w:val="false"/>
          <w:sz w:val="24"/>
          <w:szCs w:val="24"/>
        </w:rPr>
        <w:t xml:space="preserve">基本特征</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企业性质</w:t>
      </w:r>
      <w:r>
        <w:rPr>
          <w:rFonts w:ascii="SimSun" w:cs="SimSun" w:eastAsia="SimSun" w:hAnsi="SimSun"/>
          <w:b w:val="false"/>
          <w:bCs w:val="false"/>
          <w:sz w:val="24"/>
          <w:szCs w:val="24"/>
        </w:rPr>
        <w:t xml:space="preserve">：国有企业（华润集团旗下）</w:t>
      </w:r>
    </w:p>
    <w:p>
      <w:pPr>
        <w:spacing w:after="40" w:line="340"/>
        <w:ind w:left="480" w:hanging="0"/>
      </w:pPr>
      <w:r>
        <w:rPr>
          <w:rFonts w:ascii="SimSun" w:cs="SimSun" w:eastAsia="SimSun" w:hAnsi="SimSun"/>
          <w:b/>
          <w:bCs/>
          <w:sz w:val="24"/>
          <w:szCs w:val="24"/>
        </w:rPr>
        <w:t xml:space="preserve">主营业务</w:t>
      </w:r>
      <w:r>
        <w:rPr>
          <w:rFonts w:ascii="SimSun" w:cs="SimSun" w:eastAsia="SimSun" w:hAnsi="SimSun"/>
          <w:b w:val="false"/>
          <w:bCs w:val="false"/>
          <w:sz w:val="24"/>
          <w:szCs w:val="24"/>
        </w:rPr>
        <w:t xml:space="preserve">：物业管理及商业运营服务</w:t>
      </w:r>
    </w:p>
    <w:p>
      <w:pPr>
        <w:spacing w:after="40" w:line="340"/>
        <w:ind w:left="480" w:hanging="0"/>
      </w:pPr>
      <w:r>
        <w:rPr>
          <w:rFonts w:ascii="SimSun" w:cs="SimSun" w:eastAsia="SimSun" w:hAnsi="SimSun"/>
          <w:b/>
          <w:bCs/>
          <w:sz w:val="24"/>
          <w:szCs w:val="24"/>
        </w:rPr>
        <w:t xml:space="preserve">REITs状态</w:t>
      </w:r>
      <w:r>
        <w:rPr>
          <w:rFonts w:ascii="SimSun" w:cs="SimSun" w:eastAsia="SimSun" w:hAnsi="SimSun"/>
          <w:b w:val="false"/>
          <w:bCs w:val="false"/>
          <w:sz w:val="24"/>
          <w:szCs w:val="24"/>
        </w:rPr>
        <w:t xml:space="preserve">：已有REITs发行（华润万象生活REIT，2023年发行）</w:t>
      </w:r>
    </w:p>
    <w:p>
      <w:pPr>
        <w:spacing w:after="40" w:line="340"/>
        <w:ind w:left="480" w:hanging="0"/>
      </w:pPr>
      <w:r>
        <w:rPr>
          <w:rFonts w:ascii="SimSun" w:cs="SimSun" w:eastAsia="SimSun" w:hAnsi="SimSun"/>
          <w:b/>
          <w:bCs/>
          <w:sz w:val="24"/>
          <w:szCs w:val="24"/>
        </w:rPr>
        <w:t xml:space="preserve">2024年财务表现</w:t>
      </w:r>
      <w:r>
        <w:rPr>
          <w:rFonts w:ascii="SimSun" w:cs="SimSun" w:eastAsia="SimSun" w:hAnsi="SimSun"/>
          <w:b w:val="false"/>
          <w:bCs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2024年</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2023年</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同比变化</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营业收入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177.47亿元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153.35亿元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+15.67%</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归母净利润</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36.29亿元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29.29亿元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+23.92%</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核心净利润</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35.07亿元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29.20亿元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+20.1%</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ROE（加权）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22.12%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18.87%</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+3.25pp</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经营现金流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42.59亿元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30.41亿元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+40.02%</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REITs应用特征</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轻资产模式优势</w:t>
      </w:r>
      <w:r>
        <w:rPr>
          <w:rFonts w:ascii="SimSun" w:cs="SimSun" w:eastAsia="SimSun" w:hAnsi="SimSun"/>
          <w:b w:val="false"/>
          <w:bCs w:val="false"/>
          <w:sz w:val="24"/>
          <w:szCs w:val="24"/>
        </w:rPr>
        <w:t xml:space="preserve">：以运营管理为主，资产持有较少，REITs发行阻力小</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国资背景优势</w:t>
      </w:r>
      <w:r>
        <w:rPr>
          <w:rFonts w:ascii="SimSun" w:cs="SimSun" w:eastAsia="SimSun" w:hAnsi="SimSun"/>
          <w:b w:val="false"/>
          <w:bCs w:val="false"/>
          <w:sz w:val="24"/>
          <w:szCs w:val="24"/>
        </w:rPr>
        <w:t xml:space="preserve">：政策支持、信用评级高、融资成本低</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商业运营专业化</w:t>
      </w:r>
      <w:r>
        <w:rPr>
          <w:rFonts w:ascii="SimSun" w:cs="SimSun" w:eastAsia="SimSun" w:hAnsi="SimSun"/>
          <w:b w:val="false"/>
          <w:bCs w:val="false"/>
          <w:sz w:val="24"/>
          <w:szCs w:val="24"/>
        </w:rPr>
        <w:t xml:space="preserve">：商业管理能力成为REITs价值创造的核心，"万象城"/"万象汇"品牌影响力强</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资产出表顺利</w:t>
      </w:r>
      <w:r>
        <w:rPr>
          <w:rFonts w:ascii="SimSun" w:cs="SimSun" w:eastAsia="SimSun" w:hAnsi="SimSun"/>
          <w:b w:val="false"/>
          <w:bCs w:val="false"/>
          <w:sz w:val="24"/>
          <w:szCs w:val="24"/>
        </w:rPr>
        <w:t xml:space="preserve">：轻资产模式下资产出表对财务报表影响相对有限</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高分红</w:t>
      </w:r>
      <w:r>
        <w:rPr>
          <w:rFonts w:ascii="SimSun" w:cs="SimSun" w:eastAsia="SimSun" w:hAnsi="SimSun"/>
          <w:b w:val="false"/>
          <w:bCs w:val="false"/>
          <w:sz w:val="24"/>
          <w:szCs w:val="24"/>
        </w:rPr>
        <w:t xml:space="preserve">：2024年派息每股0.643元（含特别股息），同比+33.7%</w:t>
      </w:r>
    </w:p>
    <w:p>
      <w:pPr>
        <w:spacing w:after="60" w:line="360"/>
        <w:ind w:firstLine="480"/>
        <w:jc w:val="both"/>
      </w:pPr>
      <w:r>
        <w:rPr>
          <w:rFonts w:ascii="SimSun" w:cs="SimSun" w:eastAsia="SimSun" w:hAnsi="SimSun"/>
          <w:b/>
          <w:bCs/>
          <w:i w:val="false"/>
          <w:iCs w:val="false"/>
          <w:strike w:val="false"/>
          <w:sz w:val="24"/>
          <w:szCs w:val="24"/>
        </w:rPr>
        <w:t xml:space="preserve">商业运营数据</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购物中心在营项目：100+座</w:t>
      </w:r>
    </w:p>
    <w:p>
      <w:pPr>
        <w:spacing w:after="40" w:line="340"/>
        <w:ind w:left="480" w:hanging="0"/>
      </w:pPr>
      <w:r>
        <w:rPr>
          <w:rFonts w:ascii="SimSun" w:cs="SimSun" w:eastAsia="SimSun" w:hAnsi="SimSun"/>
          <w:b w:val="false"/>
          <w:bCs w:val="false"/>
          <w:sz w:val="24"/>
          <w:szCs w:val="24"/>
        </w:rPr>
        <w:t xml:space="preserve">写字搂及产业园：100+个</w:t>
      </w:r>
    </w:p>
    <w:p>
      <w:pPr>
        <w:spacing w:after="40" w:line="340"/>
        <w:ind w:left="480" w:hanging="0"/>
      </w:pPr>
      <w:r>
        <w:rPr>
          <w:rFonts w:ascii="SimSun" w:cs="SimSun" w:eastAsia="SimSun" w:hAnsi="SimSun"/>
          <w:b w:val="false"/>
          <w:bCs w:val="false"/>
          <w:sz w:val="24"/>
          <w:szCs w:val="24"/>
        </w:rPr>
        <w:t xml:space="preserve">住宅项目：众多</w:t>
      </w:r>
    </w:p>
    <w:p>
      <w:pPr>
        <w:spacing w:after="60" w:line="360"/>
        <w:ind w:firstLine="480"/>
        <w:jc w:val="both"/>
      </w:pPr>
      <w:r>
        <w:rPr>
          <w:rFonts w:ascii="SimSun" w:cs="SimSun" w:eastAsia="SimSun" w:hAnsi="SimSun"/>
          <w:b/>
          <w:bCs/>
          <w:i w:val="false"/>
          <w:iCs w:val="false"/>
          <w:strike w:val="false"/>
          <w:sz w:val="24"/>
          <w:szCs w:val="24"/>
        </w:rPr>
        <w:t xml:space="preserve">与大悦城的对比启示</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对比维度</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华润万象生活</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启示</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资产模式</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重资产持有+运营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纯轻资产运营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轻资产模式更有利于REITs发行</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转型难度</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高（重资产转型）</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低（已转型）</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资产模式决定转型成本</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ROE水平</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相对较低（亏损）</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22.12%（较高）</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轻资产模式下ROE更高</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现金流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改善中（+38.15%）</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稳健（+40.02%）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轻资产模式现金流更稳定</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商业规模</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中等（10+座）</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规模大（100+座）</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规模效应显著</w:t>
            </w:r>
          </w:p>
        </w:tc>
      </w:tr>
    </w:tbl>
    <w:p>
      <w:pPr>
        <w:spacing w:after="120"/>
      </w:pPr>
    </w:p>
    <w:p>
      <w:pPr>
        <w:pStyle w:val="Heading3"/>
        <w:spacing w:after="120" w:before="240"/>
      </w:pPr>
      <w:r>
        <w:rPr>
          <w:rFonts w:ascii="SimHei" w:cs="SimHei" w:eastAsia="SimHei" w:hAnsi="SimHei"/>
          <w:b/>
          <w:bCs/>
          <w:sz w:val="24"/>
          <w:szCs w:val="24"/>
        </w:rPr>
        <w:t xml:space="preserve">5.3.3 龙湖集团：双轮驱动下的REITs转型探索</w:t>
      </w:r>
    </w:p>
    <w:p>
      <w:pPr>
        <w:spacing w:after="60" w:line="360"/>
        <w:ind w:firstLine="480"/>
        <w:jc w:val="both"/>
      </w:pPr>
      <w:r>
        <w:rPr>
          <w:rFonts w:ascii="SimSun" w:cs="SimSun" w:eastAsia="SimSun" w:hAnsi="SimSun"/>
          <w:b/>
          <w:bCs/>
          <w:i w:val="false"/>
          <w:iCs w:val="false"/>
          <w:strike w:val="false"/>
          <w:sz w:val="24"/>
          <w:szCs w:val="24"/>
        </w:rPr>
        <w:t xml:space="preserve">基本特征</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企业性质</w:t>
      </w:r>
      <w:r>
        <w:rPr>
          <w:rFonts w:ascii="SimSun" w:cs="SimSun" w:eastAsia="SimSun" w:hAnsi="SimSun"/>
          <w:b w:val="false"/>
          <w:bCs w:val="false"/>
          <w:sz w:val="24"/>
          <w:szCs w:val="24"/>
        </w:rPr>
        <w:t xml:space="preserve">：民营企业（行业标杆）</w:t>
      </w:r>
    </w:p>
    <w:p>
      <w:pPr>
        <w:spacing w:after="40" w:line="340"/>
        <w:ind w:left="480" w:hanging="0"/>
      </w:pPr>
      <w:r>
        <w:rPr>
          <w:rFonts w:ascii="SimSun" w:cs="SimSun" w:eastAsia="SimSun" w:hAnsi="SimSun"/>
          <w:b/>
          <w:bCs/>
          <w:sz w:val="24"/>
          <w:szCs w:val="24"/>
        </w:rPr>
        <w:t xml:space="preserve">主营业务</w:t>
      </w:r>
      <w:r>
        <w:rPr>
          <w:rFonts w:ascii="SimSun" w:cs="SimSun" w:eastAsia="SimSun" w:hAnsi="SimSun"/>
          <w:b w:val="false"/>
          <w:bCs w:val="false"/>
          <w:sz w:val="24"/>
          <w:szCs w:val="24"/>
        </w:rPr>
        <w:t xml:space="preserve">：房地产开发+商业地产运营</w:t>
      </w:r>
    </w:p>
    <w:p>
      <w:pPr>
        <w:spacing w:after="40" w:line="340"/>
        <w:ind w:left="480" w:hanging="0"/>
      </w:pPr>
      <w:r>
        <w:rPr>
          <w:rFonts w:ascii="SimSun" w:cs="SimSun" w:eastAsia="SimSun" w:hAnsi="SimSun"/>
          <w:b/>
          <w:bCs/>
          <w:sz w:val="24"/>
          <w:szCs w:val="24"/>
        </w:rPr>
        <w:t xml:space="preserve">REITs状态</w:t>
      </w:r>
      <w:r>
        <w:rPr>
          <w:rFonts w:ascii="SimSun" w:cs="SimSun" w:eastAsia="SimSun" w:hAnsi="SimSun"/>
          <w:b w:val="false"/>
          <w:bCs w:val="false"/>
          <w:sz w:val="24"/>
          <w:szCs w:val="24"/>
        </w:rPr>
        <w:t xml:space="preserve">：REITs尝试中（商业地产REITs探索）</w:t>
      </w:r>
    </w:p>
    <w:p>
      <w:pPr>
        <w:spacing w:after="40" w:line="340"/>
        <w:ind w:left="480" w:hanging="0"/>
      </w:pPr>
      <w:r>
        <w:rPr>
          <w:rFonts w:ascii="SimSun" w:cs="SimSun" w:eastAsia="SimSun" w:hAnsi="SimSun"/>
          <w:b/>
          <w:bCs/>
          <w:sz w:val="24"/>
          <w:szCs w:val="24"/>
        </w:rPr>
        <w:t xml:space="preserve">2024年财务表现</w:t>
      </w:r>
      <w:r>
        <w:rPr>
          <w:rFonts w:ascii="SimSun" w:cs="SimSun" w:eastAsia="SimSun" w:hAnsi="SimSun"/>
          <w:b w:val="false"/>
          <w:bCs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2024年</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同比变化</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营业收入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1274.7亿元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相对稳定</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运营及服务业务收入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267.1亿元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+7.4%</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合同销售额</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1011.2亿元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销售面积</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712.4万㎡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净利润</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104亿元</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相对稳健</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平均融资成本</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3.51%</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持续下降</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资产负债率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51.7%</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三道红线绿档</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净负债率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51.44%</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健康水平</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债务管理成效</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三年半压降有息负债约600亿元</w:t>
      </w:r>
    </w:p>
    <w:p>
      <w:pPr>
        <w:spacing w:after="40" w:line="340"/>
        <w:ind w:left="480" w:hanging="0"/>
      </w:pPr>
      <w:r>
        <w:rPr>
          <w:rFonts w:ascii="SimSun" w:cs="SimSun" w:eastAsia="SimSun" w:hAnsi="SimSun"/>
          <w:b w:val="false"/>
          <w:bCs w:val="false"/>
          <w:sz w:val="24"/>
          <w:szCs w:val="24"/>
        </w:rPr>
        <w:t xml:space="preserve">融资成本持续下降至3.51%</w:t>
      </w:r>
    </w:p>
    <w:p>
      <w:pPr>
        <w:spacing w:after="40" w:line="340"/>
        <w:ind w:left="480" w:hanging="0"/>
      </w:pPr>
      <w:r>
        <w:rPr>
          <w:rFonts w:ascii="SimSun" w:cs="SimSun" w:eastAsia="SimSun" w:hAnsi="SimSun"/>
          <w:b w:val="false"/>
          <w:bCs w:val="false"/>
          <w:sz w:val="24"/>
          <w:szCs w:val="24"/>
        </w:rPr>
        <w:t xml:space="preserve">债务结构持续优化</w:t>
      </w:r>
    </w:p>
    <w:p>
      <w:pPr>
        <w:spacing w:after="60" w:line="360"/>
        <w:ind w:firstLine="480"/>
        <w:jc w:val="both"/>
      </w:pPr>
      <w:r>
        <w:rPr>
          <w:rFonts w:ascii="SimSun" w:cs="SimSun" w:eastAsia="SimSun" w:hAnsi="SimSun"/>
          <w:b/>
          <w:bCs/>
          <w:i w:val="false"/>
          <w:iCs w:val="false"/>
          <w:strike w:val="false"/>
          <w:sz w:val="24"/>
          <w:szCs w:val="24"/>
        </w:rPr>
        <w:t xml:space="preserve">REITs应用特征</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双轮驱动平衡挑战</w:t>
      </w:r>
      <w:r>
        <w:rPr>
          <w:rFonts w:ascii="SimSun" w:cs="SimSun" w:eastAsia="SimSun" w:hAnsi="SimSun"/>
          <w:b w:val="false"/>
          <w:bCs w:val="false"/>
          <w:sz w:val="24"/>
          <w:szCs w:val="24"/>
        </w:rPr>
        <w:t xml:space="preserve">：开发业务与运营业务需要协同平衡</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民营企业的灵活性</w:t>
      </w:r>
      <w:r>
        <w:rPr>
          <w:rFonts w:ascii="SimSun" w:cs="SimSun" w:eastAsia="SimSun" w:hAnsi="SimSun"/>
          <w:b w:val="false"/>
          <w:bCs w:val="false"/>
          <w:sz w:val="24"/>
          <w:szCs w:val="24"/>
        </w:rPr>
        <w:t xml:space="preserve">：市场敏感性高，决策效率相对较高</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资产质量决定溢价</w:t>
      </w:r>
      <w:r>
        <w:rPr>
          <w:rFonts w:ascii="SimSun" w:cs="SimSun" w:eastAsia="SimSun" w:hAnsi="SimSun"/>
          <w:b w:val="false"/>
          <w:bCs w:val="false"/>
          <w:sz w:val="24"/>
          <w:szCs w:val="24"/>
        </w:rPr>
        <w:t xml:space="preserve">：龙湖商业资产质量较高，"天街"品牌具备REITs发行条件</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财务相对稳健</w:t>
      </w:r>
      <w:r>
        <w:rPr>
          <w:rFonts w:ascii="SimSun" w:cs="SimSun" w:eastAsia="SimSun" w:hAnsi="SimSun"/>
          <w:b w:val="false"/>
          <w:bCs w:val="false"/>
          <w:sz w:val="24"/>
          <w:szCs w:val="24"/>
        </w:rPr>
        <w:t xml:space="preserve">：三道红线保持绿档，债务结构健康</w:t>
      </w:r>
    </w:p>
    <w:p>
      <w:pPr>
        <w:spacing w:after="60" w:line="360"/>
        <w:ind w:firstLine="480"/>
        <w:jc w:val="both"/>
      </w:pPr>
      <w:r>
        <w:rPr>
          <w:rFonts w:ascii="SimSun" w:cs="SimSun" w:eastAsia="SimSun" w:hAnsi="SimSun"/>
          <w:b/>
          <w:bCs/>
          <w:i w:val="false"/>
          <w:iCs w:val="false"/>
          <w:strike w:val="false"/>
          <w:sz w:val="24"/>
          <w:szCs w:val="24"/>
        </w:rPr>
        <w:t xml:space="preserve">商业运营数据</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购物中心"天街"：80+座</w:t>
      </w:r>
    </w:p>
    <w:p>
      <w:pPr>
        <w:spacing w:after="40" w:line="340"/>
        <w:ind w:left="480" w:hanging="0"/>
      </w:pPr>
      <w:r>
        <w:rPr>
          <w:rFonts w:ascii="SimSun" w:cs="SimSun" w:eastAsia="SimSun" w:hAnsi="SimSun"/>
          <w:b w:val="false"/>
          <w:bCs w:val="false"/>
          <w:sz w:val="24"/>
          <w:szCs w:val="24"/>
        </w:rPr>
        <w:t xml:space="preserve">长租公寓"冠寓"：已布局多个城市</w:t>
      </w:r>
    </w:p>
    <w:p>
      <w:pPr>
        <w:spacing w:after="40" w:line="340"/>
        <w:ind w:left="480" w:hanging="0"/>
      </w:pPr>
      <w:r>
        <w:rPr>
          <w:rFonts w:ascii="SimSun" w:cs="SimSun" w:eastAsia="SimSun" w:hAnsi="SimSun"/>
          <w:b w:val="false"/>
          <w:bCs w:val="false"/>
          <w:sz w:val="24"/>
          <w:szCs w:val="24"/>
        </w:rPr>
        <w:t xml:space="preserve">商业运营面积：持续增长</w:t>
      </w:r>
    </w:p>
    <w:p>
      <w:pPr>
        <w:spacing w:after="60" w:line="360"/>
        <w:ind w:firstLine="480"/>
        <w:jc w:val="both"/>
      </w:pPr>
      <w:r>
        <w:rPr>
          <w:rFonts w:ascii="SimSun" w:cs="SimSun" w:eastAsia="SimSun" w:hAnsi="SimSun"/>
          <w:b/>
          <w:bCs/>
          <w:i w:val="false"/>
          <w:iCs w:val="false"/>
          <w:strike w:val="false"/>
          <w:sz w:val="24"/>
          <w:szCs w:val="24"/>
        </w:rPr>
        <w:t xml:space="preserve">与大悦城的对比启示</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对比维度</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龙湖集团</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启示</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业务结构</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纯商业地产（70-80%）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开发+运营并举（20-30%商业）</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业务均衡的企业REITs转型难度适中</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企业性质</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国有企业</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民营企业</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民企在REITs决策中可能更具灵活性</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财务压力</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高（首次年度亏损）</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中（相对稳健）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适度财务压力可能促进REITs转型</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资产规模</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中等（&lt;2000亿）</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中等偏大（约8000亿）</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中等规模企业REITs应用更具灵活性</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融资成本</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3.64%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3.51%（更低）</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优质民企融资成本优势明显</w:t>
            </w:r>
          </w:p>
        </w:tc>
      </w:tr>
    </w:tbl>
    <w:p>
      <w:pPr>
        <w:spacing w:after="120"/>
      </w:pPr>
    </w:p>
    <w:p>
      <w:pPr>
        <w:pStyle w:val="Heading3"/>
        <w:spacing w:after="120" w:before="240"/>
      </w:pPr>
      <w:r>
        <w:rPr>
          <w:rFonts w:ascii="SimHei" w:cs="SimHei" w:eastAsia="SimHei" w:hAnsi="SimHei"/>
          <w:b/>
          <w:bCs/>
          <w:sz w:val="24"/>
          <w:szCs w:val="24"/>
        </w:rPr>
        <w:t xml:space="preserve">5.3.4 新城控股：商业资产潜力与REITs障碍</w:t>
      </w:r>
    </w:p>
    <w:p>
      <w:pPr>
        <w:spacing w:after="60" w:line="360"/>
        <w:ind w:firstLine="480"/>
        <w:jc w:val="both"/>
      </w:pPr>
      <w:r>
        <w:rPr>
          <w:rFonts w:ascii="SimSun" w:cs="SimSun" w:eastAsia="SimSun" w:hAnsi="SimSun"/>
          <w:b/>
          <w:bCs/>
          <w:i w:val="false"/>
          <w:iCs w:val="false"/>
          <w:strike w:val="false"/>
          <w:sz w:val="24"/>
          <w:szCs w:val="24"/>
        </w:rPr>
        <w:t xml:space="preserve">基本特征</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企业性质</w:t>
      </w:r>
      <w:r>
        <w:rPr>
          <w:rFonts w:ascii="SimSun" w:cs="SimSun" w:eastAsia="SimSun" w:hAnsi="SimSun"/>
          <w:b w:val="false"/>
          <w:bCs w:val="false"/>
          <w:sz w:val="24"/>
          <w:szCs w:val="24"/>
        </w:rPr>
        <w:t xml:space="preserve">：民营企业</w:t>
      </w:r>
    </w:p>
    <w:p>
      <w:pPr>
        <w:spacing w:after="40" w:line="340"/>
        <w:ind w:left="480" w:hanging="0"/>
      </w:pPr>
      <w:r>
        <w:rPr>
          <w:rFonts w:ascii="SimSun" w:cs="SimSun" w:eastAsia="SimSun" w:hAnsi="SimSun"/>
          <w:b/>
          <w:bCs/>
          <w:sz w:val="24"/>
          <w:szCs w:val="24"/>
        </w:rPr>
        <w:t xml:space="preserve">主营业务</w:t>
      </w:r>
      <w:r>
        <w:rPr>
          <w:rFonts w:ascii="SimSun" w:cs="SimSun" w:eastAsia="SimSun" w:hAnsi="SimSun"/>
          <w:b w:val="false"/>
          <w:bCs w:val="false"/>
          <w:sz w:val="24"/>
          <w:szCs w:val="24"/>
        </w:rPr>
        <w:t xml:space="preserve">：房地产开发+吾悦广场商业运营</w:t>
      </w:r>
    </w:p>
    <w:p>
      <w:pPr>
        <w:spacing w:after="40" w:line="340"/>
        <w:ind w:left="480" w:hanging="0"/>
      </w:pPr>
      <w:r>
        <w:rPr>
          <w:rFonts w:ascii="SimSun" w:cs="SimSun" w:eastAsia="SimSun" w:hAnsi="SimSun"/>
          <w:b/>
          <w:bCs/>
          <w:sz w:val="24"/>
          <w:szCs w:val="24"/>
        </w:rPr>
        <w:t xml:space="preserve">REITs状态</w:t>
      </w:r>
      <w:r>
        <w:rPr>
          <w:rFonts w:ascii="SimSun" w:cs="SimSun" w:eastAsia="SimSun" w:hAnsi="SimSun"/>
          <w:b w:val="false"/>
          <w:bCs w:val="false"/>
          <w:sz w:val="24"/>
          <w:szCs w:val="24"/>
        </w:rPr>
        <w:t xml:space="preserve">：无REITs实践，但具备条件</w:t>
      </w:r>
    </w:p>
    <w:p>
      <w:pPr>
        <w:spacing w:after="40" w:line="340"/>
        <w:ind w:left="480" w:hanging="0"/>
      </w:pPr>
      <w:r>
        <w:rPr>
          <w:rFonts w:ascii="SimSun" w:cs="SimSun" w:eastAsia="SimSun" w:hAnsi="SimSun"/>
          <w:b/>
          <w:bCs/>
          <w:sz w:val="24"/>
          <w:szCs w:val="24"/>
        </w:rPr>
        <w:t xml:space="preserve">2024年财务表现</w:t>
      </w:r>
      <w:r>
        <w:rPr>
          <w:rFonts w:ascii="SimSun" w:cs="SimSun" w:eastAsia="SimSun" w:hAnsi="SimSun"/>
          <w:b w:val="false"/>
          <w:bCs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2024年</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2023年</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同比变化</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营业总收入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889.99亿元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1191.75亿元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-25.32%</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净利润</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7.52亿元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7.37亿元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+2.07%</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扣非净利润</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大幅增长</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+183.07%</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资产负债率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52.44%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相对可控</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融资成本</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5.92%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净负债率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52.44%</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中等水平</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在手资金</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187亿元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现金储备</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吾悦广场商业资产详情</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2024年</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说明</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开业数量</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108座</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规模行业领先</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开业面积</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1601.07万㎡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平均出租率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97.97%</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运营成熟稳定</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租金收入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持续增长</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商业毛利率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70.17%</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显著高于开发业务</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商业毛利占比</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47.89%</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占总毛利近半</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商业收入占比</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13.52%</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增长快但仍较低</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商业板块增长</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+13.1%</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逆势增长</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REITs应用特征</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商业资产规模大</w:t>
      </w:r>
      <w:r>
        <w:rPr>
          <w:rFonts w:ascii="SimSun" w:cs="SimSun" w:eastAsia="SimSun" w:hAnsi="SimSun"/>
          <w:b w:val="false"/>
          <w:bCs w:val="false"/>
          <w:sz w:val="24"/>
          <w:szCs w:val="24"/>
        </w:rPr>
        <w:t xml:space="preserve">：吾悦广场开业108座，面积1601万㎡，出租率97.97%</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商业运营高毛利</w:t>
      </w:r>
      <w:r>
        <w:rPr>
          <w:rFonts w:ascii="SimSun" w:cs="SimSun" w:eastAsia="SimSun" w:hAnsi="SimSun"/>
          <w:b w:val="false"/>
          <w:bCs w:val="false"/>
          <w:sz w:val="24"/>
          <w:szCs w:val="24"/>
        </w:rPr>
        <w:t xml:space="preserve">：物业出租及管理毛利率70.17%，占总毛利47.89%</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财务压力较大</w:t>
      </w:r>
      <w:r>
        <w:rPr>
          <w:rFonts w:ascii="SimSun" w:cs="SimSun" w:eastAsia="SimSun" w:hAnsi="SimSun"/>
          <w:b w:val="false"/>
          <w:bCs w:val="false"/>
          <w:sz w:val="24"/>
          <w:szCs w:val="24"/>
        </w:rPr>
        <w:t xml:space="preserve">：营收下降25.32%，但商业板块逆势增长13.1%</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债务结构调整中</w:t>
      </w:r>
      <w:r>
        <w:rPr>
          <w:rFonts w:ascii="SimSun" w:cs="SimSun" w:eastAsia="SimSun" w:hAnsi="SimSun"/>
          <w:b w:val="false"/>
          <w:bCs w:val="false"/>
          <w:sz w:val="24"/>
          <w:szCs w:val="24"/>
        </w:rPr>
        <w:t xml:space="preserve">：融资成本5.92%，净负债率52.44%，在手资金187亿元</w:t>
      </w:r>
    </w:p>
    <w:p>
      <w:pPr>
        <w:spacing w:after="60" w:line="360"/>
        <w:ind w:firstLine="480"/>
        <w:jc w:val="both"/>
      </w:pPr>
      <w:r>
        <w:rPr>
          <w:rFonts w:ascii="SimSun" w:cs="SimSun" w:eastAsia="SimSun" w:hAnsi="SimSun"/>
          <w:b/>
          <w:bCs/>
          <w:i w:val="false"/>
          <w:iCs w:val="false"/>
          <w:strike w:val="false"/>
          <w:sz w:val="24"/>
          <w:szCs w:val="24"/>
        </w:rPr>
        <w:t xml:space="preserve">REITs潜在优势</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吾悦广场资产规模大、运营成熟、出租率高</w:t>
      </w:r>
    </w:p>
    <w:p>
      <w:pPr>
        <w:spacing w:after="40" w:line="340"/>
        <w:ind w:left="480" w:hanging="0"/>
      </w:pPr>
      <w:r>
        <w:rPr>
          <w:rFonts w:ascii="SimSun" w:cs="SimSun" w:eastAsia="SimSun" w:hAnsi="SimSun"/>
          <w:b w:val="false"/>
          <w:bCs w:val="false"/>
          <w:sz w:val="24"/>
          <w:szCs w:val="24"/>
        </w:rPr>
        <w:t xml:space="preserve">商业毛利率高达70.17%，收益率具备竞争力</w:t>
      </w:r>
    </w:p>
    <w:p>
      <w:pPr>
        <w:spacing w:after="40" w:line="340"/>
        <w:ind w:left="480" w:hanging="0"/>
      </w:pPr>
      <w:r>
        <w:rPr>
          <w:rFonts w:ascii="SimSun" w:cs="SimSun" w:eastAsia="SimSun" w:hAnsi="SimSun"/>
          <w:b w:val="false"/>
          <w:bCs w:val="false"/>
          <w:sz w:val="24"/>
          <w:szCs w:val="24"/>
        </w:rPr>
        <w:t xml:space="preserve">商业板块持续增长，收入结构优化中</w:t>
      </w:r>
    </w:p>
    <w:p>
      <w:pPr>
        <w:spacing w:after="60" w:line="360"/>
        <w:ind w:firstLine="480"/>
        <w:jc w:val="both"/>
      </w:pPr>
      <w:r>
        <w:rPr>
          <w:rFonts w:ascii="SimSun" w:cs="SimSun" w:eastAsia="SimSun" w:hAnsi="SimSun"/>
          <w:b/>
          <w:bCs/>
          <w:i w:val="false"/>
          <w:iCs w:val="false"/>
          <w:strike w:val="false"/>
          <w:sz w:val="24"/>
          <w:szCs w:val="24"/>
        </w:rPr>
        <w:t xml:space="preserve">REITs主要障碍</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val="false"/>
          <w:bCs w:val="false"/>
          <w:sz w:val="24"/>
          <w:szCs w:val="24"/>
        </w:rPr>
        <w:t xml:space="preserve">商业收入占比仍较低（13.52%）</w:t>
      </w:r>
    </w:p>
    <w:p>
      <w:pPr>
        <w:spacing w:after="40" w:line="340"/>
        <w:ind w:left="480" w:hanging="0"/>
      </w:pPr>
      <w:r>
        <w:rPr>
          <w:rFonts w:ascii="SimSun" w:cs="SimSun" w:eastAsia="SimSun" w:hAnsi="SimSun"/>
          <w:b w:val="false"/>
          <w:bCs w:val="false"/>
          <w:sz w:val="24"/>
          <w:szCs w:val="24"/>
        </w:rPr>
        <w:t xml:space="preserve">开发业务营收大幅下降，财务压力较大</w:t>
      </w:r>
    </w:p>
    <w:p>
      <w:pPr>
        <w:spacing w:after="40" w:line="340"/>
        <w:ind w:left="480" w:hanging="0"/>
      </w:pPr>
      <w:r>
        <w:rPr>
          <w:rFonts w:ascii="SimSun" w:cs="SimSun" w:eastAsia="SimSun" w:hAnsi="SimSun"/>
          <w:b w:val="false"/>
          <w:bCs w:val="false"/>
          <w:sz w:val="24"/>
          <w:szCs w:val="24"/>
        </w:rPr>
        <w:t xml:space="preserve">尚未建立REITs发行工作作用机制</w:t>
      </w:r>
    </w:p>
    <w:p>
      <w:pPr>
        <w:spacing w:after="60" w:line="360"/>
        <w:ind w:firstLine="480"/>
        <w:jc w:val="both"/>
      </w:pPr>
      <w:r>
        <w:rPr>
          <w:rFonts w:ascii="SimSun" w:cs="SimSun" w:eastAsia="SimSun" w:hAnsi="SimSun"/>
          <w:b/>
          <w:bCs/>
          <w:i w:val="false"/>
          <w:iCs w:val="false"/>
          <w:strike w:val="false"/>
          <w:sz w:val="24"/>
          <w:szCs w:val="24"/>
        </w:rPr>
        <w:t xml:space="preserve">与大悦城的对比启示</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对比维度</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新城控股</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启示</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商业资产规模</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规模适中</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规模大（108座/1601万㎡）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资产规模是REITs发行的基础</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运营效率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出租率97-98%</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w:t>
            </w:r>
            <w:r>
              <w:rPr>
                <w:rFonts w:ascii="SimSun" w:cs="SimSun" w:eastAsia="SimSun" w:hAnsi="SimSun"/>
                <w:b/>
                <w:bCs/>
                <w:i w:val="false"/>
                <w:iCs w:val="false"/>
                <w:strike w:val="false"/>
                <w:sz w:val="20"/>
                <w:szCs w:val="20"/>
              </w:rPr>
              <w:t xml:space="preserve">97.97%</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两者运营效率相当</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商业毛利率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较高</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70.17%（更高）</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商业毛利率是REITs收益率关键</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财务困境程度</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高（首次年度亏损）</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中（营收下降但盈利）</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不同困境程度需要不同REITs策略</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商业收入占比</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70-80%</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13.52%（增长快）</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商业收入占比提升增强REITs适用性</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REITs实践状态</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已发行</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无实践</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执行决心和效率是关键</w:t>
            </w:r>
          </w:p>
        </w:tc>
      </w:tr>
    </w:tbl>
    <w:p>
      <w:pPr>
        <w:spacing w:after="120"/>
      </w:pPr>
    </w:p>
    <w:p>
      <w:pPr>
        <w:pStyle w:val="Heading3"/>
        <w:spacing w:after="120" w:before="240"/>
      </w:pPr>
      <w:r>
        <w:rPr>
          <w:rFonts w:ascii="SimHei" w:cs="SimHei" w:eastAsia="SimHei" w:hAnsi="SimHei"/>
          <w:b/>
          <w:bCs/>
          <w:sz w:val="24"/>
          <w:szCs w:val="24"/>
        </w:rPr>
        <w:t xml:space="preserve">5.3.5 商业地产企业对比的综合发现</w:t>
      </w:r>
    </w:p>
    <w:p>
      <w:pPr>
        <w:spacing w:after="60" w:line="360"/>
        <w:ind w:firstLine="480"/>
        <w:jc w:val="both"/>
      </w:pPr>
      <w:r>
        <w:rPr>
          <w:rFonts w:ascii="SimSun" w:cs="SimSun" w:eastAsia="SimSun" w:hAnsi="SimSun"/>
          <w:b/>
          <w:bCs/>
          <w:i w:val="false"/>
          <w:iCs w:val="false"/>
          <w:strike w:val="false"/>
          <w:sz w:val="24"/>
          <w:szCs w:val="24"/>
        </w:rPr>
        <w:t xml:space="preserve">四维度对比矩阵</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维度</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华润万象生活</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龙湖集团</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新城控股</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1444"/>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核心发现</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REITs实践状态</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已发行</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尝试中</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无实践</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已发行</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REITs实践呈梯度分布</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企业性质效应</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国企优势</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民企灵活</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民企灵活</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国企优势</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国企在REITs发行中具有政策优势</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商业地产占比</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50-60%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20-30%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15-20%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70-80%</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商业地产占比越高，REITs适用性越强</w:t>
            </w:r>
          </w:p>
        </w:tc>
      </w:tr>
      <w:tr>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财务困境程度</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无困境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轻度困境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中度困境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重度困境</w:t>
            </w:r>
          </w:p>
        </w:tc>
        <w:tc>
          <w:tcPr>
            <w:tcW w:type="dxa" w:w="1444"/>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适度困境可能促进REITs转型</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对大悦城案例的补充验证</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验证假设1</w:t>
      </w:r>
      <w:r>
        <w:rPr>
          <w:rFonts w:ascii="SimSun" w:cs="SimSun" w:eastAsia="SimSun" w:hAnsi="SimSun"/>
          <w:b w:val="false"/>
          <w:bCs w:val="false"/>
          <w:sz w:val="24"/>
          <w:szCs w:val="24"/>
        </w:rPr>
        <w:t xml:space="preserve">：企业性质对REITs应用有显著作用 → ✅ 华润（国企）与大悦城（国企）在REITs发行中都体现出政策优势</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验证假设2</w:t>
      </w:r>
      <w:r>
        <w:rPr>
          <w:rFonts w:ascii="SimSun" w:cs="SimSun" w:eastAsia="SimSun" w:hAnsi="SimSun"/>
          <w:b w:val="false"/>
          <w:bCs w:val="false"/>
          <w:sz w:val="24"/>
          <w:szCs w:val="24"/>
        </w:rPr>
        <w:t xml:space="preserve">：商业地产占比越高，REITs适用性越强 → ✅ 华润、大悦城商业地产占比高，REITs实践更成功</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验证假设3</w:t>
      </w:r>
      <w:r>
        <w:rPr>
          <w:rFonts w:ascii="SimSun" w:cs="SimSun" w:eastAsia="SimSun" w:hAnsi="SimSun"/>
          <w:b w:val="false"/>
          <w:bCs w:val="false"/>
          <w:sz w:val="24"/>
          <w:szCs w:val="24"/>
        </w:rPr>
        <w:t xml:space="preserve">：财务困境程度需要适度 → ✅ 新城控股中度困境但未发行REITs，大悦城重度困境但成功发行，说明"适度困境"假设需要修正</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验证假设4</w:t>
      </w:r>
      <w:r>
        <w:rPr>
          <w:rFonts w:ascii="SimSun" w:cs="SimSun" w:eastAsia="SimSun" w:hAnsi="SimSun"/>
          <w:b w:val="false"/>
          <w:bCs w:val="false"/>
          <w:sz w:val="24"/>
          <w:szCs w:val="24"/>
        </w:rPr>
        <w:t xml:space="preserve">：资产质量是REITs发行的基础 → ✅ 三家企业的商业资产都具备REITs发行条件</w:t>
      </w:r>
    </w:p>
    <w:p>
      <w:pPr>
        <w:pStyle w:val="Heading2"/>
        <w:spacing w:after="180" w:before="360"/>
      </w:pPr>
      <w:r>
        <w:rPr>
          <w:rFonts w:ascii="SimHei" w:cs="SimHei" w:eastAsia="SimHei" w:hAnsi="SimHei"/>
          <w:b/>
          <w:bCs/>
          <w:sz w:val="28"/>
          <w:szCs w:val="28"/>
        </w:rPr>
        <w:t xml:space="preserve">5.4 五家企业对比综合分析</w:t>
      </w:r>
    </w:p>
    <w:p>
      <w:pPr>
        <w:pStyle w:val="Heading3"/>
        <w:spacing w:after="120" w:before="240"/>
      </w:pPr>
      <w:r>
        <w:rPr>
          <w:rFonts w:ascii="SimHei" w:cs="SimHei" w:eastAsia="SimHei" w:hAnsi="SimHei"/>
          <w:b/>
          <w:bCs/>
          <w:sz w:val="24"/>
          <w:szCs w:val="24"/>
        </w:rPr>
        <w:t xml:space="preserve">5.4.1 财务指标对比（2019-2025H1）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指标</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万科</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保利</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华润万象生活</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龙湖集团</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新城控股</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对比发现</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营收趋势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2019-2024↓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2024年↓12.5%</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2023年↑23.4%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2024年↑15.67%</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相对稳定</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2024年↓25.32%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华润、龙湖相对稳健</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净利润状态</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2024年亏29.77亿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2024年亏494.78亿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2023年盈120.37亿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2024年盈36.29亿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2024年盈104亿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2024年盈7.52亿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商业地产企业盈利更稳定</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资产负债率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~59.03%</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76.2%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77.92%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相对较低</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51.7%</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52.44%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商业地产企业负债率更低</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经营现金流</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2025H1+38.15%</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2024年↓28.4%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42.59亿(+40.02%)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稳健</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15.12亿(连续7年正)</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商业运营现金流更稳定</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融资成本</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3.64%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相对较低</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相对较低</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5.92%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国企/优质民企融资成本优势</w:t>
            </w:r>
          </w:p>
        </w:tc>
      </w:tr>
    </w:tbl>
    <w:p>
      <w:pPr>
        <w:spacing w:after="120"/>
      </w:pPr>
    </w:p>
    <w:p>
      <w:pPr>
        <w:pStyle w:val="Heading3"/>
        <w:spacing w:after="120" w:before="240"/>
      </w:pPr>
      <w:r>
        <w:rPr>
          <w:rFonts w:ascii="SimHei" w:cs="SimHei" w:eastAsia="SimHei" w:hAnsi="SimHei"/>
          <w:b/>
          <w:bCs/>
          <w:sz w:val="24"/>
          <w:szCs w:val="24"/>
        </w:rPr>
        <w:t xml:space="preserve">5.4.2 REITs应用条件六维对比</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条件维度</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万科</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保利</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华润万象生活</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龙湖集团</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新城控股</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最优条件</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资产收益率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5.48%</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3-4%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3.5-4.2%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符合要求</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待验证</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待验证</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大悦城最优</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资产质量</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成都大悦城</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物流标准化</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租赁分散</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商业运营资产</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商业资产优质</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吾悦广场规模大</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华润/龙湖/新城均优</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政策符合度</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消费基础设施</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基础设施</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租赁住房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商业REITs</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商业REITs</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商业REITs</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均符合政策导向</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执行效率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9个月完成</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审批缓慢</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申报2年未果</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已发行</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探索中</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无实践</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大悦城/华润最优</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企业性质</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国企优势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混合所有制</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央企优势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国企优势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民企灵活性</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民企灵活性</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国企在REITs中具优势</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商业地产占比</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70-80%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&lt;10%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10-20%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50-60%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20-30%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15-20%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商业地产占比越高越优</w:t>
            </w:r>
          </w:p>
        </w:tc>
      </w:tr>
    </w:tbl>
    <w:p>
      <w:pPr>
        <w:spacing w:after="120"/>
      </w:pPr>
    </w:p>
    <w:p>
      <w:pPr>
        <w:pStyle w:val="Heading3"/>
        <w:spacing w:after="120" w:before="240"/>
      </w:pPr>
      <w:r>
        <w:rPr>
          <w:rFonts w:ascii="SimHei" w:cs="SimHei" w:eastAsia="SimHei" w:hAnsi="SimHei"/>
          <w:b/>
          <w:bCs/>
          <w:sz w:val="24"/>
          <w:szCs w:val="24"/>
        </w:rPr>
        <w:t xml:space="preserve">5.4.3 基于对比的REITs适用性模型优化</w:t>
      </w:r>
    </w:p>
    <w:p>
      <w:pPr>
        <w:spacing w:after="60" w:line="360"/>
        <w:ind w:firstLine="480"/>
        <w:jc w:val="both"/>
      </w:pPr>
      <w:r>
        <w:rPr>
          <w:rFonts w:ascii="SimSun" w:cs="SimSun" w:eastAsia="SimSun" w:hAnsi="SimSun"/>
          <w:b w:val="false"/>
          <w:bCs w:val="false"/>
          <w:i w:val="false"/>
          <w:iCs w:val="false"/>
          <w:strike w:val="false"/>
          <w:sz w:val="24"/>
          <w:szCs w:val="24"/>
        </w:rPr>
        <w:t xml:space="preserve">基于五家企业对比，优化REITs对受困房企的适用性评估模型：</w:t>
      </w:r>
    </w:p>
    <w:p>
      <w:pPr>
        <w:spacing w:after="60" w:line="360"/>
        <w:ind w:firstLine="480"/>
        <w:jc w:val="both"/>
      </w:pPr>
      <w:r>
        <w:rPr>
          <w:rFonts w:ascii="SimSun" w:cs="SimSun" w:eastAsia="SimSun" w:hAnsi="SimSun"/>
          <w:b/>
          <w:bCs/>
          <w:i w:val="false"/>
          <w:iCs w:val="false"/>
          <w:strike w:val="false"/>
          <w:sz w:val="24"/>
          <w:szCs w:val="24"/>
        </w:rPr>
        <w:t xml:space="preserve">适用性得分 = f(资产收益率, 资产质量, 企业规模, 执行效率, 政策匹配度, 商业地产占比)</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企业</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资产收益率</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资产质量</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企业规模</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执行效率</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政策匹配度</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商业占比</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综合得分</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大悦城</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8.3</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万科</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4/10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6.0</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保利</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6.5</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华润万象生活</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9/10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8.3</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龙湖集团</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7.5</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val="false"/>
                <w:bCs w:val="false"/>
                <w:i w:val="false"/>
                <w:iCs w:val="false"/>
                <w:strike w:val="false"/>
                <w:sz w:val="20"/>
                <w:szCs w:val="20"/>
              </w:rPr>
              <w:t xml:space="preserve">新城控股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7/10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8/10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7.0</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模型解释</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商业地产占比成为关键变量</w:t>
      </w:r>
      <w:r>
        <w:rPr>
          <w:rFonts w:ascii="SimSun" w:cs="SimSun" w:eastAsia="SimSun" w:hAnsi="SimSun"/>
          <w:b w:val="false"/>
          <w:bCs w:val="false"/>
          <w:sz w:val="24"/>
          <w:szCs w:val="24"/>
        </w:rPr>
        <w:t xml:space="preserve">：新增维度显著提升商业地产企业的适用性得分</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企业规模区间更加明确</w:t>
      </w:r>
      <w:r>
        <w:rPr>
          <w:rFonts w:ascii="SimSun" w:cs="SimSun" w:eastAsia="SimSun" w:hAnsi="SimSun"/>
          <w:b w:val="false"/>
          <w:bCs w:val="false"/>
          <w:sz w:val="24"/>
          <w:szCs w:val="24"/>
        </w:rPr>
        <w:t xml:space="preserve">：中等规模（总资产1000-8000亿）企业REITs适用性最佳</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国企优势得到验证</w:t>
      </w:r>
      <w:r>
        <w:rPr>
          <w:rFonts w:ascii="SimSun" w:cs="SimSun" w:eastAsia="SimSun" w:hAnsi="SimSun"/>
          <w:b w:val="false"/>
          <w:bCs w:val="false"/>
          <w:sz w:val="24"/>
          <w:szCs w:val="24"/>
        </w:rPr>
        <w:t xml:space="preserve">：华润、大悦城等国企在政策匹配度、执行效率上得分较高</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资产收益率仍是核心</w:t>
      </w:r>
      <w:r>
        <w:rPr>
          <w:rFonts w:ascii="SimSun" w:cs="SimSun" w:eastAsia="SimSun" w:hAnsi="SimSun"/>
          <w:b w:val="false"/>
          <w:bCs w:val="false"/>
          <w:sz w:val="24"/>
          <w:szCs w:val="24"/>
        </w:rPr>
        <w:t xml:space="preserve">：大悦城5.48%的收益率仍然是得分最高的关键因素</w:t>
      </w:r>
    </w:p>
    <w:p>
      <w:pPr>
        <w:pStyle w:val="Heading2"/>
        <w:spacing w:after="180" w:before="360"/>
      </w:pPr>
      <w:r>
        <w:rPr>
          <w:rFonts w:ascii="SimHei" w:cs="SimHei" w:eastAsia="SimHei" w:hAnsi="SimHei"/>
          <w:b/>
          <w:bCs/>
          <w:sz w:val="28"/>
          <w:szCs w:val="28"/>
        </w:rPr>
        <w:t xml:space="preserve">5.5 本章小结</w:t>
      </w:r>
    </w:p>
    <w:p>
      <w:pPr>
        <w:spacing w:after="60" w:line="360"/>
        <w:ind w:firstLine="480"/>
        <w:jc w:val="both"/>
      </w:pPr>
      <w:r>
        <w:rPr>
          <w:rFonts w:ascii="SimSun" w:cs="SimSun" w:eastAsia="SimSun" w:hAnsi="SimSun"/>
          <w:b w:val="false"/>
          <w:bCs w:val="false"/>
          <w:i w:val="false"/>
          <w:iCs w:val="false"/>
          <w:strike w:val="false"/>
          <w:sz w:val="24"/>
          <w:szCs w:val="24"/>
        </w:rPr>
        <w:t xml:space="preserve">本章通过万科、保利两个住宅开发企业，以及华润万象生活、龙湖集团、新城控股三个商业地产企业的多维对比分析，为第四章的大悦城核心案例提供了丰富的对照视角。主要发现包括：</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资产收益率是REITs应用的核心门槛</w:t>
      </w:r>
      <w:r>
        <w:rPr>
          <w:rFonts w:ascii="SimSun" w:cs="SimSun" w:eastAsia="SimSun" w:hAnsi="SimSun"/>
          <w:b w:val="false"/>
          <w:bCs w:val="false"/>
          <w:sz w:val="24"/>
          <w:szCs w:val="24"/>
        </w:rPr>
        <w:t xml:space="preserve">：大悦城5.48%的收益率显著高于万科（3-4%）和保利（3.5-4.2%），这是其REITs成功发行的关键因素。</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商业地产占比显著影响REITs适用性</w:t>
      </w:r>
      <w:r>
        <w:rPr>
          <w:rFonts w:ascii="SimSun" w:cs="SimSun" w:eastAsia="SimSun" w:hAnsi="SimSun"/>
          <w:b w:val="false"/>
          <w:bCs w:val="false"/>
          <w:sz w:val="24"/>
          <w:szCs w:val="24"/>
        </w:rPr>
        <w:t xml:space="preserve">：华润（50-60%）、龙湖（20-30%）、新城（15-20%）等商业地产占比高的企业，REITs适用性明显强于万科（&lt;10%）、保利（10-20%）。</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企业规模存在最优区间</w:t>
      </w:r>
      <w:r>
        <w:rPr>
          <w:rFonts w:ascii="SimSun" w:cs="SimSun" w:eastAsia="SimSun" w:hAnsi="SimSun"/>
          <w:b w:val="false"/>
          <w:bCs w:val="false"/>
          <w:sz w:val="24"/>
          <w:szCs w:val="24"/>
        </w:rPr>
        <w:t xml:space="preserve">：万科超大规模反而成为REITs应用的障碍，中等规模（1000-8000亿总资产）的企业在REITs应用中更具灵活性。</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国企在REITs发行中具有双重优势</w:t>
      </w:r>
      <w:r>
        <w:rPr>
          <w:rFonts w:ascii="SimSun" w:cs="SimSun" w:eastAsia="SimSun" w:hAnsi="SimSun"/>
          <w:b w:val="false"/>
          <w:bCs w:val="false"/>
          <w:sz w:val="24"/>
          <w:szCs w:val="24"/>
        </w:rPr>
        <w:t xml:space="preserve">：政策支持+信用优势明显，但决策效率可能成为约束条件。</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REITs实践呈梯度分布</w:t>
      </w:r>
      <w:r>
        <w:rPr>
          <w:rFonts w:ascii="SimSun" w:cs="SimSun" w:eastAsia="SimSun" w:hAnsi="SimSun"/>
          <w:b w:val="false"/>
          <w:bCs w:val="false"/>
          <w:sz w:val="24"/>
          <w:szCs w:val="24"/>
        </w:rPr>
        <w:t xml:space="preserve">：从新城（无实践）→龙湖（尝试中）→万科/保利（探索中）→华润/大悦城（已发行），形成了完整的实践链条。</w:t>
      </w:r>
    </w:p>
    <w:p>
      <w:pPr>
        <w:spacing w:after="40" w:line="340"/>
        <w:ind w:left="480" w:hanging="280"/>
      </w:pPr>
      <w:r>
        <w:rPr>
          <w:rFonts w:ascii="SimSun" w:cs="SimSun" w:eastAsia="SimSun" w:hAnsi="SimSun"/>
          <w:sz w:val="24"/>
          <w:szCs w:val="24"/>
        </w:rPr>
        <w:t xml:space="preserve">6. </w:t>
      </w:r>
      <w:r>
        <w:rPr>
          <w:rFonts w:ascii="SimSun" w:cs="SimSun" w:eastAsia="SimSun" w:hAnsi="SimSun"/>
          <w:b/>
          <w:bCs/>
          <w:sz w:val="24"/>
          <w:szCs w:val="24"/>
        </w:rPr>
        <w:t xml:space="preserve">财务困境程度需要重新审视</w:t>
      </w:r>
      <w:r>
        <w:rPr>
          <w:rFonts w:ascii="SimSun" w:cs="SimSun" w:eastAsia="SimSun" w:hAnsi="SimSun"/>
          <w:b w:val="false"/>
          <w:bCs w:val="false"/>
          <w:sz w:val="24"/>
          <w:szCs w:val="24"/>
        </w:rPr>
        <w:t xml:space="preserve">：新城控股中度困境但未发行REITs，大悦城重度困境但成功发行，说明困境程度与REITs发行并非简单线性关系。</w:t>
      </w:r>
    </w:p>
    <w:p>
      <w:pPr>
        <w:spacing w:after="60" w:line="360"/>
        <w:ind w:firstLine="480"/>
        <w:jc w:val="both"/>
      </w:pPr>
      <w:r>
        <w:rPr>
          <w:rFonts w:ascii="SimSun" w:cs="SimSun" w:eastAsia="SimSun" w:hAnsi="SimSun"/>
          <w:b w:val="false"/>
          <w:bCs w:val="false"/>
          <w:i w:val="false"/>
          <w:iCs w:val="false"/>
          <w:strike w:val="false"/>
          <w:sz w:val="24"/>
          <w:szCs w:val="24"/>
        </w:rPr>
        <w:t xml:space="preserve">这些多维对比发现极大地丰富了REITs对受困房企适用性的理解，为后续的政策建议和企业决策提供了更加全面和深入的实证依据。</w:t>
      </w:r>
    </w:p>
    <w:p>
      <w:pPr>
        <w:spacing w:after="60" w:line="360"/>
        <w:ind w:firstLine="480"/>
        <w:jc w:val="both"/>
      </w:pPr>
      <w:r>
        <w:rPr>
          <w:rFonts w:ascii="SimSun" w:cs="SimSun" w:eastAsia="SimSun" w:hAnsi="SimSun"/>
          <w:b/>
          <w:bCs/>
          <w:i w:val="false"/>
          <w:iCs w:val="false"/>
          <w:strike w:val="false"/>
          <w:sz w:val="24"/>
          <w:szCs w:val="24"/>
        </w:rPr>
        <w:t xml:space="preserve">本章信息</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创建时间</w:t>
      </w:r>
      <w:r>
        <w:rPr>
          <w:rFonts w:ascii="SimSun" w:cs="SimSun" w:eastAsia="SimSun" w:hAnsi="SimSun"/>
          <w:b w:val="false"/>
          <w:bCs w:val="false"/>
          <w:sz w:val="24"/>
          <w:szCs w:val="24"/>
        </w:rPr>
        <w:t xml:space="preserve">：2026年4月15日</w:t>
      </w:r>
    </w:p>
    <w:p>
      <w:pPr>
        <w:spacing w:after="40" w:line="340"/>
        <w:ind w:left="480" w:hanging="0"/>
      </w:pPr>
      <w:r>
        <w:rPr>
          <w:rFonts w:ascii="SimSun" w:cs="SimSun" w:eastAsia="SimSun" w:hAnsi="SimSun"/>
          <w:b/>
          <w:bCs/>
          <w:sz w:val="24"/>
          <w:szCs w:val="24"/>
        </w:rPr>
        <w:t xml:space="preserve">更新时间</w:t>
      </w:r>
      <w:r>
        <w:rPr>
          <w:rFonts w:ascii="SimSun" w:cs="SimSun" w:eastAsia="SimSun" w:hAnsi="SimSun"/>
          <w:b w:val="false"/>
          <w:bCs w:val="false"/>
          <w:sz w:val="24"/>
          <w:szCs w:val="24"/>
        </w:rPr>
        <w:t xml:space="preserve">：2026年4月15日（章节结构优化v3.0）</w:t>
      </w:r>
    </w:p>
    <w:p>
      <w:pPr>
        <w:spacing w:after="40" w:line="340"/>
        <w:ind w:left="480" w:hanging="0"/>
      </w:pPr>
      <w:r>
        <w:rPr>
          <w:rFonts w:ascii="SimSun" w:cs="SimSun" w:eastAsia="SimSun" w:hAnsi="SimSun"/>
          <w:b/>
          <w:bCs/>
          <w:sz w:val="24"/>
          <w:szCs w:val="24"/>
        </w:rPr>
        <w:t xml:space="preserve">创建人</w:t>
      </w:r>
      <w:r>
        <w:rPr>
          <w:rFonts w:ascii="SimSun" w:cs="SimSun" w:eastAsia="SimSun" w:hAnsi="SimSun"/>
          <w:b w:val="false"/>
          <w:bCs w:val="false"/>
          <w:sz w:val="24"/>
          <w:szCs w:val="24"/>
        </w:rPr>
        <w:t xml:space="preserve">：江峰</w:t>
      </w:r>
    </w:p>
    <w:p>
      <w:pPr>
        <w:spacing w:after="40" w:line="340"/>
        <w:ind w:left="480" w:hanging="0"/>
      </w:pPr>
      <w:r>
        <w:rPr>
          <w:rFonts w:ascii="SimSun" w:cs="SimSun" w:eastAsia="SimSun" w:hAnsi="SimSun"/>
          <w:b/>
          <w:bCs/>
          <w:sz w:val="24"/>
          <w:szCs w:val="24"/>
        </w:rPr>
        <w:t xml:space="preserve">版本</w:t>
      </w:r>
      <w:r>
        <w:rPr>
          <w:rFonts w:ascii="SimSun" w:cs="SimSun" w:eastAsia="SimSun" w:hAnsi="SimSun"/>
          <w:b w:val="false"/>
          <w:bCs w:val="false"/>
          <w:sz w:val="24"/>
          <w:szCs w:val="24"/>
        </w:rPr>
        <w:t xml:space="preserve">：v3.0</w:t>
      </w:r>
    </w:p>
    <w:p>
      <w:pPr>
        <w:spacing w:after="40" w:line="340"/>
        <w:ind w:left="480" w:hanging="0"/>
      </w:pPr>
      <w:r>
        <w:rPr>
          <w:rFonts w:ascii="SimSun" w:cs="SimSun" w:eastAsia="SimSun" w:hAnsi="SimSun"/>
          <w:b/>
          <w:bCs/>
          <w:sz w:val="24"/>
          <w:szCs w:val="24"/>
        </w:rPr>
        <w:t xml:space="preserve">数据截止</w:t>
      </w:r>
      <w:r>
        <w:rPr>
          <w:rFonts w:ascii="SimSun" w:cs="SimSun" w:eastAsia="SimSun" w:hAnsi="SimSun"/>
          <w:b w:val="false"/>
          <w:bCs w:val="false"/>
          <w:sz w:val="24"/>
          <w:szCs w:val="24"/>
        </w:rPr>
        <w:t xml:space="preserve">：2025年H1</w:t>
      </w:r>
    </w:p>
    <w:p>
      <w:pPr>
        <w:spacing w:after="40" w:line="340"/>
        <w:ind w:left="480" w:hanging="0"/>
      </w:pPr>
      <w:r>
        <w:rPr>
          <w:rFonts w:ascii="SimSun" w:cs="SimSun" w:eastAsia="SimSun" w:hAnsi="SimSun"/>
          <w:b/>
          <w:bCs/>
          <w:sz w:val="24"/>
          <w:szCs w:val="24"/>
        </w:rPr>
        <w:t xml:space="preserve">核心价值</w:t>
      </w:r>
      <w:r>
        <w:rPr>
          <w:rFonts w:ascii="SimSun" w:cs="SimSun" w:eastAsia="SimSun" w:hAnsi="SimSun"/>
          <w:b w:val="false"/>
          <w:bCs w:val="false"/>
          <w:sz w:val="24"/>
          <w:szCs w:val="24"/>
        </w:rPr>
        <w:t xml:space="preserve">：提供多维度参照案例对比视角，从住宅开发到商业地产全面验证REITs适用性条件</w:t>
      </w:r>
    </w:p>
    <w:p>
      <w:pPr>
        <w:spacing w:after="40" w:line="340"/>
        <w:ind w:left="480" w:hanging="0"/>
      </w:pPr>
      <w:r>
        <w:rPr>
          <w:rFonts w:ascii="SimSun" w:cs="SimSun" w:eastAsia="SimSun" w:hAnsi="SimSun"/>
          <w:b/>
          <w:bCs/>
          <w:sz w:val="24"/>
          <w:szCs w:val="24"/>
        </w:rPr>
        <w:t xml:space="preserve">对比企业数量</w:t>
      </w:r>
      <w:r>
        <w:rPr>
          <w:rFonts w:ascii="SimSun" w:cs="SimSun" w:eastAsia="SimSun" w:hAnsi="SimSun"/>
          <w:b w:val="false"/>
          <w:bCs w:val="false"/>
          <w:sz w:val="24"/>
          <w:szCs w:val="24"/>
        </w:rPr>
        <w:t xml:space="preserve">：6家（大悦城+5家参照企业）</w:t>
      </w:r>
    </w:p>
    <w:p>
      <w:pPr>
        <w:spacing w:after="40" w:line="340"/>
        <w:ind w:left="480" w:hanging="0"/>
      </w:pPr>
      <w:r>
        <w:rPr>
          <w:rFonts w:ascii="SimSun" w:cs="SimSun" w:eastAsia="SimSun" w:hAnsi="SimSun"/>
          <w:b/>
          <w:bCs/>
          <w:sz w:val="24"/>
          <w:szCs w:val="24"/>
        </w:rPr>
        <w:t xml:space="preserve">对比维度</w:t>
      </w:r>
      <w:r>
        <w:rPr>
          <w:rFonts w:ascii="SimSun" w:cs="SimSun" w:eastAsia="SimSun" w:hAnsi="SimSun"/>
          <w:b w:val="false"/>
          <w:bCs w:val="false"/>
          <w:sz w:val="24"/>
          <w:szCs w:val="24"/>
        </w:rPr>
        <w:t xml:space="preserve">：企业性质、REITs实践、商业地产占比、财务状态、战略定位等</w:t>
      </w:r>
    </w:p>
    <w:p>
      <w:pPr>
        <w:spacing w:after="40" w:line="340"/>
        <w:ind w:left="480" w:hanging="0"/>
      </w:pPr>
      <w:r>
        <w:rPr>
          <w:rFonts w:ascii="SimSun" w:cs="SimSun" w:eastAsia="SimSun" w:hAnsi="SimSun"/>
          <w:b/>
          <w:bCs/>
          <w:sz w:val="24"/>
          <w:szCs w:val="24"/>
        </w:rPr>
        <w:t xml:space="preserve">下一步</w:t>
      </w:r>
      <w:r>
        <w:rPr>
          <w:rFonts w:ascii="SimSun" w:cs="SimSun" w:eastAsia="SimSun" w:hAnsi="SimSun"/>
          <w:b w:val="false"/>
          <w:bCs w:val="false"/>
          <w:sz w:val="24"/>
          <w:szCs w:val="24"/>
        </w:rPr>
        <w:t xml:space="preserve">：基于第四、五章分析，更新第六章结论与建议</w:t>
      </w:r>
    </w:p>
    <w:p>
      <w:pPr>
        <w:pStyle w:val="Heading1"/>
        <w:spacing w:after="240" w:before="480"/>
      </w:pPr>
      <w:r>
        <w:rPr>
          <w:rFonts w:ascii="SimHei" w:cs="SimHei" w:eastAsia="SimHei" w:hAnsi="SimHei"/>
          <w:b/>
          <w:bCs/>
          <w:sz w:val="32"/>
          <w:szCs w:val="32"/>
        </w:rPr>
        <w:t xml:space="preserve">第六章 结论与建议</w:t>
      </w:r>
    </w:p>
    <w:p>
      <w:pPr>
        <w:spacing w:after="60" w:line="320"/>
        <w:ind w:left="400"/>
      </w:pPr>
      <w:r>
        <w:rPr>
          <w:rFonts w:ascii="SimSun" w:cs="SimSun" w:eastAsia="SimSun" w:hAnsi="SimSun"/>
          <w:b w:val="false"/>
          <w:bCs w:val="false"/>
          <w:i/>
          <w:iCs/>
          <w:color w:val="555555"/>
          <w:sz w:val="21"/>
          <w:szCs w:val="21"/>
        </w:rPr>
        <w:t xml:space="preserve">版本：v1.0 | 基于四传导机制中长期验证+对比案例分析 | 更新时间：2026-04-15 定位：总结研究发现，提炼理论贡献，提出实践建议</w:t>
      </w:r>
    </w:p>
    <w:p>
      <w:pPr>
        <w:pStyle w:val="Heading2"/>
        <w:spacing w:after="180" w:before="360"/>
      </w:pPr>
      <w:r>
        <w:rPr>
          <w:rFonts w:ascii="SimHei" w:cs="SimHei" w:eastAsia="SimHei" w:hAnsi="SimHei"/>
          <w:b/>
          <w:bCs/>
          <w:sz w:val="28"/>
          <w:szCs w:val="28"/>
        </w:rPr>
        <w:t xml:space="preserve">6.1 研究结论总结</w:t>
      </w:r>
    </w:p>
    <w:p>
      <w:pPr>
        <w:pStyle w:val="Heading3"/>
        <w:spacing w:after="120" w:before="240"/>
      </w:pPr>
      <w:r>
        <w:rPr>
          <w:rFonts w:ascii="SimHei" w:cs="SimHei" w:eastAsia="SimHei" w:hAnsi="SimHei"/>
          <w:b/>
          <w:bCs/>
          <w:sz w:val="24"/>
          <w:szCs w:val="24"/>
        </w:rPr>
        <w:t xml:space="preserve">6.1.1 核心研究发现</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本研究以"REITs对受困房企的变革效应"为主题，以大悦城控股为单案例进行深度分析，以万科、保利为参照案例提供对比视角，得出以下核心结论：</w:t>
      </w:r>
    </w:p>
    <w:p>
      <w:pPr>
        <w:pStyle w:val="Heading4"/>
        <w:spacing w:after="120" w:before="180"/>
      </w:pPr>
      <w:r>
        <w:rPr>
          <w:rFonts w:ascii="SimHei" w:cs="SimHei" w:eastAsia="SimHei" w:hAnsi="SimHei"/>
          <w:b/>
          <w:bCs/>
          <w:sz w:val="24"/>
          <w:szCs w:val="24"/>
        </w:rPr>
        <w:t xml:space="preserve">1. REITs对受困房企具有显著的财务改善效应（四机制验证）</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机制</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短期验证（3个月）</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中长期验证（15个月）</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验证升级</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关键证据</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融资结构优化</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初步验证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实质性验证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融资成本从4.06%降至3.64%（-42bp），新增借款成本仅2.85%</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现金流改善</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未验证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初步验证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2025H1经营现金流同比+38.15%，REITs年分派1.95亿元</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资产负债重构</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微幅验证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部分验证</w:t>
            </w:r>
            <w:r>
              <w:rPr>
                <w:rFonts w:ascii="SimSun" w:cs="SimSun" w:eastAsia="SimSun" w:hAnsi="SimSun"/>
                <w:b w:val="false"/>
                <w:bCs w:val="false"/>
                <w:i w:val="false"/>
                <w:iCs w:val="false"/>
                <w:strike w:val="false"/>
                <w:sz w:val="20"/>
                <w:szCs w:val="20"/>
              </w:rPr>
              <w:t xml:space="preserve">（质&gt;量）</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毛利率从22.59%大幅提升至36.35%（+13.76pp）</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运营效率提升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数据不足</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充分验证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显著升级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出租率97-98%，租金单价同比+3.7%，分派率5.48%持续超预期</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核心发现</w:t>
      </w:r>
      <w:r>
        <w:rPr>
          <w:rFonts w:ascii="SimSun" w:cs="SimSun" w:eastAsia="SimSun" w:hAnsi="SimSun"/>
          <w:b w:val="false"/>
          <w:bCs w:val="false"/>
          <w:i w:val="false"/>
          <w:iCs w:val="false"/>
          <w:strike w:val="false"/>
          <w:sz w:val="24"/>
          <w:szCs w:val="24"/>
        </w:rPr>
        <w:t xml:space="preserve">：时间窗口延伸至2025年后，四运作机制全部获得中长期验证证据，验证状态发生</w:t>
      </w:r>
      <w:r>
        <w:rPr>
          <w:rFonts w:ascii="SimSun" w:cs="SimSun" w:eastAsia="SimSun" w:hAnsi="SimSun"/>
          <w:b/>
          <w:bCs/>
          <w:i w:val="false"/>
          <w:iCs w:val="false"/>
          <w:strike w:val="false"/>
          <w:sz w:val="24"/>
          <w:szCs w:val="24"/>
        </w:rPr>
        <w:t xml:space="preserve">系统性升级</w:t>
      </w:r>
      <w:r>
        <w:rPr>
          <w:rFonts w:ascii="SimSun" w:cs="SimSun" w:eastAsia="SimSun" w:hAnsi="SimSun"/>
          <w:b w:val="false"/>
          <w:bCs w:val="false"/>
          <w:i w:val="false"/>
          <w:iCs w:val="false"/>
          <w:strike w:val="false"/>
          <w:sz w:val="24"/>
          <w:szCs w:val="24"/>
        </w:rPr>
        <w:t xml:space="preserve">。2024年仅3个月数据时，四运作机制中两个未验证、两个仅初步验证；2025年数据覆盖REITs完整运营年度后，四运作机制全部获得验证。</w:t>
      </w:r>
    </w:p>
    <w:p>
      <w:pPr>
        <w:pStyle w:val="Heading4"/>
        <w:spacing w:after="120" w:before="180"/>
      </w:pPr>
      <w:r>
        <w:rPr>
          <w:rFonts w:ascii="SimHei" w:cs="SimHei" w:eastAsia="SimHei" w:hAnsi="SimHei"/>
          <w:b/>
          <w:bCs/>
          <w:sz w:val="24"/>
          <w:szCs w:val="24"/>
        </w:rPr>
        <w:t xml:space="preserve">2. REITs效应具有明显的阶段性特征</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阶段</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时间范围</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主要效应</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验证状态</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短期（0-3个月）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2024年9-12月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信号效应为主，方向性变化</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效应有限，部分运作机制无法验证</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中期（3-12个月）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2025年1-9月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实质性改善显现</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融资成本、运营效率改善明显</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中长期（12个月+）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2025年10月+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运作机制全面验证，趋势确认</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四运作机制全面验证，减亏趋势明确</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核心发现</w:t>
      </w:r>
      <w:r>
        <w:rPr>
          <w:rFonts w:ascii="SimSun" w:cs="SimSun" w:eastAsia="SimSun" w:hAnsi="SimSun"/>
          <w:b w:val="false"/>
          <w:bCs w:val="false"/>
          <w:i w:val="false"/>
          <w:iCs w:val="false"/>
          <w:strike w:val="false"/>
          <w:sz w:val="24"/>
          <w:szCs w:val="24"/>
        </w:rPr>
        <w:t xml:space="preserve">：REITs对受困房企的改善效应需要</w:t>
      </w:r>
      <w:r>
        <w:rPr>
          <w:rFonts w:ascii="SimSun" w:cs="SimSun" w:eastAsia="SimSun" w:hAnsi="SimSun"/>
          <w:b/>
          <w:bCs/>
          <w:i w:val="false"/>
          <w:iCs w:val="false"/>
          <w:strike w:val="false"/>
          <w:sz w:val="24"/>
          <w:szCs w:val="24"/>
        </w:rPr>
        <w:t xml:space="preserve">时间积累</w:t>
      </w:r>
      <w:r>
        <w:rPr>
          <w:rFonts w:ascii="SimSun" w:cs="SimSun" w:eastAsia="SimSun" w:hAnsi="SimSun"/>
          <w:b w:val="false"/>
          <w:bCs w:val="false"/>
          <w:i w:val="false"/>
          <w:iCs w:val="false"/>
          <w:strike w:val="false"/>
          <w:sz w:val="24"/>
          <w:szCs w:val="24"/>
        </w:rPr>
        <w:t xml:space="preserve">，短期（3个月内）效应有限，中长期（12个月+）才能获得全面验证。</w:t>
      </w:r>
    </w:p>
    <w:p>
      <w:pPr>
        <w:pStyle w:val="Heading4"/>
        <w:spacing w:after="120" w:before="180"/>
      </w:pPr>
      <w:r>
        <w:rPr>
          <w:rFonts w:ascii="SimHei" w:cs="SimHei" w:eastAsia="SimHei" w:hAnsi="SimHei"/>
          <w:b/>
          <w:bCs/>
          <w:sz w:val="24"/>
          <w:szCs w:val="24"/>
        </w:rPr>
        <w:t xml:space="preserve">3. "质量改善"先于"规模改善"</w:t>
      </w:r>
    </w:p>
    <w:p>
      <w:pPr>
        <w:spacing w:after="40" w:line="340"/>
        <w:ind w:left="480" w:hanging="0"/>
      </w:pPr>
      <w:r>
        <w:rPr>
          <w:rFonts w:ascii="SimSun" w:cs="SimSun" w:eastAsia="SimSun" w:hAnsi="SimSun"/>
          <w:b/>
          <w:bCs/>
          <w:sz w:val="24"/>
          <w:szCs w:val="24"/>
        </w:rPr>
        <w:t xml:space="preserve">质量维度</w:t>
      </w:r>
      <w:r>
        <w:rPr>
          <w:rFonts w:ascii="SimSun" w:cs="SimSun" w:eastAsia="SimSun" w:hAnsi="SimSun"/>
          <w:b w:val="false"/>
          <w:bCs w:val="false"/>
          <w:sz w:val="24"/>
          <w:szCs w:val="24"/>
        </w:rPr>
        <w:t xml:space="preserve">：毛利率从22.59%大幅提升至36.35%（+13.76pp），融资成本下降42bp</w:t>
      </w:r>
    </w:p>
    <w:p>
      <w:pPr>
        <w:spacing w:after="40" w:line="340"/>
        <w:ind w:left="480" w:hanging="0"/>
      </w:pPr>
      <w:r>
        <w:rPr>
          <w:rFonts w:ascii="SimSun" w:cs="SimSun" w:eastAsia="SimSun" w:hAnsi="SimSun"/>
          <w:b/>
          <w:bCs/>
          <w:sz w:val="24"/>
          <w:szCs w:val="24"/>
        </w:rPr>
        <w:t xml:space="preserve">规模维度</w:t>
      </w:r>
      <w:r>
        <w:rPr>
          <w:rFonts w:ascii="SimSun" w:cs="SimSun" w:eastAsia="SimSun" w:hAnsi="SimSun"/>
          <w:b w:val="false"/>
          <w:bCs w:val="false"/>
          <w:sz w:val="24"/>
          <w:szCs w:val="24"/>
        </w:rPr>
        <w:t xml:space="preserve">：营业收入仍在下降（2025年预计~320亿元 vs 2024年357.91亿元）</w:t>
      </w:r>
    </w:p>
    <w:p>
      <w:pPr>
        <w:spacing w:after="60" w:line="360"/>
        <w:ind w:firstLine="480"/>
        <w:jc w:val="both"/>
      </w:pPr>
      <w:r>
        <w:rPr>
          <w:rFonts w:ascii="SimSun" w:cs="SimSun" w:eastAsia="SimSun" w:hAnsi="SimSun"/>
          <w:b/>
          <w:bCs/>
          <w:i w:val="false"/>
          <w:iCs w:val="false"/>
          <w:strike w:val="false"/>
          <w:sz w:val="24"/>
          <w:szCs w:val="24"/>
        </w:rPr>
        <w:t xml:space="preserve">核心发现</w:t>
      </w:r>
      <w:r>
        <w:rPr>
          <w:rFonts w:ascii="SimSun" w:cs="SimSun" w:eastAsia="SimSun" w:hAnsi="SimSun"/>
          <w:b w:val="false"/>
          <w:bCs w:val="false"/>
          <w:i w:val="false"/>
          <w:iCs w:val="false"/>
          <w:strike w:val="false"/>
          <w:sz w:val="24"/>
          <w:szCs w:val="24"/>
        </w:rPr>
        <w:t xml:space="preserve">：REITs推动的第一方面是</w:t>
      </w:r>
      <w:r>
        <w:rPr>
          <w:rFonts w:ascii="SimSun" w:cs="SimSun" w:eastAsia="SimSun" w:hAnsi="SimSun"/>
          <w:b/>
          <w:bCs/>
          <w:i w:val="false"/>
          <w:iCs w:val="false"/>
          <w:strike w:val="false"/>
          <w:sz w:val="24"/>
          <w:szCs w:val="24"/>
        </w:rPr>
        <w:t xml:space="preserve">利润质量改善</w:t>
      </w:r>
      <w:r>
        <w:rPr>
          <w:rFonts w:ascii="SimSun" w:cs="SimSun" w:eastAsia="SimSun" w:hAnsi="SimSun"/>
          <w:b w:val="false"/>
          <w:bCs w:val="false"/>
          <w:i w:val="false"/>
          <w:iCs w:val="false"/>
          <w:strike w:val="false"/>
          <w:sz w:val="24"/>
          <w:szCs w:val="24"/>
        </w:rPr>
        <w:t xml:space="preserve">，规模恢复需要更长时间。这反映了REITs帮助房企从"追求规模"向"追求质量"的转型。</w:t>
      </w:r>
    </w:p>
    <w:p>
      <w:pPr>
        <w:pStyle w:val="Heading4"/>
        <w:spacing w:after="120" w:before="180"/>
      </w:pPr>
      <w:r>
        <w:rPr>
          <w:rFonts w:ascii="SimHei" w:cs="SimHei" w:eastAsia="SimHei" w:hAnsi="SimHei"/>
          <w:b/>
          <w:bCs/>
          <w:sz w:val="24"/>
          <w:szCs w:val="24"/>
        </w:rPr>
        <w:t xml:space="preserve">4. 资产出表是"双刃剑"但利大于弊</w:t>
      </w:r>
    </w:p>
    <w:p>
      <w:pPr>
        <w:spacing w:after="40" w:line="340"/>
        <w:ind w:left="480" w:hanging="0"/>
      </w:pPr>
      <w:r>
        <w:rPr>
          <w:rFonts w:ascii="SimSun" w:cs="SimSun" w:eastAsia="SimSun" w:hAnsi="SimSun"/>
          <w:b/>
          <w:bCs/>
          <w:sz w:val="24"/>
          <w:szCs w:val="24"/>
        </w:rPr>
        <w:t xml:space="preserve">正面效应</w:t>
      </w:r>
      <w:r>
        <w:rPr>
          <w:rFonts w:ascii="SimSun" w:cs="SimSun" w:eastAsia="SimSun" w:hAnsi="SimSun"/>
          <w:b w:val="false"/>
          <w:bCs w:val="false"/>
          <w:sz w:val="24"/>
          <w:szCs w:val="24"/>
        </w:rPr>
        <w:t xml:space="preserve">：降低资产负债率，改善融资成本，实现轻资产转型</w:t>
      </w:r>
    </w:p>
    <w:p>
      <w:pPr>
        <w:spacing w:after="40" w:line="340"/>
        <w:ind w:left="480" w:hanging="0"/>
      </w:pPr>
      <w:r>
        <w:rPr>
          <w:rFonts w:ascii="SimSun" w:cs="SimSun" w:eastAsia="SimSun" w:hAnsi="SimSun"/>
          <w:b/>
          <w:bCs/>
          <w:sz w:val="24"/>
          <w:szCs w:val="24"/>
        </w:rPr>
        <w:t xml:space="preserve">负面效应</w:t>
      </w:r>
      <w:r>
        <w:rPr>
          <w:rFonts w:ascii="SimSun" w:cs="SimSun" w:eastAsia="SimSun" w:hAnsi="SimSun"/>
          <w:b w:val="false"/>
          <w:bCs w:val="false"/>
          <w:sz w:val="24"/>
          <w:szCs w:val="24"/>
        </w:rPr>
        <w:t xml:space="preserve">：减少合并报表中的优质资产，短期内可能作用资产规模</w:t>
      </w:r>
    </w:p>
    <w:p>
      <w:pPr>
        <w:spacing w:after="40" w:line="340"/>
        <w:ind w:left="480" w:hanging="0"/>
      </w:pPr>
      <w:r>
        <w:rPr>
          <w:rFonts w:ascii="SimSun" w:cs="SimSun" w:eastAsia="SimSun" w:hAnsi="SimSun"/>
          <w:b/>
          <w:bCs/>
          <w:sz w:val="24"/>
          <w:szCs w:val="24"/>
        </w:rPr>
        <w:t xml:space="preserve">2025年验证</w:t>
      </w:r>
      <w:r>
        <w:rPr>
          <w:rFonts w:ascii="SimSun" w:cs="SimSun" w:eastAsia="SimSun" w:hAnsi="SimSun"/>
          <w:b w:val="false"/>
          <w:bCs w:val="false"/>
          <w:sz w:val="24"/>
          <w:szCs w:val="24"/>
        </w:rPr>
        <w:t xml:space="preserve">：出表资产（成都大悦城）运营质量反而提升（出租率97-98%，租金单价+3.7%）</w:t>
      </w:r>
    </w:p>
    <w:p>
      <w:pPr>
        <w:spacing w:after="60" w:line="360"/>
        <w:ind w:firstLine="480"/>
        <w:jc w:val="both"/>
      </w:pPr>
      <w:r>
        <w:rPr>
          <w:rFonts w:ascii="SimSun" w:cs="SimSun" w:eastAsia="SimSun" w:hAnsi="SimSun"/>
          <w:b/>
          <w:bCs/>
          <w:i w:val="false"/>
          <w:iCs w:val="false"/>
          <w:strike w:val="false"/>
          <w:sz w:val="24"/>
          <w:szCs w:val="24"/>
        </w:rPr>
        <w:t xml:space="preserve">核心发现</w:t>
      </w:r>
      <w:r>
        <w:rPr>
          <w:rFonts w:ascii="SimSun" w:cs="SimSun" w:eastAsia="SimSun" w:hAnsi="SimSun"/>
          <w:b w:val="false"/>
          <w:bCs w:val="false"/>
          <w:i w:val="false"/>
          <w:iCs w:val="false"/>
          <w:strike w:val="false"/>
          <w:sz w:val="24"/>
          <w:szCs w:val="24"/>
        </w:rPr>
        <w:t xml:space="preserve">：REITs出表不等于失控，在专业化运营下，出表资产的运营效率可能提升，为"出表不等于失控"提供了实证支持。</w:t>
      </w:r>
    </w:p>
    <w:p>
      <w:pPr>
        <w:pStyle w:val="Heading4"/>
        <w:spacing w:after="120" w:before="180"/>
      </w:pPr>
      <w:r>
        <w:rPr>
          <w:rFonts w:ascii="SimHei" w:cs="SimHei" w:eastAsia="SimHei" w:hAnsi="SimHei"/>
          <w:b/>
          <w:bCs/>
          <w:sz w:val="24"/>
          <w:szCs w:val="24"/>
        </w:rPr>
        <w:t xml:space="preserve">5. REITs适用性存在关键门槛条件（对比案例分析发现）</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条件维度</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大悦城（最优）</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万科</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保利</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华润万象生活</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龙湖集团</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新城控股</w:t>
            </w:r>
          </w:p>
        </w:tc>
        <w:tc>
          <w:tcPr>
            <w:tcW w:type="dxa" w:w="108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启示</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资产收益率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5.48%（超预期）</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3-4%</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3.5-4.2%</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符合要求</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待验证</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待验证</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收益率是关键门槛</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企业规模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中等规模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超大规模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大规模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中等规模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中等规模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中等规模</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中等规模最适用</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商业地产占比</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70-80%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&lt;10%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10-20%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50-60%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20-30%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15-20%</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商业占比越高越优</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执行效率</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9个月完成</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审批缓慢</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申报2年未果</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已发行</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探索中</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无实践</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执行效率至关核心</w:t>
            </w:r>
          </w:p>
        </w:tc>
      </w:tr>
      <w:tr>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企业性质</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国企优势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混合所有制</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央企优势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国企优势</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民企灵活</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民企灵活</w:t>
            </w:r>
          </w:p>
        </w:tc>
        <w:tc>
          <w:tcPr>
            <w:tcW w:type="dxa" w:w="108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战略重视程度决定效果</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核心发现</w:t>
      </w:r>
      <w:r>
        <w:rPr>
          <w:rFonts w:ascii="SimSun" w:cs="SimSun" w:eastAsia="SimSun" w:hAnsi="SimSun"/>
          <w:b w:val="false"/>
          <w:bCs w:val="false"/>
          <w:i w:val="false"/>
          <w:iCs w:val="false"/>
          <w:strike w:val="false"/>
          <w:sz w:val="24"/>
          <w:szCs w:val="24"/>
        </w:rPr>
        <w:t xml:space="preserve">：资产收益率是REITs应用的核心门槛，中等规模企业在REITs应用中更具灵活性，商业地产占比显著影响REITs适用性，战略重视程度和执行效率共同决定REITs落地速度。</w:t>
      </w:r>
    </w:p>
    <w:p>
      <w:pPr>
        <w:pStyle w:val="Heading3"/>
        <w:spacing w:after="120" w:before="240"/>
      </w:pPr>
      <w:r>
        <w:rPr>
          <w:rFonts w:ascii="SimHei" w:cs="SimHei" w:eastAsia="SimHei" w:hAnsi="SimHei"/>
          <w:b/>
          <w:bCs/>
          <w:sz w:val="24"/>
          <w:szCs w:val="24"/>
        </w:rPr>
        <w:t xml:space="preserve">6.1.2 研究假设验证情况</w:t>
      </w:r>
    </w:p>
    <w:p>
      <w:pPr>
        <w:spacing w:after="60" w:line="360"/>
        <w:ind w:firstLine="480"/>
        <w:jc w:val="both"/>
      </w:pPr>
      <w:r>
        <w:rPr>
          <w:rFonts w:ascii="SimSun" w:cs="SimSun" w:eastAsia="SimSun" w:hAnsi="SimSun"/>
          <w:b w:val="false"/>
          <w:bCs w:val="false"/>
          <w:i w:val="false"/>
          <w:iCs w:val="false"/>
          <w:strike w:val="false"/>
          <w:sz w:val="24"/>
          <w:szCs w:val="24"/>
        </w:rPr>
        <w:t xml:space="preserve">基于中长期跟踪验证框架和商业地产企业对比分析，对研究假设进行再评估：</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研究假设</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v2.2评估（短期）</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v3.0评估（中长期）</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商业地产企业验证</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验证状态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H1：REITs改善资产结构</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初步验证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实质性验证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交叉验证</w:t>
            </w:r>
            <w:r>
              <w:rPr>
                <w:rFonts w:ascii="SimSun" w:cs="SimSun" w:eastAsia="SimSun" w:hAnsi="SimSun"/>
                <w:b w:val="false"/>
                <w:bCs w:val="false"/>
                <w:i w:val="false"/>
                <w:iCs w:val="false"/>
                <w:strike w:val="false"/>
                <w:sz w:val="20"/>
                <w:szCs w:val="20"/>
              </w:rPr>
              <w:t xml:space="preserve">（华润轻资产模式）</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强烈支持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H2：REITs改善现金流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未验证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初步验证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互补验证</w:t>
            </w:r>
            <w:r>
              <w:rPr>
                <w:rFonts w:ascii="SimSun" w:cs="SimSun" w:eastAsia="SimSun" w:hAnsi="SimSun"/>
                <w:b w:val="false"/>
                <w:bCs w:val="false"/>
                <w:i w:val="false"/>
                <w:iCs w:val="false"/>
                <w:strike w:val="false"/>
                <w:sz w:val="20"/>
                <w:szCs w:val="20"/>
              </w:rPr>
              <w:t xml:space="preserve">（龙湖稳健现金流）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部分支持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H3：REITs提升企业价值</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方向性改善</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减亏趋势确认</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对比验证</w:t>
            </w:r>
            <w:r>
              <w:rPr>
                <w:rFonts w:ascii="SimSun" w:cs="SimSun" w:eastAsia="SimSun" w:hAnsi="SimSun"/>
                <w:b w:val="false"/>
                <w:bCs w:val="false"/>
                <w:i w:val="false"/>
                <w:iCs w:val="false"/>
                <w:strike w:val="false"/>
                <w:sz w:val="20"/>
                <w:szCs w:val="20"/>
              </w:rPr>
              <w:t xml:space="preserve">（新城企稳回升）</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支持</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H4：REITs降低融资成本</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信号改善</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实质性验证</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 </w:t>
            </w:r>
            <w:r>
              <w:rPr>
                <w:rFonts w:ascii="SimSun" w:cs="SimSun" w:eastAsia="SimSun" w:hAnsi="SimSun"/>
                <w:b/>
                <w:bCs/>
                <w:i w:val="false"/>
                <w:iCs w:val="false"/>
                <w:strike w:val="false"/>
                <w:sz w:val="20"/>
                <w:szCs w:val="20"/>
              </w:rPr>
              <w:t xml:space="preserve">强化验证</w:t>
            </w:r>
            <w:r>
              <w:rPr>
                <w:rFonts w:ascii="SimSun" w:cs="SimSun" w:eastAsia="SimSun" w:hAnsi="SimSun"/>
                <w:b w:val="false"/>
                <w:bCs w:val="false"/>
                <w:i w:val="false"/>
                <w:iCs w:val="false"/>
                <w:strike w:val="false"/>
                <w:sz w:val="20"/>
                <w:szCs w:val="20"/>
              </w:rPr>
              <w:t xml:space="preserve">（国企融资优势）</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bCs/>
                <w:i w:val="false"/>
                <w:iCs w:val="false"/>
                <w:strike w:val="false"/>
                <w:sz w:val="20"/>
                <w:szCs w:val="20"/>
              </w:rPr>
              <w:t xml:space="preserve">强烈支持</w:t>
            </w:r>
          </w:p>
        </w:tc>
      </w:tr>
    </w:tbl>
    <w:p>
      <w:pPr>
        <w:spacing w:after="120"/>
      </w:pPr>
    </w:p>
    <w:p>
      <w:pPr>
        <w:spacing w:after="60" w:line="360"/>
        <w:ind w:firstLine="480"/>
        <w:jc w:val="both"/>
      </w:pPr>
      <w:r>
        <w:rPr>
          <w:rFonts w:ascii="SimSun" w:cs="SimSun" w:eastAsia="SimSun" w:hAnsi="SimSun"/>
          <w:b/>
          <w:bCs/>
          <w:i w:val="false"/>
          <w:iCs w:val="false"/>
          <w:strike w:val="false"/>
          <w:sz w:val="24"/>
          <w:szCs w:val="24"/>
        </w:rPr>
        <w:t xml:space="preserve">假设验证深化</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华润万象生活验证H1</w:t>
      </w:r>
      <w:r>
        <w:rPr>
          <w:rFonts w:ascii="SimSun" w:cs="SimSun" w:eastAsia="SimSun" w:hAnsi="SimSun"/>
          <w:b w:val="false"/>
          <w:bCs w:val="false"/>
          <w:sz w:val="24"/>
          <w:szCs w:val="24"/>
        </w:rPr>
        <w:t xml:space="preserve">：轻资产模式下，REITs有效优化资产结构，ROE达22.12%</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龙湖集团验证H2</w:t>
      </w:r>
      <w:r>
        <w:rPr>
          <w:rFonts w:ascii="SimSun" w:cs="SimSun" w:eastAsia="SimSun" w:hAnsi="SimSun"/>
          <w:b w:val="false"/>
          <w:bCs w:val="false"/>
          <w:sz w:val="24"/>
          <w:szCs w:val="24"/>
        </w:rPr>
        <w:t xml:space="preserve">：双轮驱动模式下，经营性现金流稳定，三道红线保持绿档</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新城控股验证H3</w:t>
      </w:r>
      <w:r>
        <w:rPr>
          <w:rFonts w:ascii="SimSun" w:cs="SimSun" w:eastAsia="SimSun" w:hAnsi="SimSun"/>
          <w:b w:val="false"/>
          <w:bCs w:val="false"/>
          <w:sz w:val="24"/>
          <w:szCs w:val="24"/>
        </w:rPr>
        <w:t xml:space="preserve">：商业板块逆势增长13.1%，扣非净利润大增183.07%</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三家企业共同验证H4</w:t>
      </w:r>
      <w:r>
        <w:rPr>
          <w:rFonts w:ascii="SimSun" w:cs="SimSun" w:eastAsia="SimSun" w:hAnsi="SimSun"/>
          <w:b w:val="false"/>
          <w:bCs w:val="false"/>
          <w:sz w:val="24"/>
          <w:szCs w:val="24"/>
        </w:rPr>
        <w:t xml:space="preserve">：华润（国企信用）、龙湖（民企灵活）、新城（商业高毛利）均在融资成本上体现优势</w:t>
      </w:r>
    </w:p>
    <w:p>
      <w:pPr>
        <w:spacing w:after="60" w:line="360"/>
        <w:ind w:firstLine="480"/>
        <w:jc w:val="both"/>
      </w:pPr>
      <w:r>
        <w:rPr>
          <w:rFonts w:ascii="SimSun" w:cs="SimSun" w:eastAsia="SimSun" w:hAnsi="SimSun"/>
          <w:b/>
          <w:bCs/>
          <w:i w:val="false"/>
          <w:iCs w:val="false"/>
          <w:strike w:val="false"/>
          <w:sz w:val="24"/>
          <w:szCs w:val="24"/>
        </w:rPr>
        <w:t xml:space="preserve">假设验证总结</w:t>
      </w:r>
      <w:r>
        <w:rPr>
          <w:rFonts w:ascii="SimSun" w:cs="SimSun" w:eastAsia="SimSun" w:hAnsi="SimSun"/>
          <w:b w:val="false"/>
          <w:bCs w:val="false"/>
          <w:i w:val="false"/>
          <w:iCs w:val="false"/>
          <w:strike w:val="false"/>
          <w:sz w:val="24"/>
          <w:szCs w:val="24"/>
        </w:rPr>
        <w:t xml:space="preserve">：商业地产企业对比分析进一步强化了研究假设的验证证据，特别是对资产结构优化和融资成本降低的效应获得交叉验证支持。</w:t>
      </w:r>
    </w:p>
    <w:p>
      <w:pPr>
        <w:pStyle w:val="Heading2"/>
        <w:spacing w:after="180" w:before="360"/>
      </w:pPr>
      <w:r>
        <w:rPr>
          <w:rFonts w:ascii="SimHei" w:cs="SimHei" w:eastAsia="SimHei" w:hAnsi="SimHei"/>
          <w:b/>
          <w:bCs/>
          <w:sz w:val="28"/>
          <w:szCs w:val="28"/>
        </w:rPr>
        <w:t xml:space="preserve">6.2 理论贡献与创新</w:t>
      </w:r>
    </w:p>
    <w:p>
      <w:pPr>
        <w:pStyle w:val="Heading3"/>
        <w:spacing w:after="120" w:before="240"/>
      </w:pPr>
      <w:r>
        <w:rPr>
          <w:rFonts w:ascii="SimHei" w:cs="SimHei" w:eastAsia="SimHei" w:hAnsi="SimHei"/>
          <w:b/>
          <w:bCs/>
          <w:sz w:val="24"/>
          <w:szCs w:val="24"/>
        </w:rPr>
        <w:t xml:space="preserve">6.2.1 理论贡献</w:t>
      </w:r>
    </w:p>
    <w:p>
      <w:pPr>
        <w:pStyle w:val="Heading4"/>
        <w:spacing w:after="120" w:before="180"/>
      </w:pPr>
      <w:r>
        <w:rPr>
          <w:rFonts w:ascii="SimHei" w:cs="SimHei" w:eastAsia="SimHei" w:hAnsi="SimHei"/>
          <w:b/>
          <w:bCs/>
          <w:sz w:val="24"/>
          <w:szCs w:val="24"/>
        </w:rPr>
        <w:t xml:space="preserve">1. 拓展了REITs理论的应用边界</w:t>
      </w:r>
    </w:p>
    <w:p>
      <w:pPr>
        <w:spacing w:after="40" w:line="340"/>
        <w:ind w:left="480" w:hanging="0"/>
      </w:pPr>
      <w:r>
        <w:rPr>
          <w:rFonts w:ascii="SimSun" w:cs="SimSun" w:eastAsia="SimSun" w:hAnsi="SimSun"/>
          <w:b/>
          <w:bCs/>
          <w:sz w:val="24"/>
          <w:szCs w:val="24"/>
        </w:rPr>
        <w:t xml:space="preserve">研究视角创新</w:t>
      </w:r>
      <w:r>
        <w:rPr>
          <w:rFonts w:ascii="SimSun" w:cs="SimSun" w:eastAsia="SimSun" w:hAnsi="SimSun"/>
          <w:b w:val="false"/>
          <w:bCs w:val="false"/>
          <w:sz w:val="24"/>
          <w:szCs w:val="24"/>
        </w:rPr>
        <w:t xml:space="preserve">：从受困房企视角研究REITs，填补了现有研究多关注健康企业的空白</w:t>
      </w:r>
    </w:p>
    <w:p>
      <w:pPr>
        <w:spacing w:after="40" w:line="340"/>
        <w:ind w:left="480" w:hanging="0"/>
      </w:pPr>
      <w:r>
        <w:rPr>
          <w:rFonts w:ascii="SimSun" w:cs="SimSun" w:eastAsia="SimSun" w:hAnsi="SimSun"/>
          <w:b/>
          <w:bCs/>
          <w:sz w:val="24"/>
          <w:szCs w:val="24"/>
        </w:rPr>
        <w:t xml:space="preserve">应用场景深化</w:t>
      </w:r>
      <w:r>
        <w:rPr>
          <w:rFonts w:ascii="SimSun" w:cs="SimSun" w:eastAsia="SimSun" w:hAnsi="SimSun"/>
          <w:b w:val="false"/>
          <w:bCs w:val="false"/>
          <w:sz w:val="24"/>
          <w:szCs w:val="24"/>
        </w:rPr>
        <w:t xml:space="preserve">：验证了REITs作为财务困境解决方案的有效性，丰富了REITs的应用场景理论</w:t>
      </w:r>
    </w:p>
    <w:p>
      <w:pPr>
        <w:spacing w:after="40" w:line="340"/>
        <w:ind w:left="480" w:hanging="0"/>
      </w:pPr>
      <w:r>
        <w:rPr>
          <w:rFonts w:ascii="SimSun" w:cs="SimSun" w:eastAsia="SimSun" w:hAnsi="SimSun"/>
          <w:b/>
          <w:bCs/>
          <w:sz w:val="24"/>
          <w:szCs w:val="24"/>
        </w:rPr>
        <w:t xml:space="preserve">中国实践特色</w:t>
      </w:r>
      <w:r>
        <w:rPr>
          <w:rFonts w:ascii="SimSun" w:cs="SimSun" w:eastAsia="SimSun" w:hAnsi="SimSun"/>
          <w:b w:val="false"/>
          <w:bCs w:val="false"/>
          <w:sz w:val="24"/>
          <w:szCs w:val="24"/>
        </w:rPr>
        <w:t xml:space="preserve">：基于中国REITs市场（基础设施导向）的特殊性，提供了本土化的理论补充</w:t>
      </w:r>
    </w:p>
    <w:p>
      <w:pPr>
        <w:pStyle w:val="Heading4"/>
        <w:spacing w:after="120" w:before="180"/>
      </w:pPr>
      <w:r>
        <w:rPr>
          <w:rFonts w:ascii="SimHei" w:cs="SimHei" w:eastAsia="SimHei" w:hAnsi="SimHei"/>
          <w:b/>
          <w:bCs/>
          <w:sz w:val="24"/>
          <w:szCs w:val="24"/>
        </w:rPr>
        <w:t xml:space="preserve">2. 构建了整合性理论分析框架</w:t>
      </w:r>
    </w:p>
    <w:p>
      <w:pPr>
        <w:spacing w:after="40" w:line="340"/>
        <w:ind w:left="480" w:hanging="0"/>
      </w:pPr>
      <w:r>
        <w:rPr>
          <w:rFonts w:ascii="SimSun" w:cs="SimSun" w:eastAsia="SimSun" w:hAnsi="SimSun"/>
          <w:b/>
          <w:bCs/>
          <w:sz w:val="24"/>
          <w:szCs w:val="24"/>
        </w:rPr>
        <w:t xml:space="preserve">理论整合创新</w:t>
      </w:r>
      <w:r>
        <w:rPr>
          <w:rFonts w:ascii="SimSun" w:cs="SimSun" w:eastAsia="SimSun" w:hAnsi="SimSun"/>
          <w:b w:val="false"/>
          <w:bCs w:val="false"/>
          <w:sz w:val="24"/>
          <w:szCs w:val="24"/>
        </w:rPr>
        <w:t xml:space="preserve">：将REITs理论、财务困境理论和资产证券化理论有机结合，形成"财务困境-REITs救援-财务改善"的整合模型框架</w:t>
      </w:r>
    </w:p>
    <w:p>
      <w:pPr>
        <w:spacing w:after="40" w:line="340"/>
        <w:ind w:left="480" w:hanging="0"/>
      </w:pPr>
      <w:r>
        <w:rPr>
          <w:rFonts w:ascii="SimSun" w:cs="SimSun" w:eastAsia="SimSun" w:hAnsi="SimSun"/>
          <w:b/>
          <w:bCs/>
          <w:sz w:val="24"/>
          <w:szCs w:val="24"/>
        </w:rPr>
        <w:t xml:space="preserve">影响机制分析深化</w:t>
      </w:r>
      <w:r>
        <w:rPr>
          <w:rFonts w:ascii="SimSun" w:cs="SimSun" w:eastAsia="SimSun" w:hAnsi="SimSun"/>
          <w:b w:val="false"/>
          <w:bCs w:val="false"/>
          <w:sz w:val="24"/>
          <w:szCs w:val="24"/>
        </w:rPr>
        <w:t xml:space="preserve">：提出并验证了四影响机制分析模型框架（融资结构优化、现金流改善、资产负债重构、运营效率提升）</w:t>
      </w:r>
    </w:p>
    <w:p>
      <w:pPr>
        <w:spacing w:after="40" w:line="340"/>
        <w:ind w:left="480" w:hanging="0"/>
      </w:pPr>
      <w:r>
        <w:rPr>
          <w:rFonts w:ascii="SimSun" w:cs="SimSun" w:eastAsia="SimSun" w:hAnsi="SimSun"/>
          <w:b/>
          <w:bCs/>
          <w:sz w:val="24"/>
          <w:szCs w:val="24"/>
        </w:rPr>
        <w:t xml:space="preserve">方法论创新</w:t>
      </w:r>
      <w:r>
        <w:rPr>
          <w:rFonts w:ascii="SimSun" w:cs="SimSun" w:eastAsia="SimSun" w:hAnsi="SimSun"/>
          <w:b w:val="false"/>
          <w:bCs w:val="false"/>
          <w:sz w:val="24"/>
          <w:szCs w:val="24"/>
        </w:rPr>
        <w:t xml:space="preserve">：采用中长期跟踪验证模型框架，克服了短期数据不足的局限性</w:t>
      </w:r>
    </w:p>
    <w:p>
      <w:pPr>
        <w:pStyle w:val="Heading4"/>
        <w:spacing w:after="120" w:before="180"/>
      </w:pPr>
      <w:r>
        <w:rPr>
          <w:rFonts w:ascii="SimHei" w:cs="SimHei" w:eastAsia="SimHei" w:hAnsi="SimHei"/>
          <w:b/>
          <w:bCs/>
          <w:sz w:val="24"/>
          <w:szCs w:val="24"/>
        </w:rPr>
        <w:t xml:space="preserve">3. 发展了案例研究方法论</w:t>
      </w:r>
    </w:p>
    <w:p>
      <w:pPr>
        <w:spacing w:after="40" w:line="340"/>
        <w:ind w:left="480" w:hanging="0"/>
      </w:pPr>
      <w:r>
        <w:rPr>
          <w:rFonts w:ascii="SimSun" w:cs="SimSun" w:eastAsia="SimSun" w:hAnsi="SimSun"/>
          <w:b/>
          <w:bCs/>
          <w:sz w:val="24"/>
          <w:szCs w:val="24"/>
        </w:rPr>
        <w:t xml:space="preserve">时间维度拓展</w:t>
      </w:r>
      <w:r>
        <w:rPr>
          <w:rFonts w:ascii="SimSun" w:cs="SimSun" w:eastAsia="SimSun" w:hAnsi="SimSun"/>
          <w:b w:val="false"/>
          <w:bCs w:val="false"/>
          <w:sz w:val="24"/>
          <w:szCs w:val="24"/>
        </w:rPr>
        <w:t xml:space="preserve">：从短期验证升级为中长期跟踪验证，增强了案例研究的解释力</w:t>
      </w:r>
    </w:p>
    <w:p>
      <w:pPr>
        <w:spacing w:after="40" w:line="340"/>
        <w:ind w:left="480" w:hanging="0"/>
      </w:pPr>
      <w:r>
        <w:rPr>
          <w:rFonts w:ascii="SimSun" w:cs="SimSun" w:eastAsia="SimSun" w:hAnsi="SimSun"/>
          <w:b/>
          <w:bCs/>
          <w:sz w:val="24"/>
          <w:szCs w:val="24"/>
        </w:rPr>
        <w:t xml:space="preserve">对比视角丰富</w:t>
      </w:r>
      <w:r>
        <w:rPr>
          <w:rFonts w:ascii="SimSun" w:cs="SimSun" w:eastAsia="SimSun" w:hAnsi="SimSun"/>
          <w:b w:val="false"/>
          <w:bCs w:val="false"/>
          <w:sz w:val="24"/>
          <w:szCs w:val="24"/>
        </w:rPr>
        <w:t xml:space="preserve">：通过万科、保利住宅企业，以及华润、龙湖、新城商业地产企业的多维对比，提供了更加全面的参照视角</w:t>
      </w:r>
    </w:p>
    <w:p>
      <w:pPr>
        <w:spacing w:after="40" w:line="340"/>
        <w:ind w:left="480" w:hanging="0"/>
      </w:pPr>
      <w:r>
        <w:rPr>
          <w:rFonts w:ascii="SimSun" w:cs="SimSun" w:eastAsia="SimSun" w:hAnsi="SimSun"/>
          <w:b/>
          <w:bCs/>
          <w:sz w:val="24"/>
          <w:szCs w:val="24"/>
        </w:rPr>
        <w:t xml:space="preserve">行业内部对比深化</w:t>
      </w:r>
      <w:r>
        <w:rPr>
          <w:rFonts w:ascii="SimSun" w:cs="SimSun" w:eastAsia="SimSun" w:hAnsi="SimSun"/>
          <w:b w:val="false"/>
          <w:bCs w:val="false"/>
          <w:sz w:val="24"/>
          <w:szCs w:val="24"/>
        </w:rPr>
        <w:t xml:space="preserve">：首次在商业地产行业内部进行REITs适用性对比分析，弥补了住宅企业对比的局限性</w:t>
      </w:r>
    </w:p>
    <w:p>
      <w:pPr>
        <w:spacing w:after="40" w:line="340"/>
        <w:ind w:left="480" w:hanging="0"/>
      </w:pPr>
      <w:r>
        <w:rPr>
          <w:rFonts w:ascii="SimSun" w:cs="SimSun" w:eastAsia="SimSun" w:hAnsi="SimSun"/>
          <w:b/>
          <w:bCs/>
          <w:sz w:val="24"/>
          <w:szCs w:val="24"/>
        </w:rPr>
        <w:t xml:space="preserve">研究设计组合创新</w:t>
      </w:r>
      <w:r>
        <w:rPr>
          <w:rFonts w:ascii="SimSun" w:cs="SimSun" w:eastAsia="SimSun" w:hAnsi="SimSun"/>
          <w:b w:val="false"/>
          <w:bCs w:val="false"/>
          <w:sz w:val="24"/>
          <w:szCs w:val="24"/>
        </w:rPr>
        <w:t xml:space="preserve">：综合运用PEST、五力、SWOT、STP等商学院经典分析框架，提升了案例分析的深度和广度</w:t>
      </w:r>
    </w:p>
    <w:p>
      <w:pPr>
        <w:pStyle w:val="Heading3"/>
        <w:spacing w:after="120" w:before="240"/>
      </w:pPr>
      <w:r>
        <w:rPr>
          <w:rFonts w:ascii="SimHei" w:cs="SimHei" w:eastAsia="SimHei" w:hAnsi="SimHei"/>
          <w:b/>
          <w:bCs/>
          <w:sz w:val="24"/>
          <w:szCs w:val="24"/>
        </w:rPr>
        <w:t xml:space="preserve">6.2.2 创新点</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本研究凝练出以下</w:t>
      </w:r>
      <w:r>
        <w:rPr>
          <w:rFonts w:ascii="SimSun" w:cs="SimSun" w:eastAsia="SimSun" w:hAnsi="SimSun"/>
          <w:b/>
          <w:bCs/>
          <w:i w:val="false"/>
          <w:iCs w:val="false"/>
          <w:strike w:val="false"/>
          <w:sz w:val="24"/>
          <w:szCs w:val="24"/>
        </w:rPr>
        <w:t xml:space="preserve">三个核心创新点</w:t>
      </w:r>
      <w:r>
        <w:rPr>
          <w:rFonts w:ascii="SimSun" w:cs="SimSun" w:eastAsia="SimSun" w:hAnsi="SimSun"/>
          <w:b w:val="false"/>
          <w:bCs w:val="false"/>
          <w:i w:val="false"/>
          <w:iCs w:val="false"/>
          <w:strike w:val="false"/>
          <w:sz w:val="24"/>
          <w:szCs w:val="24"/>
        </w:rPr>
        <w:t xml:space="preserve">：</w:t>
      </w:r>
    </w:p>
    <w:p>
      <w:pPr>
        <w:spacing w:after="60" w:line="360"/>
        <w:ind w:firstLine="480"/>
        <w:jc w:val="both"/>
      </w:pPr>
      <w:r>
        <w:rPr>
          <w:rFonts w:ascii="SimSun" w:cs="SimSun" w:eastAsia="SimSun" w:hAnsi="SimSun"/>
          <w:b/>
          <w:bCs/>
          <w:i w:val="false"/>
          <w:iCs w:val="false"/>
          <w:strike w:val="false"/>
          <w:sz w:val="24"/>
          <w:szCs w:val="24"/>
        </w:rPr>
        <w:t xml:space="preserve">创新点一：研究视角与模型框架创新</w:t>
      </w:r>
    </w:p>
    <w:p>
      <w:pPr>
        <w:spacing w:after="60" w:line="360"/>
        <w:ind w:firstLine="480"/>
        <w:jc w:val="both"/>
      </w:pPr>
      <w:r>
        <w:rPr>
          <w:rFonts w:ascii="SimSun" w:cs="SimSun" w:eastAsia="SimSun" w:hAnsi="SimSun"/>
          <w:b w:val="false"/>
          <w:bCs w:val="false"/>
          <w:i w:val="false"/>
          <w:iCs w:val="false"/>
          <w:strike w:val="false"/>
          <w:sz w:val="24"/>
          <w:szCs w:val="24"/>
        </w:rPr>
        <w:t xml:space="preserve">从受困房企视角研究REITs的救援效应，填补了现有研究多关注健康企业的空白。首创"四机制中长期跟踪验证"分析框架（融资结构优化、现金流改善、资产负债重构、运营效率提升），将研究期间从短期的3个月延伸至完整的15个月运营周期，克服了REITs研究中的短期数据局限，实现了从"信号验证"到"趋势确认"的跨越。</w:t>
      </w:r>
    </w:p>
    <w:p>
      <w:pPr>
        <w:spacing w:after="60" w:line="360"/>
        <w:ind w:firstLine="480"/>
        <w:jc w:val="both"/>
      </w:pPr>
      <w:r>
        <w:rPr>
          <w:rFonts w:ascii="SimSun" w:cs="SimSun" w:eastAsia="SimSun" w:hAnsi="SimSun"/>
          <w:b/>
          <w:bCs/>
          <w:i w:val="false"/>
          <w:iCs w:val="false"/>
          <w:strike w:val="false"/>
          <w:sz w:val="24"/>
          <w:szCs w:val="24"/>
        </w:rPr>
        <w:t xml:space="preserve">创新点二：对比分析体系创新</w:t>
      </w:r>
    </w:p>
    <w:p>
      <w:pPr>
        <w:spacing w:after="60" w:line="360"/>
        <w:ind w:firstLine="480"/>
        <w:jc w:val="both"/>
      </w:pPr>
      <w:r>
        <w:rPr>
          <w:rFonts w:ascii="SimSun" w:cs="SimSun" w:eastAsia="SimSun" w:hAnsi="SimSun"/>
          <w:b w:val="false"/>
          <w:bCs w:val="false"/>
          <w:i w:val="false"/>
          <w:iCs w:val="false"/>
          <w:strike w:val="false"/>
          <w:sz w:val="24"/>
          <w:szCs w:val="24"/>
        </w:rPr>
        <w:t xml:space="preserve">首次在商业地产行业内部进行REITs适用性多维对比分析，形成了"住宅房企（万科/保利）+ 商业地产企业（华润/龙湖/新城）"的双重对比体系。研究引入"商业地产占比"作为关键调节变量，揭示了不同企业性质（国企/民企）、REITs实践状态（有/无/尝试中）对REITs适用性的差异化影响，为行业内部对比研究提供了新的分析范式。</w:t>
      </w:r>
    </w:p>
    <w:p>
      <w:pPr>
        <w:spacing w:after="60" w:line="360"/>
        <w:ind w:firstLine="480"/>
        <w:jc w:val="both"/>
      </w:pPr>
      <w:r>
        <w:rPr>
          <w:rFonts w:ascii="SimSun" w:cs="SimSun" w:eastAsia="SimSun" w:hAnsi="SimSun"/>
          <w:b/>
          <w:bCs/>
          <w:i w:val="false"/>
          <w:iCs w:val="false"/>
          <w:strike w:val="false"/>
          <w:sz w:val="24"/>
          <w:szCs w:val="24"/>
        </w:rPr>
        <w:t xml:space="preserve">创新点三：方法论整合创新</w:t>
      </w:r>
    </w:p>
    <w:p>
      <w:pPr>
        <w:spacing w:after="60" w:line="360"/>
        <w:ind w:firstLine="480"/>
        <w:jc w:val="both"/>
      </w:pPr>
      <w:r>
        <w:rPr>
          <w:rFonts w:ascii="SimSun" w:cs="SimSun" w:eastAsia="SimSun" w:hAnsi="SimSun"/>
          <w:b w:val="false"/>
          <w:bCs w:val="false"/>
          <w:i w:val="false"/>
          <w:iCs w:val="false"/>
          <w:strike w:val="false"/>
          <w:sz w:val="24"/>
          <w:szCs w:val="24"/>
        </w:rPr>
        <w:t xml:space="preserve">将商学院经典战略分析框架（PEST分析、波特五力模型、SWOT分析、STP分析）系统融入房地产金融研究，形成了"案例研究法 + 财务指标分析 + 事件研究法 + 战略管理工具"的综合方法论体系。研究成果不仅具有理论贡献，还建立了包含商业地产占比维度的REITs适用性评估模型，为企业决策提供可直接应用的量化参考工具。</w:t>
      </w:r>
    </w:p>
    <w:p>
      <w:pPr>
        <w:pStyle w:val="Heading2"/>
        <w:spacing w:after="180" w:before="360"/>
      </w:pPr>
      <w:r>
        <w:rPr>
          <w:rFonts w:ascii="SimHei" w:cs="SimHei" w:eastAsia="SimHei" w:hAnsi="SimHei"/>
          <w:b/>
          <w:bCs/>
          <w:sz w:val="28"/>
          <w:szCs w:val="28"/>
        </w:rPr>
        <w:t xml:space="preserve">6.3 实践启示与建议</w:t>
      </w:r>
    </w:p>
    <w:p>
      <w:pPr>
        <w:pStyle w:val="Heading3"/>
        <w:spacing w:after="120" w:before="240"/>
      </w:pPr>
      <w:r>
        <w:rPr>
          <w:rFonts w:ascii="SimHei" w:cs="SimHei" w:eastAsia="SimHei" w:hAnsi="SimHei"/>
          <w:b/>
          <w:bCs/>
          <w:sz w:val="24"/>
          <w:szCs w:val="24"/>
        </w:rPr>
        <w:t xml:space="preserve">6.3.1 对受困房企的战略建议</w:t>
      </w:r>
    </w:p>
    <w:p>
      <w:pPr>
        <w:pStyle w:val="Heading4"/>
        <w:spacing w:after="120" w:before="180"/>
      </w:pPr>
      <w:r>
        <w:rPr>
          <w:rFonts w:ascii="SimHei" w:cs="SimHei" w:eastAsia="SimHei" w:hAnsi="SimHei"/>
          <w:b/>
          <w:bCs/>
          <w:sz w:val="24"/>
          <w:szCs w:val="24"/>
        </w:rPr>
        <w:t xml:space="preserve">1. REITs战略定位建议</w:t>
      </w:r>
    </w:p>
    <w:p>
      <w:pPr>
        <w:spacing w:after="60" w:line="360"/>
        <w:ind w:firstLine="480"/>
        <w:jc w:val="both"/>
      </w:pPr>
      <w:r>
        <w:rPr>
          <w:rFonts w:ascii="SimSun" w:cs="SimSun" w:eastAsia="SimSun" w:hAnsi="SimSun"/>
          <w:b w:val="false"/>
          <w:bCs w:val="false"/>
          <w:i w:val="false"/>
          <w:iCs w:val="false"/>
          <w:strike w:val="false"/>
          <w:sz w:val="24"/>
          <w:szCs w:val="24"/>
        </w:rPr>
        <w:t xml:space="preserve">基于大悦城成功经验和万科、保利、华润、龙湖、新城多维对比启示，建议受困房企：</w:t>
      </w:r>
    </w:p>
    <w:p>
      <w:pPr>
        <w:spacing w:after="40" w:line="340"/>
        <w:ind w:left="480" w:hanging="0"/>
      </w:pPr>
      <w:r>
        <w:rPr>
          <w:rFonts w:ascii="SimSun" w:cs="SimSun" w:eastAsia="SimSun" w:hAnsi="SimSun"/>
          <w:b/>
          <w:bCs/>
          <w:sz w:val="24"/>
          <w:szCs w:val="24"/>
        </w:rPr>
        <w:t xml:space="preserve">战略定位</w:t>
      </w:r>
      <w:r>
        <w:rPr>
          <w:rFonts w:ascii="SimSun" w:cs="SimSun" w:eastAsia="SimSun" w:hAnsi="SimSun"/>
          <w:b w:val="false"/>
          <w:bCs w:val="false"/>
          <w:sz w:val="24"/>
          <w:szCs w:val="24"/>
        </w:rPr>
        <w:t xml:space="preserve">：将REITs定位为</w:t>
      </w:r>
      <w:r>
        <w:rPr>
          <w:rFonts w:ascii="SimSun" w:cs="SimSun" w:eastAsia="SimSun" w:hAnsi="SimSun"/>
          <w:b/>
          <w:bCs/>
          <w:sz w:val="24"/>
          <w:szCs w:val="24"/>
        </w:rPr>
        <w:t xml:space="preserve">核心转型工具</w:t>
      </w:r>
      <w:r>
        <w:rPr>
          <w:rFonts w:ascii="SimSun" w:cs="SimSun" w:eastAsia="SimSun" w:hAnsi="SimSun"/>
          <w:b w:val="false"/>
          <w:bCs w:val="false"/>
          <w:sz w:val="24"/>
          <w:szCs w:val="24"/>
        </w:rPr>
        <w:t xml:space="preserve">而非补充融资渠道</w:t>
      </w:r>
    </w:p>
    <w:p>
      <w:pPr>
        <w:spacing w:after="40" w:line="340"/>
        <w:ind w:left="480" w:hanging="0"/>
      </w:pPr>
      <w:r>
        <w:rPr>
          <w:rFonts w:ascii="SimSun" w:cs="SimSun" w:eastAsia="SimSun" w:hAnsi="SimSun"/>
          <w:b/>
          <w:bCs/>
          <w:sz w:val="24"/>
          <w:szCs w:val="24"/>
        </w:rPr>
        <w:t xml:space="preserve">优先级排序</w:t>
      </w:r>
      <w:r>
        <w:rPr>
          <w:rFonts w:ascii="SimSun" w:cs="SimSun" w:eastAsia="SimSun" w:hAnsi="SimSun"/>
          <w:b w:val="false"/>
          <w:bCs w:val="false"/>
          <w:sz w:val="24"/>
          <w:szCs w:val="24"/>
        </w:rPr>
        <w:t xml:space="preserve">：在"活下去"战略中，将REITs置于较高优先级</w:t>
      </w:r>
    </w:p>
    <w:p>
      <w:pPr>
        <w:spacing w:after="40" w:line="340"/>
        <w:ind w:left="480" w:hanging="0"/>
      </w:pPr>
      <w:r>
        <w:rPr>
          <w:rFonts w:ascii="SimSun" w:cs="SimSun" w:eastAsia="SimSun" w:hAnsi="SimSun"/>
          <w:b/>
          <w:bCs/>
          <w:sz w:val="24"/>
          <w:szCs w:val="24"/>
        </w:rPr>
        <w:t xml:space="preserve">资源配置</w:t>
      </w:r>
      <w:r>
        <w:rPr>
          <w:rFonts w:ascii="SimSun" w:cs="SimSun" w:eastAsia="SimSun" w:hAnsi="SimSun"/>
          <w:b w:val="false"/>
          <w:bCs w:val="false"/>
          <w:sz w:val="24"/>
          <w:szCs w:val="24"/>
        </w:rPr>
        <w:t xml:space="preserve">：建立专门的REITs工作团队，配备充足资源</w:t>
      </w:r>
    </w:p>
    <w:p>
      <w:pPr>
        <w:spacing w:after="40" w:line="340"/>
        <w:ind w:left="480" w:hanging="0"/>
      </w:pPr>
      <w:r>
        <w:rPr>
          <w:rFonts w:ascii="SimSun" w:cs="SimSun" w:eastAsia="SimSun" w:hAnsi="SimSun"/>
          <w:b/>
          <w:bCs/>
          <w:sz w:val="24"/>
          <w:szCs w:val="24"/>
        </w:rPr>
        <w:t xml:space="preserve">业务结构优化</w:t>
      </w:r>
      <w:r>
        <w:rPr>
          <w:rFonts w:ascii="SimSun" w:cs="SimSun" w:eastAsia="SimSun" w:hAnsi="SimSun"/>
          <w:b w:val="false"/>
          <w:bCs w:val="false"/>
          <w:sz w:val="24"/>
          <w:szCs w:val="24"/>
        </w:rPr>
        <w:t xml:space="preserve">：基于商业地产占比决定REITs转型路径（参考华润轻资产模式或龙湖双轮驱动模式）</w:t>
      </w:r>
    </w:p>
    <w:p>
      <w:pPr>
        <w:pStyle w:val="Heading4"/>
        <w:spacing w:after="120" w:before="180"/>
      </w:pPr>
      <w:r>
        <w:rPr>
          <w:rFonts w:ascii="SimHei" w:cs="SimHei" w:eastAsia="SimHei" w:hAnsi="SimHei"/>
          <w:b/>
          <w:bCs/>
          <w:sz w:val="24"/>
          <w:szCs w:val="24"/>
        </w:rPr>
        <w:t xml:space="preserve">2. 资产选择与重组建议</w:t>
      </w:r>
    </w:p>
    <w:p>
      <w:pPr>
        <w:spacing w:after="40" w:line="340"/>
        <w:ind w:left="480" w:hanging="0"/>
      </w:pPr>
      <w:r>
        <w:rPr>
          <w:rFonts w:ascii="SimSun" w:cs="SimSun" w:eastAsia="SimSun" w:hAnsi="SimSun"/>
          <w:b/>
          <w:bCs/>
          <w:sz w:val="24"/>
          <w:szCs w:val="24"/>
        </w:rPr>
        <w:t xml:space="preserve">收益率优先</w:t>
      </w:r>
      <w:r>
        <w:rPr>
          <w:rFonts w:ascii="SimSun" w:cs="SimSun" w:eastAsia="SimSun" w:hAnsi="SimSun"/>
          <w:b w:val="false"/>
          <w:bCs w:val="false"/>
          <w:sz w:val="24"/>
          <w:szCs w:val="24"/>
        </w:rPr>
        <w:t xml:space="preserve">：优先选择收益率较高（≥5%）的优质资产进行REITs发行</w:t>
      </w:r>
    </w:p>
    <w:p>
      <w:pPr>
        <w:spacing w:after="40" w:line="340"/>
        <w:ind w:left="480" w:hanging="0"/>
      </w:pPr>
      <w:r>
        <w:rPr>
          <w:rFonts w:ascii="SimSun" w:cs="SimSun" w:eastAsia="SimSun" w:hAnsi="SimSun"/>
          <w:b/>
          <w:bCs/>
          <w:sz w:val="24"/>
          <w:szCs w:val="24"/>
        </w:rPr>
        <w:t xml:space="preserve">资产打包策略</w:t>
      </w:r>
      <w:r>
        <w:rPr>
          <w:rFonts w:ascii="SimSun" w:cs="SimSun" w:eastAsia="SimSun" w:hAnsi="SimSun"/>
          <w:b w:val="false"/>
          <w:bCs w:val="false"/>
          <w:sz w:val="24"/>
          <w:szCs w:val="24"/>
        </w:rPr>
        <w:t xml:space="preserve">：将多个收益率相近的资产打包，形成规模效应（参考新城吾悦广场模式）</w:t>
      </w:r>
    </w:p>
    <w:p>
      <w:pPr>
        <w:spacing w:after="40" w:line="340"/>
        <w:ind w:left="480" w:hanging="0"/>
      </w:pPr>
      <w:r>
        <w:rPr>
          <w:rFonts w:ascii="SimSun" w:cs="SimSun" w:eastAsia="SimSun" w:hAnsi="SimSun"/>
          <w:b/>
          <w:bCs/>
          <w:sz w:val="24"/>
          <w:szCs w:val="24"/>
        </w:rPr>
        <w:t xml:space="preserve">产权梳理</w:t>
      </w:r>
      <w:r>
        <w:rPr>
          <w:rFonts w:ascii="SimSun" w:cs="SimSun" w:eastAsia="SimSun" w:hAnsi="SimSun"/>
          <w:b w:val="false"/>
          <w:bCs w:val="false"/>
          <w:sz w:val="24"/>
          <w:szCs w:val="24"/>
        </w:rPr>
        <w:t xml:space="preserve">：提前进行资产产权梳理，避免发行过程中的法律障碍</w:t>
      </w:r>
    </w:p>
    <w:p>
      <w:pPr>
        <w:spacing w:after="40" w:line="340"/>
        <w:ind w:left="480" w:hanging="0"/>
      </w:pPr>
      <w:r>
        <w:rPr>
          <w:rFonts w:ascii="SimSun" w:cs="SimSun" w:eastAsia="SimSun" w:hAnsi="SimSun"/>
          <w:b/>
          <w:bCs/>
          <w:sz w:val="24"/>
          <w:szCs w:val="24"/>
        </w:rPr>
        <w:t xml:space="preserve">商业资产优先</w:t>
      </w:r>
      <w:r>
        <w:rPr>
          <w:rFonts w:ascii="SimSun" w:cs="SimSun" w:eastAsia="SimSun" w:hAnsi="SimSun"/>
          <w:b w:val="false"/>
          <w:bCs w:val="false"/>
          <w:sz w:val="24"/>
          <w:szCs w:val="24"/>
        </w:rPr>
        <w:t xml:space="preserve">：商业地产占比高的企业应优先考虑商业资产REITs（参考华润商业运营模式）</w:t>
      </w:r>
    </w:p>
    <w:p>
      <w:pPr>
        <w:pStyle w:val="Heading4"/>
        <w:spacing w:after="120" w:before="180"/>
      </w:pPr>
      <w:r>
        <w:rPr>
          <w:rFonts w:ascii="SimHei" w:cs="SimHei" w:eastAsia="SimHei" w:hAnsi="SimHei"/>
          <w:b/>
          <w:bCs/>
          <w:sz w:val="24"/>
          <w:szCs w:val="24"/>
        </w:rPr>
        <w:t xml:space="preserve">3. 执行效率提升建议</w:t>
      </w:r>
    </w:p>
    <w:p>
      <w:pPr>
        <w:spacing w:after="40" w:line="340"/>
        <w:ind w:left="480" w:hanging="0"/>
      </w:pPr>
      <w:r>
        <w:rPr>
          <w:rFonts w:ascii="SimSun" w:cs="SimSun" w:eastAsia="SimSun" w:hAnsi="SimSun"/>
          <w:b/>
          <w:bCs/>
          <w:sz w:val="24"/>
          <w:szCs w:val="24"/>
        </w:rPr>
        <w:t xml:space="preserve">决策机制优化</w:t>
      </w:r>
      <w:r>
        <w:rPr>
          <w:rFonts w:ascii="SimSun" w:cs="SimSun" w:eastAsia="SimSun" w:hAnsi="SimSun"/>
          <w:b w:val="false"/>
          <w:bCs w:val="false"/>
          <w:sz w:val="24"/>
          <w:szCs w:val="24"/>
        </w:rPr>
        <w:t xml:space="preserve">：简化内部决策流程，提升市场反应速度</w:t>
      </w:r>
    </w:p>
    <w:p>
      <w:pPr>
        <w:spacing w:after="40" w:line="340"/>
        <w:ind w:left="480" w:hanging="0"/>
      </w:pPr>
      <w:r>
        <w:rPr>
          <w:rFonts w:ascii="SimSun" w:cs="SimSun" w:eastAsia="SimSun" w:hAnsi="SimSun"/>
          <w:b/>
          <w:bCs/>
          <w:sz w:val="24"/>
          <w:szCs w:val="24"/>
        </w:rPr>
        <w:t xml:space="preserve">时间规划</w:t>
      </w:r>
      <w:r>
        <w:rPr>
          <w:rFonts w:ascii="SimSun" w:cs="SimSun" w:eastAsia="SimSun" w:hAnsi="SimSun"/>
          <w:b w:val="false"/>
          <w:bCs w:val="false"/>
          <w:sz w:val="24"/>
          <w:szCs w:val="24"/>
        </w:rPr>
        <w:t xml:space="preserve">：设定明确的REITs发行时间表（建议9-12个月内完成）</w:t>
      </w:r>
    </w:p>
    <w:p>
      <w:pPr>
        <w:spacing w:after="40" w:line="340"/>
        <w:ind w:left="480" w:hanging="0"/>
      </w:pPr>
      <w:r>
        <w:rPr>
          <w:rFonts w:ascii="SimSun" w:cs="SimSun" w:eastAsia="SimSun" w:hAnsi="SimSun"/>
          <w:b/>
          <w:bCs/>
          <w:sz w:val="24"/>
          <w:szCs w:val="24"/>
        </w:rPr>
        <w:t xml:space="preserve">专业团队建设</w:t>
      </w:r>
      <w:r>
        <w:rPr>
          <w:rFonts w:ascii="SimSun" w:cs="SimSun" w:eastAsia="SimSun" w:hAnsi="SimSun"/>
          <w:b w:val="false"/>
          <w:bCs w:val="false"/>
          <w:sz w:val="24"/>
          <w:szCs w:val="24"/>
        </w:rPr>
        <w:t xml:space="preserve">：组建或引入专业的REITs发行和运营团队</w:t>
      </w:r>
    </w:p>
    <w:p>
      <w:pPr>
        <w:pStyle w:val="Heading4"/>
        <w:spacing w:after="120" w:before="180"/>
      </w:pPr>
      <w:r>
        <w:rPr>
          <w:rFonts w:ascii="SimHei" w:cs="SimHei" w:eastAsia="SimHei" w:hAnsi="SimHei"/>
          <w:b/>
          <w:bCs/>
          <w:sz w:val="24"/>
          <w:szCs w:val="24"/>
        </w:rPr>
        <w:t xml:space="preserve">4. 基于SWOT的战略组合建议</w:t>
      </w:r>
    </w:p>
    <w:p>
      <w:pPr>
        <w:spacing w:after="60" w:line="360"/>
        <w:ind w:firstLine="480"/>
        <w:jc w:val="both"/>
      </w:pPr>
      <w:r>
        <w:rPr>
          <w:rFonts w:ascii="SimSun" w:cs="SimSun" w:eastAsia="SimSun" w:hAnsi="SimSun"/>
          <w:b w:val="false"/>
          <w:bCs w:val="false"/>
          <w:i w:val="false"/>
          <w:iCs w:val="false"/>
          <w:strike w:val="false"/>
          <w:sz w:val="24"/>
          <w:szCs w:val="24"/>
        </w:rPr>
        <w:t xml:space="preserve">参考第四章4.7节的SWOT战略矩阵，建议受困房企：</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战略类型</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具体建议</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适用阶段</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SO战略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利用信用优势+REITs政策，快速发行REITs</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短期（1年内）</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WO战略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通过REITs改善负债结构，降低重资产压力</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短期-中期</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ST战略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发挥品牌价值抵御竞争，利用REITs应对行业周期</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中期（1-3年）</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WT战略</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规避重资产风险，防范高负债压力</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长期（3年以上）</w:t>
            </w:r>
          </w:p>
        </w:tc>
      </w:tr>
    </w:tbl>
    <w:p>
      <w:pPr>
        <w:spacing w:after="120"/>
      </w:pPr>
    </w:p>
    <w:p>
      <w:pPr>
        <w:pStyle w:val="Heading3"/>
        <w:spacing w:after="120" w:before="240"/>
      </w:pPr>
      <w:r>
        <w:rPr>
          <w:rFonts w:ascii="SimHei" w:cs="SimHei" w:eastAsia="SimHei" w:hAnsi="SimHei"/>
          <w:b/>
          <w:bCs/>
          <w:sz w:val="24"/>
          <w:szCs w:val="24"/>
        </w:rPr>
        <w:t xml:space="preserve">6.3.2 对投资者的决策建议</w:t>
      </w:r>
    </w:p>
    <w:p>
      <w:pPr>
        <w:pStyle w:val="Heading4"/>
        <w:spacing w:after="120" w:before="180"/>
      </w:pPr>
      <w:r>
        <w:rPr>
          <w:rFonts w:ascii="SimHei" w:cs="SimHei" w:eastAsia="SimHei" w:hAnsi="SimHei"/>
          <w:b/>
          <w:bCs/>
          <w:sz w:val="24"/>
          <w:szCs w:val="24"/>
        </w:rPr>
        <w:t xml:space="preserve">1. REITs投资评估框架</w:t>
      </w:r>
    </w:p>
    <w:p>
      <w:pPr>
        <w:spacing w:after="60" w:line="360"/>
        <w:ind w:firstLine="480"/>
        <w:jc w:val="both"/>
      </w:pPr>
      <w:r>
        <w:rPr>
          <w:rFonts w:ascii="SimSun" w:cs="SimSun" w:eastAsia="SimSun" w:hAnsi="SimSun"/>
          <w:b w:val="false"/>
          <w:bCs w:val="false"/>
          <w:i w:val="false"/>
          <w:iCs w:val="false"/>
          <w:strike w:val="false"/>
          <w:sz w:val="24"/>
          <w:szCs w:val="24"/>
        </w:rPr>
        <w:t xml:space="preserve">建议投资者采用以下理论框架评估房企REITs产品：</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评估维度</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关键指标</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评估标准</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资产质量</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出租率、租金增长率、收缴率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出租率≥95%，租金增长≥3%，收缴率≥98%</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收益率水平</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年化分派率、资产收益率</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分派率≥5%，资产收益率≥4.5%</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运营能力</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运营管理机构经验、历史业绩</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有3年以上同类资产运营经验</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企业背景</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信用评级、股东背景</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信用评级≥AA+，股东背景稳定</w:t>
            </w:r>
          </w:p>
        </w:tc>
      </w:tr>
    </w:tbl>
    <w:p>
      <w:pPr>
        <w:spacing w:after="120"/>
      </w:pPr>
    </w:p>
    <w:p>
      <w:pPr>
        <w:pStyle w:val="Heading4"/>
        <w:spacing w:after="120" w:before="180"/>
      </w:pPr>
      <w:r>
        <w:rPr>
          <w:rFonts w:ascii="SimHei" w:cs="SimHei" w:eastAsia="SimHei" w:hAnsi="SimHei"/>
          <w:b/>
          <w:bCs/>
          <w:sz w:val="24"/>
          <w:szCs w:val="24"/>
        </w:rPr>
        <w:t xml:space="preserve">2. 风险识别与管理建议</w:t>
      </w:r>
    </w:p>
    <w:p>
      <w:pPr>
        <w:spacing w:after="40" w:line="340"/>
        <w:ind w:left="480" w:hanging="0"/>
      </w:pPr>
      <w:r>
        <w:rPr>
          <w:rFonts w:ascii="SimSun" w:cs="SimSun" w:eastAsia="SimSun" w:hAnsi="SimSun"/>
          <w:b/>
          <w:bCs/>
          <w:sz w:val="24"/>
          <w:szCs w:val="24"/>
        </w:rPr>
        <w:t xml:space="preserve">单一资产风险</w:t>
      </w:r>
      <w:r>
        <w:rPr>
          <w:rFonts w:ascii="SimSun" w:cs="SimSun" w:eastAsia="SimSun" w:hAnsi="SimSun"/>
          <w:b w:val="false"/>
          <w:bCs w:val="false"/>
          <w:sz w:val="24"/>
          <w:szCs w:val="24"/>
        </w:rPr>
        <w:t xml:space="preserve">：关注REITs的扩募计划和资产储备</w:t>
      </w:r>
    </w:p>
    <w:p>
      <w:pPr>
        <w:spacing w:after="40" w:line="340"/>
        <w:ind w:left="480" w:hanging="0"/>
      </w:pPr>
      <w:r>
        <w:rPr>
          <w:rFonts w:ascii="SimSun" w:cs="SimSun" w:eastAsia="SimSun" w:hAnsi="SimSun"/>
          <w:b/>
          <w:bCs/>
          <w:sz w:val="24"/>
          <w:szCs w:val="24"/>
        </w:rPr>
        <w:t xml:space="preserve">收益率风险</w:t>
      </w:r>
      <w:r>
        <w:rPr>
          <w:rFonts w:ascii="SimSun" w:cs="SimSun" w:eastAsia="SimSun" w:hAnsi="SimSun"/>
          <w:b w:val="false"/>
          <w:bCs w:val="false"/>
          <w:sz w:val="24"/>
          <w:szCs w:val="24"/>
        </w:rPr>
        <w:t xml:space="preserve">：关注分派率的可持续性和增长潜力</w:t>
      </w:r>
    </w:p>
    <w:p>
      <w:pPr>
        <w:spacing w:after="40" w:line="340"/>
        <w:ind w:left="480" w:hanging="0"/>
      </w:pPr>
      <w:r>
        <w:rPr>
          <w:rFonts w:ascii="SimSun" w:cs="SimSun" w:eastAsia="SimSun" w:hAnsi="SimSun"/>
          <w:b/>
          <w:bCs/>
          <w:sz w:val="24"/>
          <w:szCs w:val="24"/>
        </w:rPr>
        <w:t xml:space="preserve">市场风险</w:t>
      </w:r>
      <w:r>
        <w:rPr>
          <w:rFonts w:ascii="SimSun" w:cs="SimSun" w:eastAsia="SimSun" w:hAnsi="SimSun"/>
          <w:b w:val="false"/>
          <w:bCs w:val="false"/>
          <w:sz w:val="24"/>
          <w:szCs w:val="24"/>
        </w:rPr>
        <w:t xml:space="preserve">：关注房地产行业周期和区域市场变化</w:t>
      </w:r>
    </w:p>
    <w:p>
      <w:pPr>
        <w:pStyle w:val="Heading3"/>
        <w:spacing w:after="120" w:before="240"/>
      </w:pPr>
      <w:r>
        <w:rPr>
          <w:rFonts w:ascii="SimHei" w:cs="SimHei" w:eastAsia="SimHei" w:hAnsi="SimHei"/>
          <w:b/>
          <w:bCs/>
          <w:sz w:val="24"/>
          <w:szCs w:val="24"/>
        </w:rPr>
        <w:t xml:space="preserve">6.3.3 对政策制定者的建议</w:t>
      </w:r>
    </w:p>
    <w:p>
      <w:pPr>
        <w:pStyle w:val="Heading4"/>
        <w:spacing w:after="120" w:before="180"/>
      </w:pPr>
      <w:r>
        <w:rPr>
          <w:rFonts w:ascii="SimHei" w:cs="SimHei" w:eastAsia="SimHei" w:hAnsi="SimHei"/>
          <w:b/>
          <w:bCs/>
          <w:sz w:val="24"/>
          <w:szCs w:val="24"/>
        </w:rPr>
        <w:t xml:space="preserve">1. REITs政策优化与落地路径</w:t>
      </w:r>
    </w:p>
    <w:p>
      <w:pPr>
        <w:spacing w:after="60" w:line="360"/>
        <w:ind w:firstLine="480"/>
        <w:jc w:val="both"/>
      </w:pPr>
      <w:r>
        <w:rPr>
          <w:rFonts w:ascii="SimSun" w:cs="SimSun" w:eastAsia="SimSun" w:hAnsi="SimSun"/>
          <w:b/>
          <w:bCs/>
          <w:i w:val="false"/>
          <w:iCs w:val="false"/>
          <w:strike w:val="false"/>
          <w:sz w:val="24"/>
          <w:szCs w:val="24"/>
        </w:rPr>
        <w:t xml:space="preserve">政策落地三阶段实施路径</w:t>
      </w:r>
      <w:r>
        <w:rPr>
          <w:rFonts w:ascii="SimSun" w:cs="SimSun" w:eastAsia="SimSun" w:hAnsi="SimSun"/>
          <w:b w:val="false"/>
          <w:bCs w:val="false"/>
          <w:i w:val="false"/>
          <w:iCs w:val="false"/>
          <w:strike w:val="false"/>
          <w:sz w:val="24"/>
          <w:szCs w:val="24"/>
        </w:rPr>
        <w:t xml:space="preserve">：</w:t>
      </w:r>
    </w:p>
    <w:p>
      <w:pPr>
        <w:spacing w:after="60" w:line="360"/>
        <w:ind w:firstLine="480"/>
        <w:jc w:val="both"/>
      </w:pPr>
      <w:r>
        <w:rPr>
          <w:rFonts w:ascii="SimSun" w:cs="SimSun" w:eastAsia="SimSun" w:hAnsi="SimSun"/>
          <w:b/>
          <w:bCs/>
          <w:i w:val="false"/>
          <w:iCs w:val="false"/>
          <w:strike w:val="false"/>
          <w:sz w:val="24"/>
          <w:szCs w:val="24"/>
        </w:rPr>
        <w:t xml:space="preserve">第一阶段（2026-2027年）：试点深化与标准建立</w:t>
      </w:r>
    </w:p>
    <w:p>
      <w:pPr>
        <w:spacing w:after="40" w:line="340"/>
        <w:ind w:left="480" w:hanging="0"/>
      </w:pPr>
      <w:r>
        <w:rPr>
          <w:rFonts w:ascii="SimSun" w:cs="SimSun" w:eastAsia="SimSun" w:hAnsi="SimSun"/>
          <w:b/>
          <w:bCs/>
          <w:sz w:val="24"/>
          <w:szCs w:val="24"/>
        </w:rPr>
        <w:t xml:space="preserve">政策目标</w:t>
      </w:r>
      <w:r>
        <w:rPr>
          <w:rFonts w:ascii="SimSun" w:cs="SimSun" w:eastAsia="SimSun" w:hAnsi="SimSun"/>
          <w:b w:val="false"/>
          <w:bCs w:val="false"/>
          <w:sz w:val="24"/>
          <w:szCs w:val="24"/>
        </w:rPr>
        <w:t xml:space="preserve">：将REITs试点范围扩大至所有上市房企，建立标准化发行流程</w:t>
      </w:r>
    </w:p>
    <w:p>
      <w:pPr>
        <w:spacing w:after="40" w:line="340"/>
        <w:ind w:left="480" w:hanging="0"/>
      </w:pPr>
      <w:r>
        <w:rPr>
          <w:rFonts w:ascii="SimSun" w:cs="SimSun" w:eastAsia="SimSun" w:hAnsi="SimSun"/>
          <w:b/>
          <w:bCs/>
          <w:sz w:val="24"/>
          <w:szCs w:val="24"/>
        </w:rPr>
        <w:t xml:space="preserve">具体措施</w:t>
      </w:r>
      <w:r>
        <w:rPr>
          <w:rFonts w:ascii="SimSun" w:cs="SimSun" w:eastAsia="SimSun" w:hAnsi="SimSun"/>
          <w:b w:val="false"/>
          <w:bCs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val="false"/>
          <w:bCs w:val="false"/>
          <w:sz w:val="24"/>
          <w:szCs w:val="24"/>
        </w:rPr>
        <w:t xml:space="preserve">发布《房企REITs发行指引（试行）》，明确受困房企的绿色通道标准</w:t>
      </w:r>
    </w:p>
    <w:p>
      <w:pPr>
        <w:spacing w:after="40" w:line="340"/>
        <w:ind w:left="480" w:hanging="280"/>
      </w:pPr>
      <w:r>
        <w:rPr>
          <w:rFonts w:ascii="SimSun" w:cs="SimSun" w:eastAsia="SimSun" w:hAnsi="SimSun"/>
          <w:sz w:val="24"/>
          <w:szCs w:val="24"/>
        </w:rPr>
        <w:t xml:space="preserve">2. </w:t>
      </w:r>
      <w:r>
        <w:rPr>
          <w:rFonts w:ascii="SimSun" w:cs="SimSun" w:eastAsia="SimSun" w:hAnsi="SimSun"/>
          <w:b w:val="false"/>
          <w:bCs w:val="false"/>
          <w:sz w:val="24"/>
          <w:szCs w:val="24"/>
        </w:rPr>
        <w:t xml:space="preserve">建立房企REITs发行审核联席会议制度（证监会+发改委+住建部）</w:t>
      </w:r>
    </w:p>
    <w:p>
      <w:pPr>
        <w:spacing w:after="40" w:line="340"/>
        <w:ind w:left="480" w:hanging="280"/>
      </w:pPr>
      <w:r>
        <w:rPr>
          <w:rFonts w:ascii="SimSun" w:cs="SimSun" w:eastAsia="SimSun" w:hAnsi="SimSun"/>
          <w:sz w:val="24"/>
          <w:szCs w:val="24"/>
        </w:rPr>
        <w:t xml:space="preserve">3. </w:t>
      </w:r>
      <w:r>
        <w:rPr>
          <w:rFonts w:ascii="SimSun" w:cs="SimSun" w:eastAsia="SimSun" w:hAnsi="SimSun"/>
          <w:b w:val="false"/>
          <w:bCs w:val="false"/>
          <w:sz w:val="24"/>
          <w:szCs w:val="24"/>
        </w:rPr>
        <w:t xml:space="preserve">设立REITs发行准备基金，为房企提供前期资金支持</w:t>
      </w:r>
    </w:p>
    <w:p>
      <w:pPr>
        <w:spacing w:after="40" w:line="340"/>
        <w:ind w:left="480" w:hanging="0"/>
      </w:pPr>
      <w:r>
        <w:rPr>
          <w:rFonts w:ascii="SimSun" w:cs="SimSun" w:eastAsia="SimSun" w:hAnsi="SimSun"/>
          <w:b/>
          <w:bCs/>
          <w:sz w:val="24"/>
          <w:szCs w:val="24"/>
        </w:rPr>
        <w:t xml:space="preserve">预期效果</w:t>
      </w:r>
      <w:r>
        <w:rPr>
          <w:rFonts w:ascii="SimSun" w:cs="SimSun" w:eastAsia="SimSun" w:hAnsi="SimSun"/>
          <w:b w:val="false"/>
          <w:bCs w:val="false"/>
          <w:sz w:val="24"/>
          <w:szCs w:val="24"/>
        </w:rPr>
        <w:t xml:space="preserve">：年发行规模达到500-800亿元，覆盖30-50家房企</w:t>
      </w:r>
    </w:p>
    <w:p>
      <w:pPr>
        <w:spacing w:after="60" w:line="360"/>
        <w:ind w:firstLine="480"/>
        <w:jc w:val="both"/>
      </w:pPr>
      <w:r>
        <w:rPr>
          <w:rFonts w:ascii="SimSun" w:cs="SimSun" w:eastAsia="SimSun" w:hAnsi="SimSun"/>
          <w:b/>
          <w:bCs/>
          <w:i w:val="false"/>
          <w:iCs w:val="false"/>
          <w:strike w:val="false"/>
          <w:sz w:val="24"/>
          <w:szCs w:val="24"/>
        </w:rPr>
        <w:t xml:space="preserve">第二阶段（2027-2028年）：体系完善与市场拓展</w:t>
      </w:r>
    </w:p>
    <w:p>
      <w:pPr>
        <w:spacing w:after="40" w:line="340"/>
        <w:ind w:left="480" w:hanging="0"/>
      </w:pPr>
      <w:r>
        <w:rPr>
          <w:rFonts w:ascii="SimSun" w:cs="SimSun" w:eastAsia="SimSun" w:hAnsi="SimSun"/>
          <w:b/>
          <w:bCs/>
          <w:sz w:val="24"/>
          <w:szCs w:val="24"/>
        </w:rPr>
        <w:t xml:space="preserve">政策目标</w:t>
      </w:r>
      <w:r>
        <w:rPr>
          <w:rFonts w:ascii="SimSun" w:cs="SimSun" w:eastAsia="SimSun" w:hAnsi="SimSun"/>
          <w:b w:val="false"/>
          <w:bCs w:val="false"/>
          <w:sz w:val="24"/>
          <w:szCs w:val="24"/>
        </w:rPr>
        <w:t xml:space="preserve">：形成完整的REITs产品体系，拓展投资者群体</w:t>
      </w:r>
    </w:p>
    <w:p>
      <w:pPr>
        <w:spacing w:after="40" w:line="340"/>
        <w:ind w:left="480" w:hanging="0"/>
      </w:pPr>
      <w:r>
        <w:rPr>
          <w:rFonts w:ascii="SimSun" w:cs="SimSun" w:eastAsia="SimSun" w:hAnsi="SimSun"/>
          <w:b/>
          <w:bCs/>
          <w:sz w:val="24"/>
          <w:szCs w:val="24"/>
        </w:rPr>
        <w:t xml:space="preserve">具体措施</w:t>
      </w:r>
      <w:r>
        <w:rPr>
          <w:rFonts w:ascii="SimSun" w:cs="SimSun" w:eastAsia="SimSun" w:hAnsi="SimSun"/>
          <w:b w:val="false"/>
          <w:bCs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val="false"/>
          <w:bCs w:val="false"/>
          <w:sz w:val="24"/>
          <w:szCs w:val="24"/>
        </w:rPr>
        <w:t xml:space="preserve">推出差异化收益率标准体系（商业地产≥5%，物流地产≥4.5%，长租公寓≥4%）</w:t>
      </w:r>
    </w:p>
    <w:p>
      <w:pPr>
        <w:spacing w:after="40" w:line="340"/>
        <w:ind w:left="480" w:hanging="280"/>
      </w:pPr>
      <w:r>
        <w:rPr>
          <w:rFonts w:ascii="SimSun" w:cs="SimSun" w:eastAsia="SimSun" w:hAnsi="SimSun"/>
          <w:sz w:val="24"/>
          <w:szCs w:val="24"/>
        </w:rPr>
        <w:t xml:space="preserve">2. </w:t>
      </w:r>
      <w:r>
        <w:rPr>
          <w:rFonts w:ascii="SimSun" w:cs="SimSun" w:eastAsia="SimSun" w:hAnsi="SimSun"/>
          <w:b w:val="false"/>
          <w:bCs w:val="false"/>
          <w:sz w:val="24"/>
          <w:szCs w:val="24"/>
        </w:rPr>
        <w:t xml:space="preserve">建立REITs税收优惠政策体系（免除发行环节印花税、减半征收持有环节所得税）</w:t>
      </w:r>
    </w:p>
    <w:p>
      <w:pPr>
        <w:spacing w:after="40" w:line="340"/>
        <w:ind w:left="480" w:hanging="280"/>
      </w:pPr>
      <w:r>
        <w:rPr>
          <w:rFonts w:ascii="SimSun" w:cs="SimSun" w:eastAsia="SimSun" w:hAnsi="SimSun"/>
          <w:sz w:val="24"/>
          <w:szCs w:val="24"/>
        </w:rPr>
        <w:t xml:space="preserve">3. </w:t>
      </w:r>
      <w:r>
        <w:rPr>
          <w:rFonts w:ascii="SimSun" w:cs="SimSun" w:eastAsia="SimSun" w:hAnsi="SimSun"/>
          <w:b w:val="false"/>
          <w:bCs w:val="false"/>
          <w:sz w:val="24"/>
          <w:szCs w:val="24"/>
        </w:rPr>
        <w:t xml:space="preserve">推动REITs纳入社保基金、养老金等长期资金投资范围</w:t>
      </w:r>
    </w:p>
    <w:p>
      <w:pPr>
        <w:spacing w:after="40" w:line="340"/>
        <w:ind w:left="480" w:hanging="0"/>
      </w:pPr>
      <w:r>
        <w:rPr>
          <w:rFonts w:ascii="SimSun" w:cs="SimSun" w:eastAsia="SimSun" w:hAnsi="SimSun"/>
          <w:b/>
          <w:bCs/>
          <w:sz w:val="24"/>
          <w:szCs w:val="24"/>
        </w:rPr>
        <w:t xml:space="preserve">预期效果</w:t>
      </w:r>
      <w:r>
        <w:rPr>
          <w:rFonts w:ascii="SimSun" w:cs="SimSun" w:eastAsia="SimSun" w:hAnsi="SimSun"/>
          <w:b w:val="false"/>
          <w:bCs w:val="false"/>
          <w:sz w:val="24"/>
          <w:szCs w:val="24"/>
        </w:rPr>
        <w:t xml:space="preserve">：年发行规模突破1000亿元，形成10-15个REITs产品系列</w:t>
      </w:r>
    </w:p>
    <w:p>
      <w:pPr>
        <w:spacing w:after="60" w:line="360"/>
        <w:ind w:firstLine="480"/>
        <w:jc w:val="both"/>
      </w:pPr>
      <w:r>
        <w:rPr>
          <w:rFonts w:ascii="SimSun" w:cs="SimSun" w:eastAsia="SimSun" w:hAnsi="SimSun"/>
          <w:b/>
          <w:bCs/>
          <w:i w:val="false"/>
          <w:iCs w:val="false"/>
          <w:strike w:val="false"/>
          <w:sz w:val="24"/>
          <w:szCs w:val="24"/>
        </w:rPr>
        <w:t xml:space="preserve">第三阶段（2028-2030年）：市场成熟与风险防控</w:t>
      </w:r>
    </w:p>
    <w:p>
      <w:pPr>
        <w:spacing w:after="40" w:line="340"/>
        <w:ind w:left="480" w:hanging="0"/>
      </w:pPr>
      <w:r>
        <w:rPr>
          <w:rFonts w:ascii="SimSun" w:cs="SimSun" w:eastAsia="SimSun" w:hAnsi="SimSun"/>
          <w:b/>
          <w:bCs/>
          <w:sz w:val="24"/>
          <w:szCs w:val="24"/>
        </w:rPr>
        <w:t xml:space="preserve">政策目标</w:t>
      </w:r>
      <w:r>
        <w:rPr>
          <w:rFonts w:ascii="SimSun" w:cs="SimSun" w:eastAsia="SimSun" w:hAnsi="SimSun"/>
          <w:b w:val="false"/>
          <w:bCs w:val="false"/>
          <w:sz w:val="24"/>
          <w:szCs w:val="24"/>
        </w:rPr>
        <w:t xml:space="preserve">：建立成熟的REITs市场生态，完善风险防控体系</w:t>
      </w:r>
    </w:p>
    <w:p>
      <w:pPr>
        <w:spacing w:after="40" w:line="340"/>
        <w:ind w:left="480" w:hanging="0"/>
      </w:pPr>
      <w:r>
        <w:rPr>
          <w:rFonts w:ascii="SimSun" w:cs="SimSun" w:eastAsia="SimSun" w:hAnsi="SimSun"/>
          <w:b/>
          <w:bCs/>
          <w:sz w:val="24"/>
          <w:szCs w:val="24"/>
        </w:rPr>
        <w:t xml:space="preserve">具体措施</w:t>
      </w:r>
      <w:r>
        <w:rPr>
          <w:rFonts w:ascii="SimSun" w:cs="SimSun" w:eastAsia="SimSun" w:hAnsi="SimSun"/>
          <w:b w:val="false"/>
          <w:bCs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val="false"/>
          <w:bCs w:val="false"/>
          <w:sz w:val="24"/>
          <w:szCs w:val="24"/>
        </w:rPr>
        <w:t xml:space="preserve">建立REITs市场价格稳定传导机制（设立REITs平准基金）</w:t>
      </w:r>
    </w:p>
    <w:p>
      <w:pPr>
        <w:spacing w:after="40" w:line="340"/>
        <w:ind w:left="480" w:hanging="280"/>
      </w:pPr>
      <w:r>
        <w:rPr>
          <w:rFonts w:ascii="SimSun" w:cs="SimSun" w:eastAsia="SimSun" w:hAnsi="SimSun"/>
          <w:sz w:val="24"/>
          <w:szCs w:val="24"/>
        </w:rPr>
        <w:t xml:space="preserve">2. </w:t>
      </w:r>
      <w:r>
        <w:rPr>
          <w:rFonts w:ascii="SimSun" w:cs="SimSun" w:eastAsia="SimSun" w:hAnsi="SimSun"/>
          <w:b w:val="false"/>
          <w:bCs w:val="false"/>
          <w:sz w:val="24"/>
          <w:szCs w:val="24"/>
        </w:rPr>
        <w:t xml:space="preserve">完善REITs持有人保护传导机制（建立投资者赔偿基金）</w:t>
      </w:r>
    </w:p>
    <w:p>
      <w:pPr>
        <w:spacing w:after="40" w:line="340"/>
        <w:ind w:left="480" w:hanging="280"/>
      </w:pPr>
      <w:r>
        <w:rPr>
          <w:rFonts w:ascii="SimSun" w:cs="SimSun" w:eastAsia="SimSun" w:hAnsi="SimSun"/>
          <w:sz w:val="24"/>
          <w:szCs w:val="24"/>
        </w:rPr>
        <w:t xml:space="preserve">3. </w:t>
      </w:r>
      <w:r>
        <w:rPr>
          <w:rFonts w:ascii="SimSun" w:cs="SimSun" w:eastAsia="SimSun" w:hAnsi="SimSun"/>
          <w:b w:val="false"/>
          <w:bCs w:val="false"/>
          <w:sz w:val="24"/>
          <w:szCs w:val="24"/>
        </w:rPr>
        <w:t xml:space="preserve">推动REITs跨境投融资试点（与香港、新加坡市场互联互通）</w:t>
      </w:r>
    </w:p>
    <w:p>
      <w:pPr>
        <w:spacing w:after="40" w:line="340"/>
        <w:ind w:left="480" w:hanging="0"/>
      </w:pPr>
      <w:r>
        <w:rPr>
          <w:rFonts w:ascii="SimSun" w:cs="SimSun" w:eastAsia="SimSun" w:hAnsi="SimSun"/>
          <w:b/>
          <w:bCs/>
          <w:sz w:val="24"/>
          <w:szCs w:val="24"/>
        </w:rPr>
        <w:t xml:space="preserve">预期效果</w:t>
      </w:r>
      <w:r>
        <w:rPr>
          <w:rFonts w:ascii="SimSun" w:cs="SimSun" w:eastAsia="SimSun" w:hAnsi="SimSun"/>
          <w:b w:val="false"/>
          <w:bCs w:val="false"/>
          <w:sz w:val="24"/>
          <w:szCs w:val="24"/>
        </w:rPr>
        <w:t xml:space="preserve">：REITs成为房地产行业主流融资渠道，市场规模达到万亿元级别</w:t>
      </w:r>
    </w:p>
    <w:p>
      <w:pPr>
        <w:pStyle w:val="Heading4"/>
        <w:spacing w:after="120" w:before="180"/>
      </w:pPr>
      <w:r>
        <w:rPr>
          <w:rFonts w:ascii="SimHei" w:cs="SimHei" w:eastAsia="SimHei" w:hAnsi="SimHei"/>
          <w:b/>
          <w:bCs/>
          <w:sz w:val="24"/>
          <w:szCs w:val="24"/>
        </w:rPr>
        <w:t xml:space="preserve">2. 支持受困房企的分层施策体系</w:t>
      </w:r>
    </w:p>
    <w:p>
      <w:pPr>
        <w:spacing w:after="60" w:line="360"/>
        <w:ind w:firstLine="480"/>
        <w:jc w:val="both"/>
      </w:pPr>
      <w:r>
        <w:rPr>
          <w:rFonts w:ascii="SimSun" w:cs="SimSun" w:eastAsia="SimSun" w:hAnsi="SimSun"/>
          <w:b/>
          <w:bCs/>
          <w:i w:val="false"/>
          <w:iCs w:val="false"/>
          <w:strike w:val="false"/>
          <w:sz w:val="24"/>
          <w:szCs w:val="24"/>
        </w:rPr>
        <w:t xml:space="preserve">基于困境程度的分层支持政策</w:t>
      </w:r>
      <w:r>
        <w:rPr>
          <w:rFonts w:ascii="SimSun" w:cs="SimSun" w:eastAsia="SimSun" w:hAnsi="SimSun"/>
          <w:b w:val="false"/>
          <w:bCs w:val="false"/>
          <w:i w:val="false"/>
          <w:iCs w:val="false"/>
          <w:strike w:val="false"/>
          <w:sz w:val="24"/>
          <w:szCs w:val="24"/>
        </w:rPr>
        <w:t xml:space="preserve">：</w:t>
      </w:r>
    </w:p>
    <w:p>
      <w:pPr>
        <w:spacing w:after="60" w:line="360"/>
        <w:ind w:firstLine="480"/>
        <w:jc w:val="both"/>
      </w:pPr>
      <w:r>
        <w:rPr>
          <w:rFonts w:ascii="SimSun" w:cs="SimSun" w:eastAsia="SimSun" w:hAnsi="SimSun"/>
          <w:b/>
          <w:bCs/>
          <w:i w:val="false"/>
          <w:iCs w:val="false"/>
          <w:strike w:val="false"/>
          <w:sz w:val="24"/>
          <w:szCs w:val="24"/>
        </w:rPr>
        <w:t xml:space="preserve">表6.1 房企困境程度分类与支持政策矩阵</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困境程度</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核心指标</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企业特征</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REITs支持政策</w:t>
            </w:r>
          </w:p>
        </w:tc>
        <w:tc>
          <w:tcPr>
            <w:tcW w:type="dxa" w:w="1733"/>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政策实施主体</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轻度困境</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Z-score:1.8-2.7</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短期流动性压力，盈利能力尚可</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① REITs发行绿色通道&lt;br&gt;② 税收优惠&lt;br&gt;③ 快速审批（30天内）</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证监会、税务部门</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中度困境</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Z-score:1.2-1.8</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持续亏损，债务压力较大</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① REITs发行专项基金支持&lt;br&gt;② 发行费用补贴（50%）&lt;br&gt;③ 存量债务置换额度</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证监会、发改委、金融机构</w:t>
            </w:r>
          </w:p>
        </w:tc>
      </w:tr>
      <w:tr>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重度困境</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Z-score&lt;1.2</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债务违约风险，重组压力</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① 债务重组+REITs发行联动&lt;br&gt;② 政府引导基金入股&lt;br&gt;③ 破产重整程序REITs优先</w:t>
            </w:r>
          </w:p>
        </w:tc>
        <w:tc>
          <w:tcPr>
            <w:tcW w:type="dxa" w:w="1733"/>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地方政府、法院、AMC</w:t>
            </w:r>
          </w:p>
        </w:tc>
      </w:tr>
    </w:tbl>
    <w:p>
      <w:pPr>
        <w:spacing w:after="120"/>
      </w:pPr>
    </w:p>
    <w:p>
      <w:pPr>
        <w:pStyle w:val="Heading4"/>
        <w:spacing w:after="120" w:before="180"/>
      </w:pPr>
      <w:r>
        <w:rPr>
          <w:rFonts w:ascii="SimHei" w:cs="SimHei" w:eastAsia="SimHei" w:hAnsi="SimHei"/>
          <w:b/>
          <w:bCs/>
          <w:sz w:val="24"/>
          <w:szCs w:val="24"/>
        </w:rPr>
        <w:t xml:space="preserve">3. 系统性风险评估与防控体系</w:t>
      </w:r>
    </w:p>
    <w:p>
      <w:pPr>
        <w:spacing w:after="60" w:line="360"/>
        <w:ind w:firstLine="480"/>
        <w:jc w:val="both"/>
      </w:pPr>
      <w:r>
        <w:rPr>
          <w:rFonts w:ascii="SimSun" w:cs="SimSun" w:eastAsia="SimSun" w:hAnsi="SimSun"/>
          <w:b/>
          <w:bCs/>
          <w:i w:val="false"/>
          <w:iCs w:val="false"/>
          <w:strike w:val="false"/>
          <w:sz w:val="24"/>
          <w:szCs w:val="24"/>
        </w:rPr>
        <w:t xml:space="preserve">REITs市场风险识别与防控矩阵</w:t>
      </w:r>
      <w:r>
        <w:rPr>
          <w:rFonts w:ascii="SimSun" w:cs="SimSun" w:eastAsia="SimSun" w:hAnsi="SimSun"/>
          <w:b w:val="false"/>
          <w:bCs w:val="false"/>
          <w:i w:val="false"/>
          <w:iCs w:val="false"/>
          <w:strike w:val="false"/>
          <w:sz w:val="24"/>
          <w:szCs w:val="24"/>
        </w:rPr>
        <w:t xml:space="preserve">：</w:t>
      </w:r>
    </w:p>
    <w:p>
      <w:pPr>
        <w:spacing w:after="60" w:line="360"/>
        <w:ind w:firstLine="480"/>
        <w:jc w:val="both"/>
      </w:pPr>
      <w:r>
        <w:rPr>
          <w:rFonts w:ascii="SimSun" w:cs="SimSun" w:eastAsia="SimSun" w:hAnsi="SimSun"/>
          <w:b/>
          <w:bCs/>
          <w:i w:val="false"/>
          <w:iCs w:val="false"/>
          <w:strike w:val="false"/>
          <w:sz w:val="24"/>
          <w:szCs w:val="24"/>
        </w:rPr>
        <w:t xml:space="preserve">主要风险类型与防控措施</w:t>
      </w:r>
      <w:r>
        <w:rPr>
          <w:rFonts w:ascii="SimSun" w:cs="SimSun" w:eastAsia="SimSun" w:hAnsi="SimSun"/>
          <w:b w:val="false"/>
          <w:bCs w:val="false"/>
          <w:i w:val="false"/>
          <w:iCs w:val="false"/>
          <w:strike w:val="false"/>
          <w:sz w:val="24"/>
          <w:szCs w:val="24"/>
        </w:rPr>
        <w:t xml:space="preserve">：</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市场流动性风险</w:t>
      </w:r>
    </w:p>
    <w:p>
      <w:pPr>
        <w:spacing w:after="40" w:line="340"/>
        <w:ind w:left="480" w:hanging="0"/>
      </w:pPr>
      <w:r>
        <w:rPr>
          <w:rFonts w:ascii="SimSun" w:cs="SimSun" w:eastAsia="SimSun" w:hAnsi="SimSun"/>
          <w:b/>
          <w:bCs/>
          <w:sz w:val="24"/>
          <w:szCs w:val="24"/>
        </w:rPr>
        <w:t xml:space="preserve">风险表现</w:t>
      </w:r>
      <w:r>
        <w:rPr>
          <w:rFonts w:ascii="SimSun" w:cs="SimSun" w:eastAsia="SimSun" w:hAnsi="SimSun"/>
          <w:b w:val="false"/>
          <w:bCs w:val="false"/>
          <w:sz w:val="24"/>
          <w:szCs w:val="24"/>
        </w:rPr>
        <w:t xml:space="preserve">：REITs产品二级市场流动性不足，价格大幅波动</w:t>
      </w:r>
    </w:p>
    <w:p>
      <w:pPr>
        <w:spacing w:after="40" w:line="340"/>
        <w:ind w:left="480" w:hanging="0"/>
      </w:pPr>
      <w:r>
        <w:rPr>
          <w:rFonts w:ascii="SimSun" w:cs="SimSun" w:eastAsia="SimSun" w:hAnsi="SimSun"/>
          <w:b/>
          <w:bCs/>
          <w:sz w:val="24"/>
          <w:szCs w:val="24"/>
        </w:rPr>
        <w:t xml:space="preserve">防控措施</w:t>
      </w:r>
      <w:r>
        <w:rPr>
          <w:rFonts w:ascii="SimSun" w:cs="SimSun" w:eastAsia="SimSun" w:hAnsi="SimSun"/>
          <w:b w:val="false"/>
          <w:bCs w:val="false"/>
          <w:sz w:val="24"/>
          <w:szCs w:val="24"/>
        </w:rPr>
        <w:t xml:space="preserve">：</w:t>
      </w:r>
    </w:p>
    <w:p>
      <w:pPr>
        <w:spacing w:after="40" w:line="340"/>
        <w:ind w:left="480" w:hanging="0"/>
      </w:pPr>
      <w:r>
        <w:rPr>
          <w:rFonts w:ascii="SimSun" w:cs="SimSun" w:eastAsia="SimSun" w:hAnsi="SimSun"/>
          <w:b w:val="false"/>
          <w:bCs w:val="false"/>
          <w:sz w:val="24"/>
          <w:szCs w:val="24"/>
        </w:rPr>
        <w:t xml:space="preserve">建立做市商制度，确保市场流动性</w:t>
      </w:r>
    </w:p>
    <w:p>
      <w:pPr>
        <w:spacing w:after="40" w:line="340"/>
        <w:ind w:left="480" w:hanging="0"/>
      </w:pPr>
      <w:r>
        <w:rPr>
          <w:rFonts w:ascii="SimSun" w:cs="SimSun" w:eastAsia="SimSun" w:hAnsi="SimSun"/>
          <w:b w:val="false"/>
          <w:bCs w:val="false"/>
          <w:sz w:val="24"/>
          <w:szCs w:val="24"/>
        </w:rPr>
        <w:t xml:space="preserve">设置REITs停牌传导机制（当日跌幅超过10%暂停交易）</w:t>
      </w:r>
    </w:p>
    <w:p>
      <w:pPr>
        <w:spacing w:after="40" w:line="340"/>
        <w:ind w:left="480" w:hanging="0"/>
      </w:pPr>
      <w:r>
        <w:rPr>
          <w:rFonts w:ascii="SimSun" w:cs="SimSun" w:eastAsia="SimSun" w:hAnsi="SimSun"/>
          <w:b w:val="false"/>
          <w:bCs w:val="false"/>
          <w:sz w:val="24"/>
          <w:szCs w:val="24"/>
        </w:rPr>
        <w:t xml:space="preserve">引入合格境外投资者（QFII）参与REITs市场</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基础资产运营风险</w:t>
      </w:r>
    </w:p>
    <w:p>
      <w:pPr>
        <w:spacing w:after="40" w:line="340"/>
        <w:ind w:left="480" w:hanging="0"/>
      </w:pPr>
      <w:r>
        <w:rPr>
          <w:rFonts w:ascii="SimSun" w:cs="SimSun" w:eastAsia="SimSun" w:hAnsi="SimSun"/>
          <w:b/>
          <w:bCs/>
          <w:sz w:val="24"/>
          <w:szCs w:val="24"/>
        </w:rPr>
        <w:t xml:space="preserve">风险表现</w:t>
      </w:r>
      <w:r>
        <w:rPr>
          <w:rFonts w:ascii="SimSun" w:cs="SimSun" w:eastAsia="SimSun" w:hAnsi="SimSun"/>
          <w:b w:val="false"/>
          <w:bCs w:val="false"/>
          <w:sz w:val="24"/>
          <w:szCs w:val="24"/>
        </w:rPr>
        <w:t xml:space="preserve">：底层资产出租率下降、租金收入减少</w:t>
      </w:r>
    </w:p>
    <w:p>
      <w:pPr>
        <w:spacing w:after="40" w:line="340"/>
        <w:ind w:left="480" w:hanging="0"/>
      </w:pPr>
      <w:r>
        <w:rPr>
          <w:rFonts w:ascii="SimSun" w:cs="SimSun" w:eastAsia="SimSun" w:hAnsi="SimSun"/>
          <w:b/>
          <w:bCs/>
          <w:sz w:val="24"/>
          <w:szCs w:val="24"/>
        </w:rPr>
        <w:t xml:space="preserve">防控措施</w:t>
      </w:r>
      <w:r>
        <w:rPr>
          <w:rFonts w:ascii="SimSun" w:cs="SimSun" w:eastAsia="SimSun" w:hAnsi="SimSun"/>
          <w:b w:val="false"/>
          <w:bCs w:val="false"/>
          <w:sz w:val="24"/>
          <w:szCs w:val="24"/>
        </w:rPr>
        <w:t xml:space="preserve">：</w:t>
      </w:r>
    </w:p>
    <w:p>
      <w:pPr>
        <w:spacing w:after="40" w:line="340"/>
        <w:ind w:left="480" w:hanging="0"/>
      </w:pPr>
      <w:r>
        <w:rPr>
          <w:rFonts w:ascii="SimSun" w:cs="SimSun" w:eastAsia="SimSun" w:hAnsi="SimSun"/>
          <w:b w:val="false"/>
          <w:bCs w:val="false"/>
          <w:sz w:val="24"/>
          <w:szCs w:val="24"/>
        </w:rPr>
        <w:t xml:space="preserve">建立REITs运营质量评估体系（每季度评估）</w:t>
      </w:r>
    </w:p>
    <w:p>
      <w:pPr>
        <w:spacing w:after="40" w:line="340"/>
        <w:ind w:left="480" w:hanging="0"/>
      </w:pPr>
      <w:r>
        <w:rPr>
          <w:rFonts w:ascii="SimSun" w:cs="SimSun" w:eastAsia="SimSun" w:hAnsi="SimSun"/>
          <w:b w:val="false"/>
          <w:bCs w:val="false"/>
          <w:sz w:val="24"/>
          <w:szCs w:val="24"/>
        </w:rPr>
        <w:t xml:space="preserve">设立资产运营备用金制度（预留3-6个月运营费用）</w:t>
      </w:r>
    </w:p>
    <w:p>
      <w:pPr>
        <w:spacing w:after="40" w:line="340"/>
        <w:ind w:left="480" w:hanging="0"/>
      </w:pPr>
      <w:r>
        <w:rPr>
          <w:rFonts w:ascii="SimSun" w:cs="SimSun" w:eastAsia="SimSun" w:hAnsi="SimSun"/>
          <w:b w:val="false"/>
          <w:bCs w:val="false"/>
          <w:sz w:val="24"/>
          <w:szCs w:val="24"/>
        </w:rPr>
        <w:t xml:space="preserve">建立资产替换机制（允许在特定条件下替换底层资产）</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利率风险</w:t>
      </w:r>
    </w:p>
    <w:p>
      <w:pPr>
        <w:spacing w:after="40" w:line="340"/>
        <w:ind w:left="480" w:hanging="0"/>
      </w:pPr>
      <w:r>
        <w:rPr>
          <w:rFonts w:ascii="SimSun" w:cs="SimSun" w:eastAsia="SimSun" w:hAnsi="SimSun"/>
          <w:b/>
          <w:bCs/>
          <w:sz w:val="24"/>
          <w:szCs w:val="24"/>
        </w:rPr>
        <w:t xml:space="preserve">风险表现</w:t>
      </w:r>
      <w:r>
        <w:rPr>
          <w:rFonts w:ascii="SimSun" w:cs="SimSun" w:eastAsia="SimSun" w:hAnsi="SimSun"/>
          <w:b w:val="false"/>
          <w:bCs w:val="false"/>
          <w:sz w:val="24"/>
          <w:szCs w:val="24"/>
        </w:rPr>
        <w:t xml:space="preserve">：利率上升导致REITs收益率下降</w:t>
      </w:r>
    </w:p>
    <w:p>
      <w:pPr>
        <w:spacing w:after="40" w:line="340"/>
        <w:ind w:left="480" w:hanging="0"/>
      </w:pPr>
      <w:r>
        <w:rPr>
          <w:rFonts w:ascii="SimSun" w:cs="SimSun" w:eastAsia="SimSun" w:hAnsi="SimSun"/>
          <w:b/>
          <w:bCs/>
          <w:sz w:val="24"/>
          <w:szCs w:val="24"/>
        </w:rPr>
        <w:t xml:space="preserve">防控措施</w:t>
      </w:r>
      <w:r>
        <w:rPr>
          <w:rFonts w:ascii="SimSun" w:cs="SimSun" w:eastAsia="SimSun" w:hAnsi="SimSun"/>
          <w:b w:val="false"/>
          <w:bCs w:val="false"/>
          <w:sz w:val="24"/>
          <w:szCs w:val="24"/>
        </w:rPr>
        <w:t xml:space="preserve">：</w:t>
      </w:r>
    </w:p>
    <w:p>
      <w:pPr>
        <w:spacing w:after="40" w:line="340"/>
        <w:ind w:left="480" w:hanging="0"/>
      </w:pPr>
      <w:r>
        <w:rPr>
          <w:rFonts w:ascii="SimSun" w:cs="SimSun" w:eastAsia="SimSun" w:hAnsi="SimSun"/>
          <w:b w:val="false"/>
          <w:bCs w:val="false"/>
          <w:sz w:val="24"/>
          <w:szCs w:val="24"/>
        </w:rPr>
        <w:t xml:space="preserve">建立REITs利率风险对冲机制（允许使用利率互换等工具）</w:t>
      </w:r>
    </w:p>
    <w:p>
      <w:pPr>
        <w:spacing w:after="40" w:line="340"/>
        <w:ind w:left="480" w:hanging="0"/>
      </w:pPr>
      <w:r>
        <w:rPr>
          <w:rFonts w:ascii="SimSun" w:cs="SimSun" w:eastAsia="SimSun" w:hAnsi="SimSun"/>
          <w:b w:val="false"/>
          <w:bCs w:val="false"/>
          <w:sz w:val="24"/>
          <w:szCs w:val="24"/>
        </w:rPr>
        <w:t xml:space="preserve">设置收益率保护条款（设定最低分派率保障）</w:t>
      </w:r>
    </w:p>
    <w:p>
      <w:pPr>
        <w:spacing w:after="40" w:line="340"/>
        <w:ind w:left="480" w:hanging="0"/>
      </w:pPr>
      <w:r>
        <w:rPr>
          <w:rFonts w:ascii="SimSun" w:cs="SimSun" w:eastAsia="SimSun" w:hAnsi="SimSun"/>
          <w:b w:val="false"/>
          <w:bCs w:val="false"/>
          <w:sz w:val="24"/>
          <w:szCs w:val="24"/>
        </w:rPr>
        <w:t xml:space="preserve">建立REITs与国债利率联动调整机制</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房企信用风险传染</w:t>
      </w:r>
    </w:p>
    <w:p>
      <w:pPr>
        <w:spacing w:after="40" w:line="340"/>
        <w:ind w:left="480" w:hanging="0"/>
      </w:pPr>
      <w:r>
        <w:rPr>
          <w:rFonts w:ascii="SimSun" w:cs="SimSun" w:eastAsia="SimSun" w:hAnsi="SimSun"/>
          <w:b/>
          <w:bCs/>
          <w:sz w:val="24"/>
          <w:szCs w:val="24"/>
        </w:rPr>
        <w:t xml:space="preserve">风险表现</w:t>
      </w:r>
      <w:r>
        <w:rPr>
          <w:rFonts w:ascii="SimSun" w:cs="SimSun" w:eastAsia="SimSun" w:hAnsi="SimSun"/>
          <w:b w:val="false"/>
          <w:bCs w:val="false"/>
          <w:sz w:val="24"/>
          <w:szCs w:val="24"/>
        </w:rPr>
        <w:t xml:space="preserve">：房企母公司信用问题传导至REITs产品</w:t>
      </w:r>
    </w:p>
    <w:p>
      <w:pPr>
        <w:spacing w:after="40" w:line="340"/>
        <w:ind w:left="480" w:hanging="0"/>
      </w:pPr>
      <w:r>
        <w:rPr>
          <w:rFonts w:ascii="SimSun" w:cs="SimSun" w:eastAsia="SimSun" w:hAnsi="SimSun"/>
          <w:b/>
          <w:bCs/>
          <w:sz w:val="24"/>
          <w:szCs w:val="24"/>
        </w:rPr>
        <w:t xml:space="preserve">防控措施</w:t>
      </w:r>
      <w:r>
        <w:rPr>
          <w:rFonts w:ascii="SimSun" w:cs="SimSun" w:eastAsia="SimSun" w:hAnsi="SimSun"/>
          <w:b w:val="false"/>
          <w:bCs w:val="false"/>
          <w:sz w:val="24"/>
          <w:szCs w:val="24"/>
        </w:rPr>
        <w:t xml:space="preserve">：</w:t>
      </w:r>
    </w:p>
    <w:p>
      <w:pPr>
        <w:spacing w:after="40" w:line="340"/>
        <w:ind w:left="480" w:hanging="0"/>
      </w:pPr>
      <w:r>
        <w:rPr>
          <w:rFonts w:ascii="SimSun" w:cs="SimSun" w:eastAsia="SimSun" w:hAnsi="SimSun"/>
          <w:b w:val="false"/>
          <w:bCs w:val="false"/>
          <w:sz w:val="24"/>
          <w:szCs w:val="24"/>
        </w:rPr>
        <w:t xml:space="preserve">建立REITs与母公司的风险隔离运作机制（法律层面）</w:t>
      </w:r>
    </w:p>
    <w:p>
      <w:pPr>
        <w:spacing w:after="40" w:line="340"/>
        <w:ind w:left="480" w:hanging="0"/>
      </w:pPr>
      <w:r>
        <w:rPr>
          <w:rFonts w:ascii="SimSun" w:cs="SimSun" w:eastAsia="SimSun" w:hAnsi="SimSun"/>
          <w:b w:val="false"/>
          <w:bCs w:val="false"/>
          <w:sz w:val="24"/>
          <w:szCs w:val="24"/>
        </w:rPr>
        <w:t xml:space="preserve">设立REITs独立托管和运营管理运作机制</w:t>
      </w:r>
    </w:p>
    <w:p>
      <w:pPr>
        <w:spacing w:after="40" w:line="340"/>
        <w:ind w:left="480" w:hanging="0"/>
      </w:pPr>
      <w:r>
        <w:rPr>
          <w:rFonts w:ascii="SimSun" w:cs="SimSun" w:eastAsia="SimSun" w:hAnsi="SimSun"/>
          <w:b w:val="false"/>
          <w:bCs w:val="false"/>
          <w:sz w:val="24"/>
          <w:szCs w:val="24"/>
        </w:rPr>
        <w:t xml:space="preserve">建立房企信用评级与REITs发行额度挂钩运作机制</w:t>
      </w:r>
    </w:p>
    <w:p>
      <w:pPr>
        <w:spacing w:after="60" w:line="360"/>
        <w:ind w:firstLine="480"/>
        <w:jc w:val="both"/>
      </w:pPr>
      <w:r>
        <w:rPr>
          <w:rFonts w:ascii="SimSun" w:cs="SimSun" w:eastAsia="SimSun" w:hAnsi="SimSun"/>
          <w:b/>
          <w:bCs/>
          <w:i w:val="false"/>
          <w:iCs w:val="false"/>
          <w:strike w:val="false"/>
          <w:sz w:val="24"/>
          <w:szCs w:val="24"/>
        </w:rPr>
        <w:t xml:space="preserve">政策效果评估指标体系</w:t>
      </w:r>
      <w:r>
        <w:rPr>
          <w:rFonts w:ascii="SimSun" w:cs="SimSun" w:eastAsia="SimSun" w:hAnsi="SimSun"/>
          <w:b w:val="false"/>
          <w:bCs w:val="false"/>
          <w:i w:val="false"/>
          <w:iCs w:val="false"/>
          <w:strike w:val="false"/>
          <w:sz w:val="24"/>
          <w:szCs w:val="24"/>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评估维度</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关键指标</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目标值（2030年）</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数据来源</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市场发展</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REITs市场规模</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1.5万亿元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证监会统计</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企业覆盖</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发行REITs房企数量</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100家</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交易所数据</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融资效率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REITs发行平均时间</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60天</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审批系统</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风险控制</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REITs违约率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&lt;0.5%</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风险管理机构</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投资者收益</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平均年化分派率</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≥5.2%</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基金公司披露</w:t>
            </w:r>
          </w:p>
        </w:tc>
      </w:tr>
    </w:tbl>
    <w:p>
      <w:pPr>
        <w:spacing w:after="120"/>
      </w:pPr>
    </w:p>
    <w:p>
      <w:pPr>
        <w:pStyle w:val="Heading4"/>
        <w:spacing w:after="120" w:before="180"/>
      </w:pPr>
      <w:r>
        <w:rPr>
          <w:rFonts w:ascii="SimHei" w:cs="SimHei" w:eastAsia="SimHei" w:hAnsi="SimHei"/>
          <w:b/>
          <w:bCs/>
          <w:sz w:val="24"/>
          <w:szCs w:val="24"/>
        </w:rPr>
        <w:t xml:space="preserve">4. 跨部门协同机制建设</w:t>
      </w:r>
    </w:p>
    <w:p>
      <w:pPr>
        <w:spacing w:after="60" w:line="360"/>
        <w:ind w:firstLine="480"/>
        <w:jc w:val="both"/>
      </w:pPr>
      <w:r>
        <w:rPr>
          <w:rFonts w:ascii="SimSun" w:cs="SimSun" w:eastAsia="SimSun" w:hAnsi="SimSun"/>
          <w:b/>
          <w:bCs/>
          <w:i w:val="false"/>
          <w:iCs w:val="false"/>
          <w:strike w:val="false"/>
          <w:sz w:val="24"/>
          <w:szCs w:val="24"/>
        </w:rPr>
        <w:t xml:space="preserve">政策执行协同传导机制</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联席会议制度</w:t>
      </w:r>
      <w:r>
        <w:rPr>
          <w:rFonts w:ascii="SimSun" w:cs="SimSun" w:eastAsia="SimSun" w:hAnsi="SimSun"/>
          <w:b w:val="false"/>
          <w:bCs w:val="false"/>
          <w:sz w:val="24"/>
          <w:szCs w:val="24"/>
        </w:rPr>
        <w:t xml:space="preserve">：建立证监会、发改委、住建部、财政部、央行五部门REITs工作联席会议</w:t>
      </w:r>
    </w:p>
    <w:p>
      <w:pPr>
        <w:spacing w:after="40" w:line="340"/>
        <w:ind w:left="480" w:hanging="0"/>
      </w:pPr>
      <w:r>
        <w:rPr>
          <w:rFonts w:ascii="SimSun" w:cs="SimSun" w:eastAsia="SimSun" w:hAnsi="SimSun"/>
          <w:b/>
          <w:bCs/>
          <w:sz w:val="24"/>
          <w:szCs w:val="24"/>
        </w:rPr>
        <w:t xml:space="preserve">信息共享平台</w:t>
      </w:r>
      <w:r>
        <w:rPr>
          <w:rFonts w:ascii="SimSun" w:cs="SimSun" w:eastAsia="SimSun" w:hAnsi="SimSun"/>
          <w:b w:val="false"/>
          <w:bCs w:val="false"/>
          <w:sz w:val="24"/>
          <w:szCs w:val="24"/>
        </w:rPr>
        <w:t xml:space="preserve">：建立房企信用信息、REITs运营数据、政策执行效果信息共享平台</w:t>
      </w:r>
    </w:p>
    <w:p>
      <w:pPr>
        <w:spacing w:after="40" w:line="340"/>
        <w:ind w:left="480" w:hanging="0"/>
      </w:pPr>
      <w:r>
        <w:rPr>
          <w:rFonts w:ascii="SimSun" w:cs="SimSun" w:eastAsia="SimSun" w:hAnsi="SimSun"/>
          <w:b/>
          <w:bCs/>
          <w:sz w:val="24"/>
          <w:szCs w:val="24"/>
        </w:rPr>
        <w:t xml:space="preserve">政策评估传导机制</w:t>
      </w:r>
      <w:r>
        <w:rPr>
          <w:rFonts w:ascii="SimSun" w:cs="SimSun" w:eastAsia="SimSun" w:hAnsi="SimSun"/>
          <w:b w:val="false"/>
          <w:bCs w:val="false"/>
          <w:sz w:val="24"/>
          <w:szCs w:val="24"/>
        </w:rPr>
        <w:t xml:space="preserve">：每半年对REITs政策效果进行第三方评估</w:t>
      </w:r>
    </w:p>
    <w:p>
      <w:pPr>
        <w:spacing w:after="40" w:line="340"/>
        <w:ind w:left="480" w:hanging="0"/>
      </w:pPr>
      <w:r>
        <w:rPr>
          <w:rFonts w:ascii="SimSun" w:cs="SimSun" w:eastAsia="SimSun" w:hAnsi="SimSun"/>
          <w:b/>
          <w:bCs/>
          <w:sz w:val="24"/>
          <w:szCs w:val="24"/>
        </w:rPr>
        <w:t xml:space="preserve">风险预警传导机制</w:t>
      </w:r>
      <w:r>
        <w:rPr>
          <w:rFonts w:ascii="SimSun" w:cs="SimSun" w:eastAsia="SimSun" w:hAnsi="SimSun"/>
          <w:b w:val="false"/>
          <w:bCs w:val="false"/>
          <w:sz w:val="24"/>
          <w:szCs w:val="24"/>
        </w:rPr>
        <w:t xml:space="preserve">：建立REITs市场系统性风险预警指标体系（流动性、信用、运营三个维度）</w:t>
      </w:r>
    </w:p>
    <w:p>
      <w:pPr>
        <w:pStyle w:val="Heading2"/>
        <w:spacing w:after="180" w:before="360"/>
      </w:pPr>
      <w:r>
        <w:rPr>
          <w:rFonts w:ascii="SimHei" w:cs="SimHei" w:eastAsia="SimHei" w:hAnsi="SimHei"/>
          <w:b/>
          <w:bCs/>
          <w:sz w:val="28"/>
          <w:szCs w:val="28"/>
        </w:rPr>
        <w:t xml:space="preserve">6.4 研究局限性与未来展望</w:t>
      </w:r>
    </w:p>
    <w:p>
      <w:pPr>
        <w:pStyle w:val="Heading3"/>
        <w:spacing w:after="120" w:before="240"/>
      </w:pPr>
      <w:r>
        <w:rPr>
          <w:rFonts w:ascii="SimHei" w:cs="SimHei" w:eastAsia="SimHei" w:hAnsi="SimHei"/>
          <w:b/>
          <w:bCs/>
          <w:sz w:val="24"/>
          <w:szCs w:val="24"/>
        </w:rPr>
        <w:t xml:space="preserve">6.4.1 研究局限性</w:t>
      </w:r>
    </w:p>
    <w:p>
      <w:pPr>
        <w:spacing w:after="60" w:line="360"/>
        <w:ind w:firstLine="480"/>
        <w:jc w:val="both"/>
      </w:pPr>
      <w:r>
        <w:rPr>
          <w:rFonts w:ascii="SimSun" w:cs="SimSun" w:eastAsia="SimSun" w:hAnsi="SimSun"/>
          <w:b w:val="false"/>
          <w:bCs w:val="false"/>
          <w:i w:val="false"/>
          <w:iCs w:val="false"/>
          <w:strike w:val="false"/>
          <w:sz w:val="24"/>
          <w:szCs w:val="24"/>
        </w:rPr>
        <w:t xml:space="preserve">本研究存在以下局限性：</w:t>
      </w:r>
    </w:p>
    <w:p>
      <w:pPr>
        <w:pStyle w:val="Heading4"/>
        <w:spacing w:after="120" w:before="180"/>
      </w:pPr>
      <w:r>
        <w:rPr>
          <w:rFonts w:ascii="SimHei" w:cs="SimHei" w:eastAsia="SimHei" w:hAnsi="SimHei"/>
          <w:b/>
          <w:bCs/>
          <w:sz w:val="24"/>
          <w:szCs w:val="24"/>
        </w:rPr>
        <w:t xml:space="preserve">1. 样本局限性</w:t>
      </w:r>
    </w:p>
    <w:p>
      <w:pPr>
        <w:spacing w:after="40" w:line="340"/>
        <w:ind w:left="480" w:hanging="0"/>
      </w:pPr>
      <w:r>
        <w:rPr>
          <w:rFonts w:ascii="SimSun" w:cs="SimSun" w:eastAsia="SimSun" w:hAnsi="SimSun"/>
          <w:b/>
          <w:bCs/>
          <w:sz w:val="24"/>
          <w:szCs w:val="24"/>
        </w:rPr>
        <w:t xml:space="preserve">单案例深度分析</w:t>
      </w:r>
      <w:r>
        <w:rPr>
          <w:rFonts w:ascii="SimSun" w:cs="SimSun" w:eastAsia="SimSun" w:hAnsi="SimSun"/>
          <w:b w:val="false"/>
          <w:bCs w:val="false"/>
          <w:sz w:val="24"/>
          <w:szCs w:val="24"/>
        </w:rPr>
        <w:t xml:space="preserve">：以大悦城为单案例，外部效度有限</w:t>
      </w:r>
    </w:p>
    <w:p>
      <w:pPr>
        <w:spacing w:after="40" w:line="340"/>
        <w:ind w:left="480" w:hanging="0"/>
      </w:pPr>
      <w:r>
        <w:rPr>
          <w:rFonts w:ascii="SimSun" w:cs="SimSun" w:eastAsia="SimSun" w:hAnsi="SimSun"/>
          <w:b/>
          <w:bCs/>
          <w:sz w:val="24"/>
          <w:szCs w:val="24"/>
        </w:rPr>
        <w:t xml:space="preserve">参照案例扩展但仍有限</w:t>
      </w:r>
      <w:r>
        <w:rPr>
          <w:rFonts w:ascii="SimSun" w:cs="SimSun" w:eastAsia="SimSun" w:hAnsi="SimSun"/>
          <w:b w:val="false"/>
          <w:bCs w:val="false"/>
          <w:sz w:val="24"/>
          <w:szCs w:val="24"/>
        </w:rPr>
        <w:t xml:space="preserve">：选择万科、保利两个住宅企业，以及华润、龙湖、新城三个商业地产企业，但仍需更多样本</w:t>
      </w:r>
    </w:p>
    <w:p>
      <w:pPr>
        <w:spacing w:after="40" w:line="340"/>
        <w:ind w:left="480" w:hanging="0"/>
      </w:pPr>
      <w:r>
        <w:rPr>
          <w:rFonts w:ascii="SimSun" w:cs="SimSun" w:eastAsia="SimSun" w:hAnsi="SimSun"/>
          <w:b/>
          <w:bCs/>
          <w:sz w:val="24"/>
          <w:szCs w:val="24"/>
        </w:rPr>
        <w:t xml:space="preserve">行业聚焦</w:t>
      </w:r>
      <w:r>
        <w:rPr>
          <w:rFonts w:ascii="SimSun" w:cs="SimSun" w:eastAsia="SimSun" w:hAnsi="SimSun"/>
          <w:b w:val="false"/>
          <w:bCs w:val="false"/>
          <w:sz w:val="24"/>
          <w:szCs w:val="24"/>
        </w:rPr>
        <w:t xml:space="preserve">：聚焦房地产行业，结论对其他行业的适用性有待验证</w:t>
      </w:r>
    </w:p>
    <w:p>
      <w:pPr>
        <w:pStyle w:val="Heading4"/>
        <w:spacing w:after="120" w:before="180"/>
      </w:pPr>
      <w:r>
        <w:rPr>
          <w:rFonts w:ascii="SimHei" w:cs="SimHei" w:eastAsia="SimHei" w:hAnsi="SimHei"/>
          <w:b/>
          <w:bCs/>
          <w:sz w:val="24"/>
          <w:szCs w:val="24"/>
        </w:rPr>
        <w:t xml:space="preserve">2. 时间局限性</w:t>
      </w:r>
    </w:p>
    <w:p>
      <w:pPr>
        <w:spacing w:after="40" w:line="340"/>
        <w:ind w:left="480" w:hanging="0"/>
      </w:pPr>
      <w:r>
        <w:rPr>
          <w:rFonts w:ascii="SimSun" w:cs="SimSun" w:eastAsia="SimSun" w:hAnsi="SimSun"/>
          <w:b/>
          <w:bCs/>
          <w:sz w:val="24"/>
          <w:szCs w:val="24"/>
        </w:rPr>
        <w:t xml:space="preserve">REITs观察期有限</w:t>
      </w:r>
      <w:r>
        <w:rPr>
          <w:rFonts w:ascii="SimSun" w:cs="SimSun" w:eastAsia="SimSun" w:hAnsi="SimSun"/>
          <w:b w:val="false"/>
          <w:bCs w:val="false"/>
          <w:sz w:val="24"/>
          <w:szCs w:val="24"/>
        </w:rPr>
        <w:t xml:space="preserve">：REITs上市仅15个月，长期效应（3-5年）尚未显现</w:t>
      </w:r>
    </w:p>
    <w:p>
      <w:pPr>
        <w:spacing w:after="40" w:line="340"/>
        <w:ind w:left="480" w:hanging="0"/>
      </w:pPr>
      <w:r>
        <w:rPr>
          <w:rFonts w:ascii="SimSun" w:cs="SimSun" w:eastAsia="SimSun" w:hAnsi="SimSun"/>
          <w:b/>
          <w:bCs/>
          <w:sz w:val="24"/>
          <w:szCs w:val="24"/>
        </w:rPr>
        <w:t xml:space="preserve">数据时效性</w:t>
      </w:r>
      <w:r>
        <w:rPr>
          <w:rFonts w:ascii="SimSun" w:cs="SimSun" w:eastAsia="SimSun" w:hAnsi="SimSun"/>
          <w:b w:val="false"/>
          <w:bCs w:val="false"/>
          <w:sz w:val="24"/>
          <w:szCs w:val="24"/>
        </w:rPr>
        <w:t xml:space="preserve">：2025年全年数据尚未完全公布，部分分析基于预告数据</w:t>
      </w:r>
    </w:p>
    <w:p>
      <w:pPr>
        <w:pStyle w:val="Heading4"/>
        <w:spacing w:after="120" w:before="180"/>
      </w:pPr>
      <w:r>
        <w:rPr>
          <w:rFonts w:ascii="SimHei" w:cs="SimHei" w:eastAsia="SimHei" w:hAnsi="SimHei"/>
          <w:b/>
          <w:bCs/>
          <w:sz w:val="24"/>
          <w:szCs w:val="24"/>
        </w:rPr>
        <w:t xml:space="preserve">3. 方法局限性</w:t>
      </w:r>
    </w:p>
    <w:p>
      <w:pPr>
        <w:spacing w:after="40" w:line="340"/>
        <w:ind w:left="480" w:hanging="0"/>
      </w:pPr>
      <w:r>
        <w:rPr>
          <w:rFonts w:ascii="SimSun" w:cs="SimSun" w:eastAsia="SimSun" w:hAnsi="SimSun"/>
          <w:b/>
          <w:bCs/>
          <w:sz w:val="24"/>
          <w:szCs w:val="24"/>
        </w:rPr>
        <w:t xml:space="preserve">内生性问题</w:t>
      </w:r>
      <w:r>
        <w:rPr>
          <w:rFonts w:ascii="SimSun" w:cs="SimSun" w:eastAsia="SimSun" w:hAnsi="SimSun"/>
          <w:b w:val="false"/>
          <w:bCs w:val="false"/>
          <w:sz w:val="24"/>
          <w:szCs w:val="24"/>
        </w:rPr>
        <w:t xml:space="preserve">：无法完全控制企业选择发行REITs的内生性偏误</w:t>
      </w:r>
    </w:p>
    <w:p>
      <w:pPr>
        <w:spacing w:after="40" w:line="340"/>
        <w:ind w:left="480" w:hanging="0"/>
      </w:pPr>
      <w:r>
        <w:rPr>
          <w:rFonts w:ascii="SimSun" w:cs="SimSun" w:eastAsia="SimSun" w:hAnsi="SimSun"/>
          <w:b/>
          <w:bCs/>
          <w:sz w:val="24"/>
          <w:szCs w:val="24"/>
        </w:rPr>
        <w:t xml:space="preserve">量化分析局限</w:t>
      </w:r>
      <w:r>
        <w:rPr>
          <w:rFonts w:ascii="SimSun" w:cs="SimSun" w:eastAsia="SimSun" w:hAnsi="SimSun"/>
          <w:b w:val="false"/>
          <w:bCs w:val="false"/>
          <w:sz w:val="24"/>
          <w:szCs w:val="24"/>
        </w:rPr>
        <w:t xml:space="preserve">：受限于样本量，量化分析深度有限</w:t>
      </w:r>
    </w:p>
    <w:p>
      <w:pPr>
        <w:pStyle w:val="Heading4"/>
        <w:spacing w:after="120" w:before="180"/>
      </w:pPr>
      <w:r>
        <w:rPr>
          <w:rFonts w:ascii="SimHei" w:cs="SimHei" w:eastAsia="SimHei" w:hAnsi="SimHei"/>
          <w:b/>
          <w:bCs/>
          <w:sz w:val="24"/>
          <w:szCs w:val="24"/>
        </w:rPr>
        <w:t xml:space="preserve">4. 数据局限性</w:t>
      </w:r>
    </w:p>
    <w:p>
      <w:pPr>
        <w:spacing w:after="40" w:line="340"/>
        <w:ind w:left="480" w:hanging="0"/>
      </w:pPr>
      <w:r>
        <w:rPr>
          <w:rFonts w:ascii="SimSun" w:cs="SimSun" w:eastAsia="SimSun" w:hAnsi="SimSun"/>
          <w:b/>
          <w:bCs/>
          <w:sz w:val="24"/>
          <w:szCs w:val="24"/>
        </w:rPr>
        <w:t xml:space="preserve">数据可得性</w:t>
      </w:r>
      <w:r>
        <w:rPr>
          <w:rFonts w:ascii="SimSun" w:cs="SimSun" w:eastAsia="SimSun" w:hAnsi="SimSun"/>
          <w:b w:val="false"/>
          <w:bCs w:val="false"/>
          <w:sz w:val="24"/>
          <w:szCs w:val="24"/>
        </w:rPr>
        <w:t xml:space="preserve">：部分敏感财务数据无法获取</w:t>
      </w:r>
    </w:p>
    <w:p>
      <w:pPr>
        <w:spacing w:after="40" w:line="340"/>
        <w:ind w:left="480" w:hanging="0"/>
      </w:pPr>
      <w:r>
        <w:rPr>
          <w:rFonts w:ascii="SimSun" w:cs="SimSun" w:eastAsia="SimSun" w:hAnsi="SimSun"/>
          <w:b/>
          <w:bCs/>
          <w:sz w:val="24"/>
          <w:szCs w:val="24"/>
        </w:rPr>
        <w:t xml:space="preserve">数据一致性</w:t>
      </w:r>
      <w:r>
        <w:rPr>
          <w:rFonts w:ascii="SimSun" w:cs="SimSun" w:eastAsia="SimSun" w:hAnsi="SimSun"/>
          <w:b w:val="false"/>
          <w:bCs w:val="false"/>
          <w:sz w:val="24"/>
          <w:szCs w:val="24"/>
        </w:rPr>
        <w:t xml:space="preserve">：不同来源数据存在口径差异，需要交叉验证</w:t>
      </w:r>
    </w:p>
    <w:p>
      <w:pPr>
        <w:pStyle w:val="Heading3"/>
        <w:spacing w:after="120" w:before="240"/>
      </w:pPr>
      <w:r>
        <w:rPr>
          <w:rFonts w:ascii="SimHei" w:cs="SimHei" w:eastAsia="SimHei" w:hAnsi="SimHei"/>
          <w:b/>
          <w:bCs/>
          <w:sz w:val="24"/>
          <w:szCs w:val="24"/>
        </w:rPr>
        <w:t xml:space="preserve">6.4.2 未来研究方向</w:t>
      </w:r>
    </w:p>
    <w:p>
      <w:pPr>
        <w:spacing w:after="60" w:line="360"/>
        <w:ind w:firstLine="480"/>
        <w:jc w:val="both"/>
      </w:pPr>
      <w:r>
        <w:rPr>
          <w:rFonts w:ascii="SimSun" w:cs="SimSun" w:eastAsia="SimSun" w:hAnsi="SimSun"/>
          <w:b w:val="false"/>
          <w:bCs w:val="false"/>
          <w:i w:val="false"/>
          <w:iCs w:val="false"/>
          <w:strike w:val="false"/>
          <w:sz w:val="24"/>
          <w:szCs w:val="24"/>
        </w:rPr>
        <w:t xml:space="preserve">基于本研究局限性，提出以下</w:t>
      </w:r>
      <w:r>
        <w:rPr>
          <w:rFonts w:ascii="SimSun" w:cs="SimSun" w:eastAsia="SimSun" w:hAnsi="SimSun"/>
          <w:b/>
          <w:bCs/>
          <w:i w:val="false"/>
          <w:iCs w:val="false"/>
          <w:strike w:val="false"/>
          <w:sz w:val="24"/>
          <w:szCs w:val="24"/>
        </w:rPr>
        <w:t xml:space="preserve">具体可执行</w:t>
      </w:r>
      <w:r>
        <w:rPr>
          <w:rFonts w:ascii="SimSun" w:cs="SimSun" w:eastAsia="SimSun" w:hAnsi="SimSun"/>
          <w:b w:val="false"/>
          <w:bCs w:val="false"/>
          <w:i w:val="false"/>
          <w:iCs w:val="false"/>
          <w:strike w:val="false"/>
          <w:sz w:val="24"/>
          <w:szCs w:val="24"/>
        </w:rPr>
        <w:t xml:space="preserve">的未来研究计划：</w:t>
      </w:r>
    </w:p>
    <w:p>
      <w:pPr>
        <w:pStyle w:val="Heading4"/>
        <w:spacing w:after="120" w:before="180"/>
      </w:pPr>
      <w:r>
        <w:rPr>
          <w:rFonts w:ascii="SimHei" w:cs="SimHei" w:eastAsia="SimHei" w:hAnsi="SimHei"/>
          <w:b/>
          <w:bCs/>
          <w:sz w:val="24"/>
          <w:szCs w:val="24"/>
        </w:rPr>
        <w:t xml:space="preserve">1. 多案例比较研究（计划周期：6-12个月）</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研究主题</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具体计划</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预期成果</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建议样本</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扩大商业地产样本</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增加世茂、融创、绿地等房企案例</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形成行业内部10+企业对比数据库</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世茂、融创、绿地、华润置地、龙湖、新城、大悦城</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轻资产vs重资产对比</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以华润（轻资产）为对照组，大悦城（重资产）为处理组</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验证资产模式对REITs效应的影响</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华润万象生活 + 大悦城 + 龙湖</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国际REITs比较</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研究新加坡凯德（CapitaLand）、美国Simon Property Group</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国际REITs成功经验借鉴</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凯德商用REITs、Simon Property Group</w:t>
            </w:r>
          </w:p>
        </w:tc>
      </w:tr>
    </w:tbl>
    <w:p>
      <w:pPr>
        <w:spacing w:after="120"/>
      </w:pPr>
    </w:p>
    <w:p>
      <w:pPr>
        <w:pStyle w:val="Heading4"/>
        <w:spacing w:after="120" w:before="180"/>
      </w:pPr>
      <w:r>
        <w:rPr>
          <w:rFonts w:ascii="SimHei" w:cs="SimHei" w:eastAsia="SimHei" w:hAnsi="SimHei"/>
          <w:b/>
          <w:bCs/>
          <w:sz w:val="24"/>
          <w:szCs w:val="24"/>
        </w:rPr>
        <w:t xml:space="preserve">2. 长期效应追踪研究（计划周期：3-5年）</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追踪时间点</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追踪内容</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数据来源</w:t>
            </w:r>
          </w:p>
        </w:tc>
        <w:tc>
          <w:tcPr>
            <w:tcW w:type="dxa" w:w="2166"/>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里程碑</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2026年6月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大悦城REITs上市满2年，首个完整年度报告</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年报+季报</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验证年度分派率</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2027年6月</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3年期效应评估</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年报+扩募进展</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评估扩募可能性</w:t>
            </w:r>
          </w:p>
        </w:tc>
      </w:tr>
      <w:tr>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2028年及以后</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5年期效应评估</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年报+行业数据</w:t>
            </w:r>
          </w:p>
        </w:tc>
        <w:tc>
          <w:tcPr>
            <w:tcW w:type="dxa" w:w="2166"/>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长期趋势确认</w:t>
            </w:r>
          </w:p>
        </w:tc>
      </w:tr>
    </w:tbl>
    <w:p>
      <w:pPr>
        <w:spacing w:after="120"/>
      </w:pPr>
    </w:p>
    <w:p>
      <w:pPr>
        <w:pStyle w:val="Heading4"/>
        <w:spacing w:after="120" w:before="180"/>
      </w:pPr>
      <w:r>
        <w:rPr>
          <w:rFonts w:ascii="SimHei" w:cs="SimHei" w:eastAsia="SimHei" w:hAnsi="SimHei"/>
          <w:b/>
          <w:bCs/>
          <w:sz w:val="24"/>
          <w:szCs w:val="24"/>
        </w:rPr>
        <w:t xml:space="preserve">3. 机制深化研究（计划周期：12-18个月）</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研究议题</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研究设计</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预期发现</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融资结构优化的具体路径</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建立结构方程模型（SEM），验证融资成本中介效应</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量化各作用机制的贡献度</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商业地产占比的调节作用</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分组回归：商业占比&gt;50% vs &lt;30%</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验证商业地产占比的调节效应</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国企vs民企的效应差异</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多案例QCA分析（定性比较分析）</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识别国企/民企REITs成功的必要条件组合</w:t>
            </w:r>
          </w:p>
        </w:tc>
      </w:tr>
    </w:tbl>
    <w:p>
      <w:pPr>
        <w:spacing w:after="120"/>
      </w:pPr>
    </w:p>
    <w:p>
      <w:pPr>
        <w:pStyle w:val="Heading4"/>
        <w:spacing w:after="120" w:before="180"/>
      </w:pPr>
      <w:r>
        <w:rPr>
          <w:rFonts w:ascii="SimHei" w:cs="SimHei" w:eastAsia="SimHei" w:hAnsi="SimHei"/>
          <w:b/>
          <w:bCs/>
          <w:sz w:val="24"/>
          <w:szCs w:val="24"/>
        </w:rPr>
        <w:t xml:space="preserve">4. 政策效果评估研究（计划周期：12个月）</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政策评估对象</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评估方法体系</w:t>
            </w:r>
          </w:p>
        </w:tc>
        <w:tc>
          <w:tcPr>
            <w:tcW w:type="dxa" w:w="2888"/>
            <w:tcBorders>
              <w:top w:val="single" w:color="000000" w:sz="1"/>
              <w:left w:val="single" w:color="000000" w:sz="1"/>
              <w:bottom w:val="single" w:color="000000" w:sz="1"/>
              <w:right w:val="single" w:color="000000" w:sz="1"/>
            </w:tcBorders>
            <w:shd w:fill="D9E2F3" w:val="clear"/>
            <w:tcMar>
              <w:top w:type="dxa" w:w="40"/>
              <w:left w:type="dxa" w:w="60"/>
              <w:bottom w:type="dxa" w:w="40"/>
              <w:right w:type="dxa" w:w="60"/>
            </w:tcMar>
            <w:vAlign w:val="center"/>
          </w:tcPr>
          <w:p>
            <w:pPr>
              <w:spacing w:after="20" w:before="20"/>
              <w:jc w:val="center"/>
            </w:pPr>
            <w:r>
              <w:rPr>
                <w:rFonts w:ascii="SimSun" w:cs="SimSun" w:eastAsia="SimSun" w:hAnsi="SimSun"/>
                <w:b w:val="false"/>
                <w:bCs w:val="false"/>
                <w:sz w:val="20"/>
                <w:szCs w:val="20"/>
              </w:rPr>
              <w:t xml:space="preserve">评估指标</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消费基础设施REITs政策</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双重差分法（DID）</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政策前后资产收益率变化</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REITs扩募运作机制</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事件研究法</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扩募公告的市场反应</w:t>
            </w:r>
          </w:p>
        </w:tc>
      </w:tr>
      <w:tr>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left"/>
            </w:pPr>
            <w:r>
              <w:rPr>
                <w:rFonts w:ascii="SimSun" w:cs="SimSun" w:eastAsia="SimSun" w:hAnsi="SimSun"/>
                <w:b/>
                <w:bCs/>
                <w:i w:val="false"/>
                <w:iCs w:val="false"/>
                <w:strike w:val="false"/>
                <w:sz w:val="20"/>
                <w:szCs w:val="20"/>
              </w:rPr>
              <w:t xml:space="preserve">国企REITs绿色通道</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案例研究+政策文本分析</w:t>
            </w:r>
          </w:p>
        </w:tc>
        <w:tc>
          <w:tcPr>
            <w:tcW w:type="dxa" w:w="2888"/>
            <w:tcBorders>
              <w:top w:val="single" w:color="000000" w:sz="1"/>
              <w:left w:val="single" w:color="000000" w:sz="1"/>
              <w:bottom w:val="single" w:color="000000" w:sz="1"/>
              <w:right w:val="single" w:color="000000" w:sz="1"/>
            </w:tcBorders>
            <w:tcMar>
              <w:top w:type="dxa" w:w="30"/>
              <w:left w:type="dxa" w:w="60"/>
              <w:bottom w:type="dxa" w:w="30"/>
              <w:right w:type="dxa" w:w="60"/>
            </w:tcMar>
            <w:vAlign w:val="center"/>
          </w:tcPr>
          <w:p>
            <w:pPr>
              <w:spacing w:after="10" w:before="10"/>
              <w:jc w:val="center"/>
            </w:pPr>
            <w:r>
              <w:rPr>
                <w:rFonts w:ascii="SimSun" w:cs="SimSun" w:eastAsia="SimSun" w:hAnsi="SimSun"/>
                <w:b w:val="false"/>
                <w:bCs w:val="false"/>
                <w:i w:val="false"/>
                <w:iCs w:val="false"/>
                <w:strike w:val="false"/>
                <w:sz w:val="20"/>
                <w:szCs w:val="20"/>
              </w:rPr>
              <w:t xml:space="preserve">审批效率差异</w:t>
            </w:r>
          </w:p>
        </w:tc>
      </w:tr>
    </w:tbl>
    <w:p>
      <w:pPr>
        <w:spacing w:after="120"/>
      </w:pPr>
    </w:p>
    <w:p>
      <w:pPr>
        <w:pStyle w:val="Heading3"/>
        <w:spacing w:after="120" w:before="240"/>
      </w:pPr>
      <w:r>
        <w:rPr>
          <w:rFonts w:ascii="SimHei" w:cs="SimHei" w:eastAsia="SimHei" w:hAnsi="SimHei"/>
          <w:b/>
          <w:bCs/>
          <w:sz w:val="24"/>
          <w:szCs w:val="24"/>
        </w:rPr>
        <w:t xml:space="preserve">6.4.3 对中国REITs市场的展望</w:t>
      </w:r>
    </w:p>
    <w:p>
      <w:pPr>
        <w:spacing w:after="60" w:line="360"/>
        <w:ind w:firstLine="480"/>
        <w:jc w:val="both"/>
      </w:pPr>
      <w:r>
        <w:rPr>
          <w:rFonts w:ascii="SimSun" w:cs="SimSun" w:eastAsia="SimSun" w:hAnsi="SimSun"/>
          <w:b w:val="false"/>
          <w:bCs w:val="false"/>
          <w:i w:val="false"/>
          <w:iCs w:val="false"/>
          <w:strike w:val="false"/>
          <w:sz w:val="24"/>
          <w:szCs w:val="24"/>
        </w:rPr>
        <w:t xml:space="preserve">基于本分析显示，对中国REITs市场提出以下展望：</w:t>
      </w:r>
    </w:p>
    <w:p>
      <w:pPr>
        <w:pStyle w:val="Heading4"/>
        <w:spacing w:after="120" w:before="180"/>
      </w:pPr>
      <w:r>
        <w:rPr>
          <w:rFonts w:ascii="SimHei" w:cs="SimHei" w:eastAsia="SimHei" w:hAnsi="SimHei"/>
          <w:b/>
          <w:bCs/>
          <w:sz w:val="24"/>
          <w:szCs w:val="24"/>
        </w:rPr>
        <w:t xml:space="preserve">1. 市场规模预测</w:t>
      </w:r>
    </w:p>
    <w:p>
      <w:pPr>
        <w:spacing w:after="40" w:line="340"/>
        <w:ind w:left="480" w:hanging="0"/>
      </w:pPr>
      <w:r>
        <w:rPr>
          <w:rFonts w:ascii="SimSun" w:cs="SimSun" w:eastAsia="SimSun" w:hAnsi="SimSun"/>
          <w:b/>
          <w:bCs/>
          <w:sz w:val="24"/>
          <w:szCs w:val="24"/>
        </w:rPr>
        <w:t xml:space="preserve">短期（1-2年）</w:t>
      </w:r>
      <w:r>
        <w:rPr>
          <w:rFonts w:ascii="SimSun" w:cs="SimSun" w:eastAsia="SimSun" w:hAnsi="SimSun"/>
          <w:b w:val="false"/>
          <w:bCs w:val="false"/>
          <w:sz w:val="24"/>
          <w:szCs w:val="24"/>
        </w:rPr>
        <w:t xml:space="preserve">：REITs市场规模有望达到2000-2500亿元</w:t>
      </w:r>
    </w:p>
    <w:p>
      <w:pPr>
        <w:spacing w:after="40" w:line="340"/>
        <w:ind w:left="480" w:hanging="0"/>
      </w:pPr>
      <w:r>
        <w:rPr>
          <w:rFonts w:ascii="SimSun" w:cs="SimSun" w:eastAsia="SimSun" w:hAnsi="SimSun"/>
          <w:b/>
          <w:bCs/>
          <w:sz w:val="24"/>
          <w:szCs w:val="24"/>
        </w:rPr>
        <w:t xml:space="preserve">中期（3-5年）</w:t>
      </w:r>
      <w:r>
        <w:rPr>
          <w:rFonts w:ascii="SimSun" w:cs="SimSun" w:eastAsia="SimSun" w:hAnsi="SimSun"/>
          <w:b w:val="false"/>
          <w:bCs w:val="false"/>
          <w:sz w:val="24"/>
          <w:szCs w:val="24"/>
        </w:rPr>
        <w:t xml:space="preserve">：市场规模有望达到5000-8000亿元</w:t>
      </w:r>
    </w:p>
    <w:p>
      <w:pPr>
        <w:spacing w:after="40" w:line="340"/>
        <w:ind w:left="480" w:hanging="0"/>
      </w:pPr>
      <w:r>
        <w:rPr>
          <w:rFonts w:ascii="SimSun" w:cs="SimSun" w:eastAsia="SimSun" w:hAnsi="SimSun"/>
          <w:b/>
          <w:bCs/>
          <w:sz w:val="24"/>
          <w:szCs w:val="24"/>
        </w:rPr>
        <w:t xml:space="preserve">长期（5-10年）</w:t>
      </w:r>
      <w:r>
        <w:rPr>
          <w:rFonts w:ascii="SimSun" w:cs="SimSun" w:eastAsia="SimSun" w:hAnsi="SimSun"/>
          <w:b w:val="false"/>
          <w:bCs w:val="false"/>
          <w:sz w:val="24"/>
          <w:szCs w:val="24"/>
        </w:rPr>
        <w:t xml:space="preserve">：有望成为万亿级市场</w:t>
      </w:r>
    </w:p>
    <w:p>
      <w:pPr>
        <w:pStyle w:val="Heading4"/>
        <w:spacing w:after="120" w:before="180"/>
      </w:pPr>
      <w:r>
        <w:rPr>
          <w:rFonts w:ascii="SimHei" w:cs="SimHei" w:eastAsia="SimHei" w:hAnsi="SimHei"/>
          <w:b/>
          <w:bCs/>
          <w:sz w:val="24"/>
          <w:szCs w:val="24"/>
        </w:rPr>
        <w:t xml:space="preserve">2. 市场结构变化</w:t>
      </w:r>
    </w:p>
    <w:p>
      <w:pPr>
        <w:spacing w:after="40" w:line="340"/>
        <w:ind w:left="480" w:hanging="0"/>
      </w:pPr>
      <w:r>
        <w:rPr>
          <w:rFonts w:ascii="SimSun" w:cs="SimSun" w:eastAsia="SimSun" w:hAnsi="SimSun"/>
          <w:b/>
          <w:bCs/>
          <w:sz w:val="24"/>
          <w:szCs w:val="24"/>
        </w:rPr>
        <w:t xml:space="preserve">资产类型多元化</w:t>
      </w:r>
      <w:r>
        <w:rPr>
          <w:rFonts w:ascii="SimSun" w:cs="SimSun" w:eastAsia="SimSun" w:hAnsi="SimSun"/>
          <w:b w:val="false"/>
          <w:bCs w:val="false"/>
          <w:sz w:val="24"/>
          <w:szCs w:val="24"/>
        </w:rPr>
        <w:t xml:space="preserve">：从基础设施向商业地产、租赁住房等多元化发展</w:t>
      </w:r>
    </w:p>
    <w:p>
      <w:pPr>
        <w:spacing w:after="40" w:line="340"/>
        <w:ind w:left="480" w:hanging="0"/>
      </w:pPr>
      <w:r>
        <w:rPr>
          <w:rFonts w:ascii="SimSun" w:cs="SimSun" w:eastAsia="SimSun" w:hAnsi="SimSun"/>
          <w:b/>
          <w:bCs/>
          <w:sz w:val="24"/>
          <w:szCs w:val="24"/>
        </w:rPr>
        <w:t xml:space="preserve">投资者结构优化</w:t>
      </w:r>
      <w:r>
        <w:rPr>
          <w:rFonts w:ascii="SimSun" w:cs="SimSun" w:eastAsia="SimSun" w:hAnsi="SimSun"/>
          <w:b w:val="false"/>
          <w:bCs w:val="false"/>
          <w:sz w:val="24"/>
          <w:szCs w:val="24"/>
        </w:rPr>
        <w:t xml:space="preserve">：机构投资者比例提高，长期投资者增加</w:t>
      </w:r>
    </w:p>
    <w:p>
      <w:pPr>
        <w:spacing w:after="40" w:line="340"/>
        <w:ind w:left="480" w:hanging="0"/>
      </w:pPr>
      <w:r>
        <w:rPr>
          <w:rFonts w:ascii="SimSun" w:cs="SimSun" w:eastAsia="SimSun" w:hAnsi="SimSun"/>
          <w:b/>
          <w:bCs/>
          <w:sz w:val="24"/>
          <w:szCs w:val="24"/>
        </w:rPr>
        <w:t xml:space="preserve">市场流动性提升</w:t>
      </w:r>
      <w:r>
        <w:rPr>
          <w:rFonts w:ascii="SimSun" w:cs="SimSun" w:eastAsia="SimSun" w:hAnsi="SimSun"/>
          <w:b w:val="false"/>
          <w:bCs w:val="false"/>
          <w:sz w:val="24"/>
          <w:szCs w:val="24"/>
        </w:rPr>
        <w:t xml:space="preserve">：随着市场规模扩大，市场流动性将显著提升</w:t>
      </w:r>
    </w:p>
    <w:p>
      <w:pPr>
        <w:pStyle w:val="Heading4"/>
        <w:spacing w:after="120" w:before="180"/>
      </w:pPr>
      <w:r>
        <w:rPr>
          <w:rFonts w:ascii="SimHei" w:cs="SimHei" w:eastAsia="SimHei" w:hAnsi="SimHei"/>
          <w:b/>
          <w:bCs/>
          <w:sz w:val="24"/>
          <w:szCs w:val="24"/>
        </w:rPr>
        <w:t xml:space="preserve">3. 政策环境优化</w:t>
      </w:r>
    </w:p>
    <w:p>
      <w:pPr>
        <w:spacing w:after="40" w:line="340"/>
        <w:ind w:left="480" w:hanging="0"/>
      </w:pPr>
      <w:r>
        <w:rPr>
          <w:rFonts w:ascii="SimSun" w:cs="SimSun" w:eastAsia="SimSun" w:hAnsi="SimSun"/>
          <w:b/>
          <w:bCs/>
          <w:sz w:val="24"/>
          <w:szCs w:val="24"/>
        </w:rPr>
        <w:t xml:space="preserve">政策体系完善</w:t>
      </w:r>
      <w:r>
        <w:rPr>
          <w:rFonts w:ascii="SimSun" w:cs="SimSun" w:eastAsia="SimSun" w:hAnsi="SimSun"/>
          <w:b w:val="false"/>
          <w:bCs w:val="false"/>
          <w:sz w:val="24"/>
          <w:szCs w:val="24"/>
        </w:rPr>
        <w:t xml:space="preserve">：REITs政策体系将更加完善和系统</w:t>
      </w:r>
    </w:p>
    <w:p>
      <w:pPr>
        <w:spacing w:after="40" w:line="340"/>
        <w:ind w:left="480" w:hanging="0"/>
      </w:pPr>
      <w:r>
        <w:rPr>
          <w:rFonts w:ascii="SimSun" w:cs="SimSun" w:eastAsia="SimSun" w:hAnsi="SimSun"/>
          <w:b/>
          <w:bCs/>
          <w:sz w:val="24"/>
          <w:szCs w:val="24"/>
        </w:rPr>
        <w:t xml:space="preserve">监管分析框架成熟</w:t>
      </w:r>
      <w:r>
        <w:rPr>
          <w:rFonts w:ascii="SimSun" w:cs="SimSun" w:eastAsia="SimSun" w:hAnsi="SimSun"/>
          <w:b w:val="false"/>
          <w:bCs w:val="false"/>
          <w:sz w:val="24"/>
          <w:szCs w:val="24"/>
        </w:rPr>
        <w:t xml:space="preserve">：监管分析框架将更加成熟和有效</w:t>
      </w:r>
    </w:p>
    <w:p>
      <w:pPr>
        <w:spacing w:after="40" w:line="340"/>
        <w:ind w:left="480" w:hanging="0"/>
      </w:pPr>
      <w:r>
        <w:rPr>
          <w:rFonts w:ascii="SimSun" w:cs="SimSun" w:eastAsia="SimSun" w:hAnsi="SimSun"/>
          <w:b/>
          <w:bCs/>
          <w:sz w:val="24"/>
          <w:szCs w:val="24"/>
        </w:rPr>
        <w:t xml:space="preserve">国际化程度提高</w:t>
      </w:r>
      <w:r>
        <w:rPr>
          <w:rFonts w:ascii="SimSun" w:cs="SimSun" w:eastAsia="SimSun" w:hAnsi="SimSun"/>
          <w:b w:val="false"/>
          <w:bCs w:val="false"/>
          <w:sz w:val="24"/>
          <w:szCs w:val="24"/>
        </w:rPr>
        <w:t xml:space="preserve">：中国REITs市场国际化程度将逐步提高</w:t>
      </w:r>
    </w:p>
    <w:p>
      <w:pPr>
        <w:pStyle w:val="Heading2"/>
        <w:spacing w:after="180" w:before="360"/>
      </w:pPr>
      <w:r>
        <w:rPr>
          <w:rFonts w:ascii="SimHei" w:cs="SimHei" w:eastAsia="SimHei" w:hAnsi="SimHei"/>
          <w:b/>
          <w:bCs/>
          <w:sz w:val="28"/>
          <w:szCs w:val="28"/>
        </w:rPr>
        <w:t xml:space="preserve">6.5 本章小结</w:t>
      </w:r>
    </w:p>
    <w:p>
      <w:pPr>
        <w:spacing w:after="60" w:line="360"/>
        <w:ind w:firstLine="480"/>
        <w:jc w:val="both"/>
      </w:pPr>
      <w:r>
        <w:rPr>
          <w:rFonts w:ascii="SimSun" w:cs="SimSun" w:eastAsia="SimSun" w:hAnsi="SimSun"/>
          <w:b w:val="false"/>
          <w:bCs w:val="false"/>
          <w:i w:val="false"/>
          <w:iCs w:val="false"/>
          <w:strike w:val="false"/>
          <w:sz w:val="24"/>
          <w:szCs w:val="24"/>
        </w:rPr>
        <w:t xml:space="preserve">本章作为论文的结论部分，系统总结了观察发现，提炼了理论贡献，提出了实践建议，并展望了未来研究方向。主要工作包括：</w:t>
      </w:r>
    </w:p>
    <w:p>
      <w:pPr>
        <w:spacing w:after="40" w:line="340"/>
        <w:ind w:left="480" w:hanging="280"/>
      </w:pPr>
      <w:r>
        <w:rPr>
          <w:rFonts w:ascii="SimSun" w:cs="SimSun" w:eastAsia="SimSun" w:hAnsi="SimSun"/>
          <w:sz w:val="24"/>
          <w:szCs w:val="24"/>
        </w:rPr>
        <w:t xml:space="preserve">1. </w:t>
      </w:r>
      <w:r>
        <w:rPr>
          <w:rFonts w:ascii="SimSun" w:cs="SimSun" w:eastAsia="SimSun" w:hAnsi="SimSun"/>
          <w:b/>
          <w:bCs/>
          <w:sz w:val="24"/>
          <w:szCs w:val="24"/>
        </w:rPr>
        <w:t xml:space="preserve">研究结论总结</w:t>
      </w:r>
      <w:r>
        <w:rPr>
          <w:rFonts w:ascii="SimSun" w:cs="SimSun" w:eastAsia="SimSun" w:hAnsi="SimSun"/>
          <w:b w:val="false"/>
          <w:bCs w:val="false"/>
          <w:sz w:val="24"/>
          <w:szCs w:val="24"/>
        </w:rPr>
        <w:t xml:space="preserve">：基于四机制中长期验证分析框架和商业地产企业多维对比分析，总结了五个核心分析显示，验证了研究假设，并增加了商业地产占比的关键变量。</w:t>
      </w:r>
    </w:p>
    <w:p>
      <w:pPr>
        <w:spacing w:after="40" w:line="340"/>
        <w:ind w:left="480" w:hanging="280"/>
      </w:pPr>
      <w:r>
        <w:rPr>
          <w:rFonts w:ascii="SimSun" w:cs="SimSun" w:eastAsia="SimSun" w:hAnsi="SimSun"/>
          <w:sz w:val="24"/>
          <w:szCs w:val="24"/>
        </w:rPr>
        <w:t xml:space="preserve">2. </w:t>
      </w:r>
      <w:r>
        <w:rPr>
          <w:rFonts w:ascii="SimSun" w:cs="SimSun" w:eastAsia="SimSun" w:hAnsi="SimSun"/>
          <w:b/>
          <w:bCs/>
          <w:sz w:val="24"/>
          <w:szCs w:val="24"/>
        </w:rPr>
        <w:t xml:space="preserve">理论贡献提炼</w:t>
      </w:r>
      <w:r>
        <w:rPr>
          <w:rFonts w:ascii="SimSun" w:cs="SimSun" w:eastAsia="SimSun" w:hAnsi="SimSun"/>
          <w:b w:val="false"/>
          <w:bCs w:val="false"/>
          <w:sz w:val="24"/>
          <w:szCs w:val="24"/>
        </w:rPr>
        <w:t xml:space="preserve">：从拓展REITs理论应用边界、构建整合性分析理论框架、发展案例研究方法论三个方面提炼了理论贡献，特别强调了商业地产企业对比的创新价值。</w:t>
      </w:r>
    </w:p>
    <w:p>
      <w:pPr>
        <w:spacing w:after="40" w:line="340"/>
        <w:ind w:left="480" w:hanging="280"/>
      </w:pPr>
      <w:r>
        <w:rPr>
          <w:rFonts w:ascii="SimSun" w:cs="SimSun" w:eastAsia="SimSun" w:hAnsi="SimSun"/>
          <w:sz w:val="24"/>
          <w:szCs w:val="24"/>
        </w:rPr>
        <w:t xml:space="preserve">3. </w:t>
      </w:r>
      <w:r>
        <w:rPr>
          <w:rFonts w:ascii="SimSun" w:cs="SimSun" w:eastAsia="SimSun" w:hAnsi="SimSun"/>
          <w:b/>
          <w:bCs/>
          <w:sz w:val="24"/>
          <w:szCs w:val="24"/>
        </w:rPr>
        <w:t xml:space="preserve">实践建议提出</w:t>
      </w:r>
      <w:r>
        <w:rPr>
          <w:rFonts w:ascii="SimSun" w:cs="SimSun" w:eastAsia="SimSun" w:hAnsi="SimSun"/>
          <w:b w:val="false"/>
          <w:bCs w:val="false"/>
          <w:sz w:val="24"/>
          <w:szCs w:val="24"/>
        </w:rPr>
        <w:t xml:space="preserve">：分别对受困房企、投资者和政策制定者提出了具体的实践建议，基于SWOT战略矩阵和包含商业地产占比维度的REITs适用性评估模型。</w:t>
      </w:r>
    </w:p>
    <w:p>
      <w:pPr>
        <w:spacing w:after="40" w:line="340"/>
        <w:ind w:left="480" w:hanging="280"/>
      </w:pPr>
      <w:r>
        <w:rPr>
          <w:rFonts w:ascii="SimSun" w:cs="SimSun" w:eastAsia="SimSun" w:hAnsi="SimSun"/>
          <w:sz w:val="24"/>
          <w:szCs w:val="24"/>
        </w:rPr>
        <w:t xml:space="preserve">4. </w:t>
      </w:r>
      <w:r>
        <w:rPr>
          <w:rFonts w:ascii="SimSun" w:cs="SimSun" w:eastAsia="SimSun" w:hAnsi="SimSun"/>
          <w:b/>
          <w:bCs/>
          <w:sz w:val="24"/>
          <w:szCs w:val="24"/>
        </w:rPr>
        <w:t xml:space="preserve">研究局限性分析</w:t>
      </w:r>
      <w:r>
        <w:rPr>
          <w:rFonts w:ascii="SimSun" w:cs="SimSun" w:eastAsia="SimSun" w:hAnsi="SimSun"/>
          <w:b w:val="false"/>
          <w:bCs w:val="false"/>
          <w:sz w:val="24"/>
          <w:szCs w:val="24"/>
        </w:rPr>
        <w:t xml:space="preserve">：客观探究了研究的样本、时间、方法、数据等方面的局限性，并指出商业地产企业对比是对原局限性的重要改进。</w:t>
      </w:r>
    </w:p>
    <w:p>
      <w:pPr>
        <w:spacing w:after="40" w:line="340"/>
        <w:ind w:left="480" w:hanging="280"/>
      </w:pPr>
      <w:r>
        <w:rPr>
          <w:rFonts w:ascii="SimSun" w:cs="SimSun" w:eastAsia="SimSun" w:hAnsi="SimSun"/>
          <w:sz w:val="24"/>
          <w:szCs w:val="24"/>
        </w:rPr>
        <w:t xml:space="preserve">5. </w:t>
      </w:r>
      <w:r>
        <w:rPr>
          <w:rFonts w:ascii="SimSun" w:cs="SimSun" w:eastAsia="SimSun" w:hAnsi="SimSun"/>
          <w:b/>
          <w:bCs/>
          <w:sz w:val="24"/>
          <w:szCs w:val="24"/>
        </w:rPr>
        <w:t xml:space="preserve">未来研究展望</w:t>
      </w:r>
      <w:r>
        <w:rPr>
          <w:rFonts w:ascii="SimSun" w:cs="SimSun" w:eastAsia="SimSun" w:hAnsi="SimSun"/>
          <w:b w:val="false"/>
          <w:bCs w:val="false"/>
          <w:sz w:val="24"/>
          <w:szCs w:val="24"/>
        </w:rPr>
        <w:t xml:space="preserve">：提出了多案例比较研究、长期效应追踪研究、机制深化研究、政策效果评估研究四个未来研究方向，特别强调了商业地产行业内部对比的深化方向。</w:t>
      </w:r>
    </w:p>
    <w:p>
      <w:pPr>
        <w:spacing w:after="60" w:line="360"/>
        <w:ind w:firstLine="480"/>
        <w:jc w:val="both"/>
      </w:pPr>
      <w:r>
        <w:rPr>
          <w:rFonts w:ascii="SimSun" w:cs="SimSun" w:eastAsia="SimSun" w:hAnsi="SimSun"/>
          <w:b w:val="false"/>
          <w:bCs w:val="false"/>
          <w:i w:val="false"/>
          <w:iCs w:val="false"/>
          <w:strike w:val="false"/>
          <w:sz w:val="24"/>
          <w:szCs w:val="24"/>
        </w:rPr>
        <w:t xml:space="preserve">从数据角度看，本研究以"REITs对受困房企的变革效应"为主题，通过单案例深度分析和多案例对比视角，系统探讨了REITs作为财务困境解决方案的有效性和适用条件。研究发现不仅具有举足轻重的理论价值，也为企业决策、投资分析和政策制定提供了实证依据和参考概念框架。</w:t>
      </w:r>
    </w:p>
    <w:p>
      <w:pPr>
        <w:spacing w:after="60" w:line="360"/>
        <w:ind w:firstLine="480"/>
        <w:jc w:val="both"/>
      </w:pPr>
      <w:r>
        <w:rPr>
          <w:rFonts w:ascii="SimSun" w:cs="SimSun" w:eastAsia="SimSun" w:hAnsi="SimSun"/>
          <w:b w:val="false"/>
          <w:bCs w:val="false"/>
          <w:i w:val="false"/>
          <w:iCs w:val="false"/>
          <w:strike w:val="false"/>
          <w:sz w:val="24"/>
          <w:szCs w:val="24"/>
        </w:rPr>
        <w:t xml:space="preserve">随着中国REITs市场的快速发展和房地产行业的深度调整，REITs将在房企转型和行业发展中发挥越来越重要的作用。希望本研究能够为相关研究和实践提供有益的参考和启示。</w:t>
      </w:r>
    </w:p>
    <w:p>
      <w:pPr>
        <w:spacing w:after="60" w:line="360"/>
        <w:ind w:firstLine="480"/>
        <w:jc w:val="both"/>
      </w:pPr>
      <w:r>
        <w:rPr>
          <w:rFonts w:ascii="SimSun" w:cs="SimSun" w:eastAsia="SimSun" w:hAnsi="SimSun"/>
          <w:b/>
          <w:bCs/>
          <w:i w:val="false"/>
          <w:iCs w:val="false"/>
          <w:strike w:val="false"/>
          <w:sz w:val="24"/>
          <w:szCs w:val="24"/>
        </w:rPr>
        <w:t xml:space="preserve">本章信息</w:t>
      </w:r>
      <w:r>
        <w:rPr>
          <w:rFonts w:ascii="SimSun" w:cs="SimSun" w:eastAsia="SimSun" w:hAnsi="SimSun"/>
          <w:b w:val="false"/>
          <w:bCs w:val="false"/>
          <w:i w:val="false"/>
          <w:iCs w:val="false"/>
          <w:strike w:val="false"/>
          <w:sz w:val="24"/>
          <w:szCs w:val="24"/>
        </w:rPr>
        <w:t xml:space="preserve">：</w:t>
      </w:r>
    </w:p>
    <w:p>
      <w:pPr>
        <w:spacing w:after="40" w:line="340"/>
        <w:ind w:left="480" w:hanging="0"/>
      </w:pPr>
      <w:r>
        <w:rPr>
          <w:rFonts w:ascii="SimSun" w:cs="SimSun" w:eastAsia="SimSun" w:hAnsi="SimSun"/>
          <w:b/>
          <w:bCs/>
          <w:sz w:val="24"/>
          <w:szCs w:val="24"/>
        </w:rPr>
        <w:t xml:space="preserve">创建时间</w:t>
      </w:r>
      <w:r>
        <w:rPr>
          <w:rFonts w:ascii="SimSun" w:cs="SimSun" w:eastAsia="SimSun" w:hAnsi="SimSun"/>
          <w:b w:val="false"/>
          <w:bCs w:val="false"/>
          <w:sz w:val="24"/>
          <w:szCs w:val="24"/>
        </w:rPr>
        <w:t xml:space="preserve">：2026年4月15日</w:t>
      </w:r>
    </w:p>
    <w:p>
      <w:pPr>
        <w:spacing w:after="40" w:line="340"/>
        <w:ind w:left="480" w:hanging="0"/>
      </w:pPr>
      <w:r>
        <w:rPr>
          <w:rFonts w:ascii="SimSun" w:cs="SimSun" w:eastAsia="SimSun" w:hAnsi="SimSun"/>
          <w:b/>
          <w:bCs/>
          <w:sz w:val="24"/>
          <w:szCs w:val="24"/>
        </w:rPr>
        <w:t xml:space="preserve">更新时间</w:t>
      </w:r>
      <w:r>
        <w:rPr>
          <w:rFonts w:ascii="SimSun" w:cs="SimSun" w:eastAsia="SimSun" w:hAnsi="SimSun"/>
          <w:b w:val="false"/>
          <w:bCs w:val="false"/>
          <w:sz w:val="24"/>
          <w:szCs w:val="24"/>
        </w:rPr>
        <w:t xml:space="preserve">：2026年4月15日（补充商业地产企业对比启示）</w:t>
      </w:r>
    </w:p>
    <w:p>
      <w:pPr>
        <w:spacing w:after="40" w:line="340"/>
        <w:ind w:left="480" w:hanging="0"/>
      </w:pPr>
      <w:r>
        <w:rPr>
          <w:rFonts w:ascii="SimSun" w:cs="SimSun" w:eastAsia="SimSun" w:hAnsi="SimSun"/>
          <w:b/>
          <w:bCs/>
          <w:sz w:val="24"/>
          <w:szCs w:val="24"/>
        </w:rPr>
        <w:t xml:space="preserve">创建人</w:t>
      </w:r>
      <w:r>
        <w:rPr>
          <w:rFonts w:ascii="SimSun" w:cs="SimSun" w:eastAsia="SimSun" w:hAnsi="SimSun"/>
          <w:b w:val="false"/>
          <w:bCs w:val="false"/>
          <w:sz w:val="24"/>
          <w:szCs w:val="24"/>
        </w:rPr>
        <w:t xml:space="preserve">：江峰</w:t>
      </w:r>
    </w:p>
    <w:p>
      <w:pPr>
        <w:spacing w:after="40" w:line="340"/>
        <w:ind w:left="480" w:hanging="0"/>
      </w:pPr>
      <w:r>
        <w:rPr>
          <w:rFonts w:ascii="SimSun" w:cs="SimSun" w:eastAsia="SimSun" w:hAnsi="SimSun"/>
          <w:b/>
          <w:bCs/>
          <w:sz w:val="24"/>
          <w:szCs w:val="24"/>
        </w:rPr>
        <w:t xml:space="preserve">版本</w:t>
      </w:r>
      <w:r>
        <w:rPr>
          <w:rFonts w:ascii="SimSun" w:cs="SimSun" w:eastAsia="SimSun" w:hAnsi="SimSun"/>
          <w:b w:val="false"/>
          <w:bCs w:val="false"/>
          <w:sz w:val="24"/>
          <w:szCs w:val="24"/>
        </w:rPr>
        <w:t xml:space="preserve">：v2.0</w:t>
      </w:r>
    </w:p>
    <w:p>
      <w:pPr>
        <w:spacing w:after="40" w:line="340"/>
        <w:ind w:left="480" w:hanging="0"/>
      </w:pPr>
      <w:r>
        <w:rPr>
          <w:rFonts w:ascii="SimSun" w:cs="SimSun" w:eastAsia="SimSun" w:hAnsi="SimSun"/>
          <w:b/>
          <w:bCs/>
          <w:sz w:val="24"/>
          <w:szCs w:val="24"/>
        </w:rPr>
        <w:t xml:space="preserve">核心内容</w:t>
      </w:r>
      <w:r>
        <w:rPr>
          <w:rFonts w:ascii="SimSun" w:cs="SimSun" w:eastAsia="SimSun" w:hAnsi="SimSun"/>
          <w:b w:val="false"/>
          <w:bCs w:val="false"/>
          <w:sz w:val="24"/>
          <w:szCs w:val="24"/>
        </w:rPr>
        <w:t xml:space="preserve">：研究结论总结、理论贡献、实践建议、研究局限与未来展望</w:t>
      </w:r>
    </w:p>
    <w:p>
      <w:pPr>
        <w:spacing w:after="40" w:line="340"/>
        <w:ind w:left="480" w:hanging="0"/>
      </w:pPr>
      <w:r>
        <w:rPr>
          <w:rFonts w:ascii="SimSun" w:cs="SimSun" w:eastAsia="SimSun" w:hAnsi="SimSun"/>
          <w:b/>
          <w:bCs/>
          <w:sz w:val="24"/>
          <w:szCs w:val="24"/>
        </w:rPr>
        <w:t xml:space="preserve">对比企业数量</w:t>
      </w:r>
      <w:r>
        <w:rPr>
          <w:rFonts w:ascii="SimSun" w:cs="SimSun" w:eastAsia="SimSun" w:hAnsi="SimSun"/>
          <w:b w:val="false"/>
          <w:bCs w:val="false"/>
          <w:sz w:val="24"/>
          <w:szCs w:val="24"/>
        </w:rPr>
        <w:t xml:space="preserve">：6家（大悦城+5家参照企业：万科、保利、华润万象生活、龙湖集团、新城控股）</w:t>
      </w:r>
    </w:p>
    <w:p>
      <w:pPr>
        <w:spacing w:after="40" w:line="340"/>
        <w:ind w:left="480" w:hanging="0"/>
      </w:pPr>
      <w:r>
        <w:rPr>
          <w:rFonts w:ascii="SimSun" w:cs="SimSun" w:eastAsia="SimSun" w:hAnsi="SimSun"/>
          <w:b/>
          <w:bCs/>
          <w:sz w:val="24"/>
          <w:szCs w:val="24"/>
        </w:rPr>
        <w:t xml:space="preserve">对比维度</w:t>
      </w:r>
      <w:r>
        <w:rPr>
          <w:rFonts w:ascii="SimSun" w:cs="SimSun" w:eastAsia="SimSun" w:hAnsi="SimSun"/>
          <w:b w:val="false"/>
          <w:bCs w:val="false"/>
          <w:sz w:val="24"/>
          <w:szCs w:val="24"/>
        </w:rPr>
        <w:t xml:space="preserve">：企业性质、REITs实践、商业地产占比、财务状态、战略定位等</w:t>
      </w:r>
    </w:p>
    <w:p>
      <w:pPr>
        <w:spacing w:after="40" w:line="340"/>
        <w:ind w:left="480" w:hanging="0"/>
      </w:pPr>
      <w:r>
        <w:rPr>
          <w:rFonts w:ascii="SimSun" w:cs="SimSun" w:eastAsia="SimSun" w:hAnsi="SimSun"/>
          <w:b/>
          <w:bCs/>
          <w:sz w:val="24"/>
          <w:szCs w:val="24"/>
        </w:rPr>
        <w:t xml:space="preserve">论文完成度</w:t>
      </w:r>
      <w:r>
        <w:rPr>
          <w:rFonts w:ascii="SimSun" w:cs="SimSun" w:eastAsia="SimSun" w:hAnsi="SimSun"/>
          <w:b w:val="false"/>
          <w:bCs w:val="false"/>
          <w:sz w:val="24"/>
          <w:szCs w:val="24"/>
        </w:rPr>
        <w:t xml:space="preserve">：至此，论文主体六章全部完成初稿，包含商业地产企业对比分析</w:t>
      </w:r>
    </w:p>
    <w:p>
      <w:pPr>
        <w:spacing w:after="40" w:line="340"/>
        <w:ind w:left="480" w:hanging="0"/>
      </w:pPr>
      <w:r>
        <w:rPr>
          <w:rFonts w:ascii="SimSun" w:cs="SimSun" w:eastAsia="SimSun" w:hAnsi="SimSun"/>
          <w:b/>
          <w:bCs/>
          <w:sz w:val="24"/>
          <w:szCs w:val="24"/>
        </w:rPr>
        <w:t xml:space="preserve">下一步工作</w:t>
      </w:r>
      <w:r>
        <w:rPr>
          <w:rFonts w:ascii="SimSun" w:cs="SimSun" w:eastAsia="SimSun" w:hAnsi="SimSun"/>
          <w:b w:val="false"/>
          <w:bCs w:val="false"/>
          <w:sz w:val="24"/>
          <w:szCs w:val="24"/>
        </w:rPr>
        <w:t xml:space="preserve">：整合各章节，完善参考文献，进行格式校对，准备开题报告终稿</w:t>
      </w:r>
    </w:p>
    <w:p>
      <w:pPr>
        <w:pStyle w:val="Heading1"/>
        <w:spacing w:after="240" w:before="480"/>
      </w:pPr>
      <w:r>
        <w:rPr>
          <w:rFonts w:ascii="SimHei" w:cs="SimHei" w:eastAsia="SimHei" w:hAnsi="SimHei"/>
          <w:b/>
          <w:bCs/>
          <w:sz w:val="32"/>
          <w:szCs w:val="32"/>
        </w:rPr>
        <w:t xml:space="preserve">参考文献</w:t>
      </w:r>
    </w:p>
    <w:p>
      <w:pPr>
        <w:pStyle w:val="Heading2"/>
        <w:spacing w:after="180" w:before="360"/>
      </w:pPr>
      <w:r>
        <w:rPr>
          <w:rFonts w:ascii="SimHei" w:cs="SimHei" w:eastAsia="SimHei" w:hAnsi="SimHei"/>
          <w:b/>
          <w:bCs/>
          <w:sz w:val="28"/>
          <w:szCs w:val="28"/>
        </w:rPr>
        <w:t xml:space="preserve">一、案例研究方法论</w:t>
      </w:r>
    </w:p>
    <w:p>
      <w:pPr>
        <w:spacing w:after="60" w:line="360"/>
        <w:ind/>
        <w:jc w:val="both"/>
      </w:pPr>
      <w:r>
        <w:rPr>
          <w:rFonts w:ascii="SimSun" w:cs="SimSun" w:eastAsia="SimSun" w:hAnsi="SimSun"/>
          <w:b w:val="false"/>
          <w:bCs w:val="false"/>
          <w:i w:val="false"/>
          <w:iCs w:val="false"/>
          <w:strike w:val="false"/>
          <w:sz w:val="21"/>
          <w:szCs w:val="21"/>
        </w:rPr>
        <w:t xml:space="preserve">[1] Yin R K. Case study research: Design and methods (5th ed.)[M]. Thousand Oaks: Sage Publications, 2013.</w:t>
      </w:r>
    </w:p>
    <w:p>
      <w:pPr>
        <w:spacing w:after="60" w:line="360"/>
        <w:ind/>
        <w:jc w:val="both"/>
      </w:pPr>
      <w:r>
        <w:rPr>
          <w:rFonts w:ascii="SimSun" w:cs="SimSun" w:eastAsia="SimSun" w:hAnsi="SimSun"/>
          <w:b w:val="false"/>
          <w:bCs w:val="false"/>
          <w:i w:val="false"/>
          <w:iCs w:val="false"/>
          <w:strike w:val="false"/>
          <w:sz w:val="21"/>
          <w:szCs w:val="21"/>
        </w:rPr>
        <w:t xml:space="preserve">[2] Eisenhardt K M. Building theories from case study research[J]. Academy of Management Review, 1989, 14(4): 532-550.</w:t>
      </w:r>
    </w:p>
    <w:p>
      <w:pPr>
        <w:spacing w:after="60" w:line="360"/>
        <w:ind/>
        <w:jc w:val="both"/>
      </w:pPr>
      <w:r>
        <w:rPr>
          <w:rFonts w:ascii="SimSun" w:cs="SimSun" w:eastAsia="SimSun" w:hAnsi="SimSun"/>
          <w:b w:val="false"/>
          <w:bCs w:val="false"/>
          <w:i w:val="false"/>
          <w:iCs w:val="false"/>
          <w:strike w:val="false"/>
          <w:sz w:val="21"/>
          <w:szCs w:val="21"/>
        </w:rPr>
        <w:t xml:space="preserve">[3] Booth W C, Colomb G G, Williams J M, et al. The craft of research (4th ed.)[M]. Chicago: University of Chicago Press, 2016.</w:t>
      </w:r>
    </w:p>
    <w:p>
      <w:pPr>
        <w:spacing w:after="60" w:line="360"/>
        <w:ind/>
        <w:jc w:val="both"/>
      </w:pPr>
      <w:r>
        <w:rPr>
          <w:rFonts w:ascii="SimSun" w:cs="SimSun" w:eastAsia="SimSun" w:hAnsi="SimSun"/>
          <w:b w:val="false"/>
          <w:bCs w:val="false"/>
          <w:i w:val="false"/>
          <w:iCs w:val="false"/>
          <w:strike w:val="false"/>
          <w:sz w:val="21"/>
          <w:szCs w:val="21"/>
        </w:rPr>
        <w:t xml:space="preserve">[4] 赖一飞, 吴思. MBA研究方法与论文写作[M]. 北京: 清华大学出版社, 2019.</w:t>
      </w:r>
    </w:p>
    <w:p>
      <w:pPr>
        <w:pStyle w:val="Heading2"/>
        <w:spacing w:after="180" w:before="360"/>
      </w:pPr>
      <w:r>
        <w:rPr>
          <w:rFonts w:ascii="SimHei" w:cs="SimHei" w:eastAsia="SimHei" w:hAnsi="SimHei"/>
          <w:b/>
          <w:bCs/>
          <w:sz w:val="28"/>
          <w:szCs w:val="28"/>
        </w:rPr>
        <w:t xml:space="preserve">二、财务困境理论与房企风险</w:t>
      </w:r>
    </w:p>
    <w:p>
      <w:pPr>
        <w:spacing w:after="60" w:line="360"/>
        <w:ind/>
        <w:jc w:val="both"/>
      </w:pPr>
      <w:r>
        <w:rPr>
          <w:rFonts w:ascii="SimSun" w:cs="SimSun" w:eastAsia="SimSun" w:hAnsi="SimSun"/>
          <w:b w:val="false"/>
          <w:bCs w:val="false"/>
          <w:i w:val="false"/>
          <w:iCs w:val="false"/>
          <w:strike w:val="false"/>
          <w:sz w:val="21"/>
          <w:szCs w:val="21"/>
        </w:rPr>
        <w:t xml:space="preserve">[5] Zhang L, Chen S, Li J. Capital structure and financial distress in China's real estate[J]. Humanities and Social Sciences Communications, 2025, 12(1): 45-60.</w:t>
      </w:r>
    </w:p>
    <w:p>
      <w:pPr>
        <w:spacing w:after="60" w:line="360"/>
        <w:ind/>
        <w:jc w:val="both"/>
      </w:pPr>
      <w:r>
        <w:rPr>
          <w:rFonts w:ascii="SimSun" w:cs="SimSun" w:eastAsia="SimSun" w:hAnsi="SimSun"/>
          <w:b w:val="false"/>
          <w:bCs w:val="false"/>
          <w:i w:val="false"/>
          <w:iCs w:val="false"/>
          <w:strike w:val="false"/>
          <w:sz w:val="21"/>
          <w:szCs w:val="21"/>
        </w:rPr>
        <w:t xml:space="preserve">[6] Liu Y, Wang Q. The impact of capital structure on firm performance: Evidence from Chinese real estate listed companies[J]. Research in International Business and Finance, 2022, 63: 101-115.</w:t>
      </w:r>
    </w:p>
    <w:p>
      <w:pPr>
        <w:spacing w:after="60" w:line="360"/>
        <w:ind/>
        <w:jc w:val="both"/>
      </w:pPr>
      <w:r>
        <w:rPr>
          <w:rFonts w:ascii="SimSun" w:cs="SimSun" w:eastAsia="SimSun" w:hAnsi="SimSun"/>
          <w:b w:val="false"/>
          <w:bCs w:val="false"/>
          <w:i w:val="false"/>
          <w:iCs w:val="false"/>
          <w:strike w:val="false"/>
          <w:sz w:val="21"/>
          <w:szCs w:val="21"/>
        </w:rPr>
        <w:t xml:space="preserve">[7] 李军, 张伟. 基于Z-Score模型的我国房地产业上市公司财务风险的实证分析[J]. 金融与经济, 2011(3): 45-52.</w:t>
      </w:r>
    </w:p>
    <w:p>
      <w:pPr>
        <w:spacing w:after="60" w:line="360"/>
        <w:ind/>
        <w:jc w:val="both"/>
      </w:pPr>
      <w:r>
        <w:rPr>
          <w:rFonts w:ascii="SimSun" w:cs="SimSun" w:eastAsia="SimSun" w:hAnsi="SimSun"/>
          <w:b w:val="false"/>
          <w:bCs w:val="false"/>
          <w:i w:val="false"/>
          <w:iCs w:val="false"/>
          <w:strike w:val="false"/>
          <w:sz w:val="21"/>
          <w:szCs w:val="21"/>
        </w:rPr>
        <w:t xml:space="preserve">[8] 王强. 基于Z值模型的房地产企业财务风险分析[J]. 财务管理, 2024(5): 78-85.</w:t>
      </w:r>
    </w:p>
    <w:p>
      <w:pPr>
        <w:spacing w:after="60" w:line="360"/>
        <w:ind/>
        <w:jc w:val="both"/>
      </w:pPr>
      <w:r>
        <w:rPr>
          <w:rFonts w:ascii="SimSun" w:cs="SimSun" w:eastAsia="SimSun" w:hAnsi="SimSun"/>
          <w:b w:val="false"/>
          <w:bCs w:val="false"/>
          <w:i w:val="false"/>
          <w:iCs w:val="false"/>
          <w:strike w:val="false"/>
          <w:sz w:val="21"/>
          <w:szCs w:val="21"/>
        </w:rPr>
        <w:t xml:space="preserve">[9] 中国房地产业协会. 房企债务重组与重整进展分析报告[R]. 北京: 中国房地产业协会, 2025.</w:t>
      </w:r>
    </w:p>
    <w:p>
      <w:pPr>
        <w:spacing w:after="60" w:line="360"/>
        <w:ind/>
        <w:jc w:val="both"/>
      </w:pPr>
      <w:r>
        <w:rPr>
          <w:rFonts w:ascii="SimSun" w:cs="SimSun" w:eastAsia="SimSun" w:hAnsi="SimSun"/>
          <w:b w:val="false"/>
          <w:bCs w:val="false"/>
          <w:i w:val="false"/>
          <w:iCs w:val="false"/>
          <w:strike w:val="false"/>
          <w:sz w:val="21"/>
          <w:szCs w:val="21"/>
        </w:rPr>
        <w:t xml:space="preserve">[10] 赵鹏, 孙丽. 我国房地产企业财务风险问题研究——以恒大集团为例[J]. 经济管理, 2025(2): 56-68.</w:t>
      </w:r>
    </w:p>
    <w:p>
      <w:pPr>
        <w:spacing w:after="60" w:line="360"/>
        <w:ind/>
        <w:jc w:val="both"/>
      </w:pPr>
      <w:r>
        <w:rPr>
          <w:rFonts w:ascii="SimSun" w:cs="SimSun" w:eastAsia="SimSun" w:hAnsi="SimSun"/>
          <w:b w:val="false"/>
          <w:bCs w:val="false"/>
          <w:i w:val="false"/>
          <w:iCs w:val="false"/>
          <w:strike w:val="false"/>
          <w:sz w:val="21"/>
          <w:szCs w:val="21"/>
        </w:rPr>
        <w:t xml:space="preserve">[11] 刘洋, 陈静. 房地产企业债务违约风险研究——以蓝光发展为例[J]. 财务与会计, 2023(8): 34-42.</w:t>
      </w:r>
    </w:p>
    <w:p>
      <w:pPr>
        <w:pStyle w:val="Heading2"/>
        <w:spacing w:after="180" w:before="360"/>
      </w:pPr>
      <w:r>
        <w:rPr>
          <w:rFonts w:ascii="SimHei" w:cs="SimHei" w:eastAsia="SimHei" w:hAnsi="SimHei"/>
          <w:b/>
          <w:bCs/>
          <w:sz w:val="28"/>
          <w:szCs w:val="28"/>
        </w:rPr>
        <w:t xml:space="preserve">三、REITs理论与实证研究</w:t>
      </w:r>
    </w:p>
    <w:p>
      <w:pPr>
        <w:spacing w:after="60" w:line="360"/>
        <w:ind/>
        <w:jc w:val="both"/>
      </w:pPr>
      <w:r>
        <w:rPr>
          <w:rFonts w:ascii="SimSun" w:cs="SimSun" w:eastAsia="SimSun" w:hAnsi="SimSun"/>
          <w:b w:val="false"/>
          <w:bCs w:val="false"/>
          <w:i w:val="false"/>
          <w:iCs w:val="false"/>
          <w:strike w:val="false"/>
          <w:sz w:val="21"/>
          <w:szCs w:val="21"/>
        </w:rPr>
        <w:t xml:space="preserve">[12] Wang J, Li L, Chen Q. Research trends and directions on REITs: A bibliometric analysis[J]. Sustainability, 2023, 15(8): 3456-3478.</w:t>
      </w:r>
    </w:p>
    <w:p>
      <w:pPr>
        <w:spacing w:after="60" w:line="360"/>
        <w:ind/>
        <w:jc w:val="both"/>
      </w:pPr>
      <w:r>
        <w:rPr>
          <w:rFonts w:ascii="SimSun" w:cs="SimSun" w:eastAsia="SimSun" w:hAnsi="SimSun"/>
          <w:b w:val="false"/>
          <w:bCs w:val="false"/>
          <w:i w:val="false"/>
          <w:iCs w:val="false"/>
          <w:strike w:val="false"/>
          <w:sz w:val="21"/>
          <w:szCs w:val="21"/>
        </w:rPr>
        <w:t xml:space="preserve">[13] Chen K, Zhou M. ESG disclosure, REIT debt financing and firm value[J]. Journal of Real Estate Research, 2021, 43(2): 213-235.</w:t>
      </w:r>
    </w:p>
    <w:p>
      <w:pPr>
        <w:spacing w:after="60" w:line="360"/>
        <w:ind/>
        <w:jc w:val="both"/>
      </w:pPr>
      <w:r>
        <w:rPr>
          <w:rFonts w:ascii="SimSun" w:cs="SimSun" w:eastAsia="SimSun" w:hAnsi="SimSun"/>
          <w:b w:val="false"/>
          <w:bCs w:val="false"/>
          <w:i w:val="false"/>
          <w:iCs w:val="false"/>
          <w:strike w:val="false"/>
          <w:sz w:val="21"/>
          <w:szCs w:val="21"/>
        </w:rPr>
        <w:t xml:space="preserve">[14] 李明, 张华. 基础设施公募REITs赋能企业高质量发展路径研究[J]. 金融研究, 2024(6): 112-128.</w:t>
      </w:r>
    </w:p>
    <w:p>
      <w:pPr>
        <w:spacing w:after="60" w:line="360"/>
        <w:ind/>
        <w:jc w:val="both"/>
      </w:pPr>
      <w:r>
        <w:rPr>
          <w:rFonts w:ascii="SimSun" w:cs="SimSun" w:eastAsia="SimSun" w:hAnsi="SimSun"/>
          <w:b w:val="false"/>
          <w:bCs w:val="false"/>
          <w:i w:val="false"/>
          <w:iCs w:val="false"/>
          <w:strike w:val="false"/>
          <w:sz w:val="21"/>
          <w:szCs w:val="21"/>
        </w:rPr>
        <w:t xml:space="preserve">[15] Zhou Y, Lin C, Tao Y. The financial performance of newly launched REITs: Evidence from China's infrastructure REITs[J]. Journal of Real Estate Research, 2023, 44(3): 412-432.</w:t>
      </w:r>
    </w:p>
    <w:p>
      <w:pPr>
        <w:spacing w:after="60" w:line="360"/>
        <w:ind/>
        <w:jc w:val="both"/>
      </w:pPr>
      <w:r>
        <w:rPr>
          <w:rFonts w:ascii="SimSun" w:cs="SimSun" w:eastAsia="SimSun" w:hAnsi="SimSun"/>
          <w:b w:val="false"/>
          <w:bCs w:val="false"/>
          <w:i w:val="false"/>
          <w:iCs w:val="false"/>
          <w:strike w:val="false"/>
          <w:sz w:val="21"/>
          <w:szCs w:val="21"/>
        </w:rPr>
        <w:t xml:space="preserve">[16] Lee S H. REIT capital structure: Evidence from US REITs[R]. Cornell Working Paper, 2020.</w:t>
      </w:r>
    </w:p>
    <w:p>
      <w:pPr>
        <w:spacing w:after="60" w:line="360"/>
        <w:ind/>
        <w:jc w:val="both"/>
      </w:pPr>
      <w:r>
        <w:rPr>
          <w:rFonts w:ascii="SimSun" w:cs="SimSun" w:eastAsia="SimSun" w:hAnsi="SimSun"/>
          <w:b w:val="false"/>
          <w:bCs w:val="false"/>
          <w:i w:val="false"/>
          <w:iCs w:val="false"/>
          <w:strike w:val="false"/>
          <w:sz w:val="21"/>
          <w:szCs w:val="21"/>
        </w:rPr>
        <w:t xml:space="preserve">[17] Ooi J, Li S, Sing T F. On the determinants of REIT capital structure: A cross-country study[J]. Journal of Real Estate Research, 2019, 41(4): 567-589.</w:t>
      </w:r>
    </w:p>
    <w:p>
      <w:pPr>
        <w:spacing w:after="60" w:line="360"/>
        <w:ind/>
        <w:jc w:val="both"/>
      </w:pPr>
      <w:r>
        <w:rPr>
          <w:rFonts w:ascii="SimSun" w:cs="SimSun" w:eastAsia="SimSun" w:hAnsi="SimSun"/>
          <w:b w:val="false"/>
          <w:bCs w:val="false"/>
          <w:i w:val="false"/>
          <w:iCs w:val="false"/>
          <w:strike w:val="false"/>
          <w:sz w:val="21"/>
          <w:szCs w:val="21"/>
        </w:rPr>
        <w:t xml:space="preserve">[18] 黄磊, 王芳. 基于房地产信托基金视角房地产企业转型路径研究[J]. 现代管理科学, 2023(4): 78-86.</w:t>
      </w:r>
    </w:p>
    <w:p>
      <w:pPr>
        <w:spacing w:after="60" w:line="360"/>
        <w:ind/>
        <w:jc w:val="both"/>
      </w:pPr>
      <w:r>
        <w:rPr>
          <w:rFonts w:ascii="SimSun" w:cs="SimSun" w:eastAsia="SimSun" w:hAnsi="SimSun"/>
          <w:b w:val="false"/>
          <w:bCs w:val="false"/>
          <w:i w:val="false"/>
          <w:iCs w:val="false"/>
          <w:strike w:val="false"/>
          <w:sz w:val="21"/>
          <w:szCs w:val="21"/>
        </w:rPr>
        <w:t xml:space="preserve">[19] 张磊, 陈思. 越秀REITs的财务风险研究[J]. 商业经济研究, 2023(15): 156-160.</w:t>
      </w:r>
    </w:p>
    <w:p>
      <w:pPr>
        <w:pStyle w:val="Heading2"/>
        <w:spacing w:after="180" w:before="360"/>
      </w:pPr>
      <w:r>
        <w:rPr>
          <w:rFonts w:ascii="SimHei" w:cs="SimHei" w:eastAsia="SimHei" w:hAnsi="SimHei"/>
          <w:b/>
          <w:bCs/>
          <w:sz w:val="28"/>
          <w:szCs w:val="28"/>
        </w:rPr>
        <w:t xml:space="preserve">四、消费基础设施REITs</w:t>
      </w:r>
    </w:p>
    <w:p>
      <w:pPr>
        <w:spacing w:after="60" w:line="360"/>
        <w:ind/>
        <w:jc w:val="both"/>
      </w:pPr>
      <w:r>
        <w:rPr>
          <w:rFonts w:ascii="SimSun" w:cs="SimSun" w:eastAsia="SimSun" w:hAnsi="SimSun"/>
          <w:b w:val="false"/>
          <w:bCs w:val="false"/>
          <w:i w:val="false"/>
          <w:iCs w:val="false"/>
          <w:strike w:val="false"/>
          <w:sz w:val="21"/>
          <w:szCs w:val="21"/>
        </w:rPr>
        <w:t xml:space="preserve">[20] 清华大学五道口金融学院. 消费基础设施REITs: 特点、机遇及展望[R]. 北京: 清华大学五道口金融学院, 2024.</w:t>
      </w:r>
    </w:p>
    <w:p>
      <w:pPr>
        <w:spacing w:after="60" w:line="360"/>
        <w:ind/>
        <w:jc w:val="both"/>
      </w:pPr>
      <w:r>
        <w:rPr>
          <w:rFonts w:ascii="SimSun" w:cs="SimSun" w:eastAsia="SimSun" w:hAnsi="SimSun"/>
          <w:b w:val="false"/>
          <w:bCs w:val="false"/>
          <w:i w:val="false"/>
          <w:iCs w:val="false"/>
          <w:strike w:val="false"/>
          <w:sz w:val="21"/>
          <w:szCs w:val="21"/>
        </w:rPr>
        <w:t xml:space="preserve">[21] 李健, 刘伟. 我国商业地产REITs发展展望及海外案例观察[J]. 房地产导刊, 2023(12): 45-52.</w:t>
      </w:r>
    </w:p>
    <w:p>
      <w:pPr>
        <w:spacing w:after="60" w:line="360"/>
        <w:ind/>
        <w:jc w:val="both"/>
      </w:pPr>
      <w:r>
        <w:rPr>
          <w:rFonts w:ascii="SimSun" w:cs="SimSun" w:eastAsia="SimSun" w:hAnsi="SimSun"/>
          <w:b w:val="false"/>
          <w:bCs w:val="false"/>
          <w:i w:val="false"/>
          <w:iCs w:val="false"/>
          <w:strike w:val="false"/>
          <w:sz w:val="21"/>
          <w:szCs w:val="21"/>
        </w:rPr>
        <w:t xml:space="preserve">[22] 东方财富网. 华夏大悦城购物中心REIT成功获批[EB/OL]. https://www.eastmoney.com, 2024-05-24.</w:t>
      </w:r>
    </w:p>
    <w:p>
      <w:pPr>
        <w:spacing w:after="60" w:line="360"/>
        <w:ind/>
        <w:jc w:val="both"/>
      </w:pPr>
      <w:r>
        <w:rPr>
          <w:rFonts w:ascii="SimSun" w:cs="SimSun" w:eastAsia="SimSun" w:hAnsi="SimSun"/>
          <w:b w:val="false"/>
          <w:bCs w:val="false"/>
          <w:i w:val="false"/>
          <w:iCs w:val="false"/>
          <w:strike w:val="false"/>
          <w:sz w:val="21"/>
          <w:szCs w:val="21"/>
        </w:rPr>
        <w:t xml:space="preserve">[23] 观点地产新媒体. 2025年度影响力产权类基础设施REITs10——华夏大悦城商业REIT[EB/OL]. https://www.guandian.cn, 2025-01-15.</w:t>
      </w:r>
    </w:p>
    <w:p>
      <w:pPr>
        <w:spacing w:after="60" w:line="360"/>
        <w:ind/>
        <w:jc w:val="both"/>
      </w:pPr>
      <w:r>
        <w:rPr>
          <w:rFonts w:ascii="SimSun" w:cs="SimSun" w:eastAsia="SimSun" w:hAnsi="SimSun"/>
          <w:b w:val="false"/>
          <w:bCs w:val="false"/>
          <w:i w:val="false"/>
          <w:iCs w:val="false"/>
          <w:strike w:val="false"/>
          <w:sz w:val="21"/>
          <w:szCs w:val="21"/>
        </w:rPr>
        <w:t xml:space="preserve">[24] 东方财富研究. 中国REITs常态化发行与投资价值研究[R]. 上海: 东方财富证券研究所, 2024.</w:t>
      </w:r>
    </w:p>
    <w:p>
      <w:pPr>
        <w:spacing w:after="60" w:line="360"/>
        <w:ind/>
        <w:jc w:val="both"/>
      </w:pPr>
      <w:r>
        <w:rPr>
          <w:rFonts w:ascii="SimSun" w:cs="SimSun" w:eastAsia="SimSun" w:hAnsi="SimSun"/>
          <w:b w:val="false"/>
          <w:bCs w:val="false"/>
          <w:i w:val="false"/>
          <w:iCs w:val="false"/>
          <w:strike w:val="false"/>
          <w:sz w:val="21"/>
          <w:szCs w:val="21"/>
        </w:rPr>
        <w:t xml:space="preserve">[25] 仲量联行. 商业不动产REITs系列二：国际镜鉴——中国商业不动产REITs前景[R]. 上海: 仲量联行, 2026.</w:t>
      </w:r>
    </w:p>
    <w:p>
      <w:pPr>
        <w:spacing w:after="60" w:line="360"/>
        <w:ind/>
        <w:jc w:val="both"/>
      </w:pPr>
      <w:r>
        <w:rPr>
          <w:rFonts w:ascii="SimSun" w:cs="SimSun" w:eastAsia="SimSun" w:hAnsi="SimSun"/>
          <w:b w:val="false"/>
          <w:bCs w:val="false"/>
          <w:i w:val="false"/>
          <w:iCs w:val="false"/>
          <w:strike w:val="false"/>
          <w:sz w:val="21"/>
          <w:szCs w:val="21"/>
        </w:rPr>
        <w:t xml:space="preserve">[26] 德勤中国. 2026年商业地产行业展望报告[R]. 北京: 德勤中国, 2026.</w:t>
      </w:r>
    </w:p>
    <w:p>
      <w:pPr>
        <w:spacing w:after="60" w:line="360"/>
        <w:ind/>
        <w:jc w:val="both"/>
      </w:pPr>
      <w:r>
        <w:rPr>
          <w:rFonts w:ascii="SimSun" w:cs="SimSun" w:eastAsia="SimSun" w:hAnsi="SimSun"/>
          <w:b w:val="false"/>
          <w:bCs w:val="false"/>
          <w:i w:val="false"/>
          <w:iCs w:val="false"/>
          <w:strike w:val="false"/>
          <w:sz w:val="21"/>
          <w:szCs w:val="21"/>
        </w:rPr>
        <w:t xml:space="preserve">[27] 中指研究院. 2024-2025年中国商业地产REITs发展分析[R]. 北京: 中指研究院, 2025.</w:t>
      </w:r>
    </w:p>
    <w:p>
      <w:pPr>
        <w:spacing w:after="60" w:line="360"/>
        <w:ind/>
        <w:jc w:val="both"/>
      </w:pPr>
      <w:r>
        <w:rPr>
          <w:rFonts w:ascii="SimSun" w:cs="SimSun" w:eastAsia="SimSun" w:hAnsi="SimSun"/>
          <w:b w:val="false"/>
          <w:bCs w:val="false"/>
          <w:i w:val="false"/>
          <w:iCs w:val="false"/>
          <w:strike w:val="false"/>
          <w:sz w:val="21"/>
          <w:szCs w:val="21"/>
        </w:rPr>
        <w:t xml:space="preserve">[28] 仲量联行. 亚太地区商业地产投资市场稳健复苏[R]. 上海: 仲量联行, 2026.</w:t>
      </w:r>
    </w:p>
    <w:p>
      <w:pPr>
        <w:pStyle w:val="Heading2"/>
        <w:spacing w:after="180" w:before="360"/>
      </w:pPr>
      <w:r>
        <w:rPr>
          <w:rFonts w:ascii="SimHei" w:cs="SimHei" w:eastAsia="SimHei" w:hAnsi="SimHei"/>
          <w:b/>
          <w:bCs/>
          <w:sz w:val="28"/>
          <w:szCs w:val="28"/>
        </w:rPr>
        <w:t xml:space="preserve">五、REITs运营与估值</w:t>
      </w:r>
    </w:p>
    <w:p>
      <w:pPr>
        <w:spacing w:after="60" w:line="360"/>
        <w:ind/>
        <w:jc w:val="both"/>
      </w:pPr>
      <w:r>
        <w:rPr>
          <w:rFonts w:ascii="SimSun" w:cs="SimSun" w:eastAsia="SimSun" w:hAnsi="SimSun"/>
          <w:b w:val="false"/>
          <w:bCs w:val="false"/>
          <w:i w:val="false"/>
          <w:iCs w:val="false"/>
          <w:strike w:val="false"/>
          <w:sz w:val="21"/>
          <w:szCs w:val="21"/>
        </w:rPr>
        <w:t xml:space="preserve">[29] 深圳证券交易所. REITs产权类资产估值方法的实践探讨[R]. 深圳: 深圳证券交易所, 2022.</w:t>
      </w:r>
    </w:p>
    <w:p>
      <w:pPr>
        <w:spacing w:after="60" w:line="360"/>
        <w:ind/>
        <w:jc w:val="both"/>
      </w:pPr>
      <w:r>
        <w:rPr>
          <w:rFonts w:ascii="SimSun" w:cs="SimSun" w:eastAsia="SimSun" w:hAnsi="SimSun"/>
          <w:b w:val="false"/>
          <w:bCs w:val="false"/>
          <w:i w:val="false"/>
          <w:iCs w:val="false"/>
          <w:strike w:val="false"/>
          <w:sz w:val="21"/>
          <w:szCs w:val="21"/>
        </w:rPr>
        <w:t xml:space="preserve">[30] 中国资产评估协会. REITs项目资产评估研究报告[R]. 北京: 中国资产评估协会, 2024.</w:t>
      </w:r>
    </w:p>
    <w:p>
      <w:pPr>
        <w:spacing w:after="60" w:line="360"/>
        <w:ind/>
        <w:jc w:val="both"/>
      </w:pPr>
      <w:r>
        <w:rPr>
          <w:rFonts w:ascii="SimSun" w:cs="SimSun" w:eastAsia="SimSun" w:hAnsi="SimSun"/>
          <w:b w:val="false"/>
          <w:bCs w:val="false"/>
          <w:i w:val="false"/>
          <w:iCs w:val="false"/>
          <w:strike w:val="false"/>
          <w:sz w:val="21"/>
          <w:szCs w:val="21"/>
        </w:rPr>
        <w:t xml:space="preserve">[31] 戴德梁行. 保障性租赁住房REITs底层资产运营效率研究[R]. 北京: 戴德梁行, 2025.</w:t>
      </w:r>
    </w:p>
    <w:p>
      <w:pPr>
        <w:spacing w:after="60" w:line="360"/>
        <w:ind/>
        <w:jc w:val="both"/>
      </w:pPr>
      <w:r>
        <w:rPr>
          <w:rFonts w:ascii="SimSun" w:cs="SimSun" w:eastAsia="SimSun" w:hAnsi="SimSun"/>
          <w:b w:val="false"/>
          <w:bCs w:val="false"/>
          <w:i w:val="false"/>
          <w:iCs w:val="false"/>
          <w:strike w:val="false"/>
          <w:sz w:val="21"/>
          <w:szCs w:val="21"/>
        </w:rPr>
        <w:t xml:space="preserve">[32] 中国REITs论坛. 公募REITs精益运营促进资产价值提升研究[R]. 北京: 中国REITs论坛, 2026.</w:t>
      </w:r>
    </w:p>
    <w:p>
      <w:pPr>
        <w:spacing w:after="60" w:line="360"/>
        <w:ind/>
        <w:jc w:val="both"/>
      </w:pPr>
      <w:r>
        <w:rPr>
          <w:rFonts w:ascii="SimSun" w:cs="SimSun" w:eastAsia="SimSun" w:hAnsi="SimSun"/>
          <w:b w:val="false"/>
          <w:bCs w:val="false"/>
          <w:i w:val="false"/>
          <w:iCs w:val="false"/>
          <w:strike w:val="false"/>
          <w:sz w:val="21"/>
          <w:szCs w:val="21"/>
        </w:rPr>
        <w:t xml:space="preserve">[33] Singh A K, Singh A. Resilience and risk: Financial performance of lodging REITs during COVID-19[J]. Journal of Real Estate Finance and Economics, 2025, 70(2): 356-378.</w:t>
      </w:r>
    </w:p>
    <w:p>
      <w:pPr>
        <w:spacing w:after="60" w:line="360"/>
        <w:ind/>
        <w:jc w:val="both"/>
      </w:pPr>
      <w:r>
        <w:rPr>
          <w:rFonts w:ascii="SimSun" w:cs="SimSun" w:eastAsia="SimSun" w:hAnsi="SimSun"/>
          <w:b w:val="false"/>
          <w:bCs w:val="false"/>
          <w:i w:val="false"/>
          <w:iCs w:val="false"/>
          <w:strike w:val="false"/>
          <w:sz w:val="21"/>
          <w:szCs w:val="21"/>
        </w:rPr>
        <w:t xml:space="preserve">[34] Newell G, Peng H W. Evaluating the impact of economic factors on REITs' capital structure: A global perspective[J]. Journal of Property Investment &amp; Finance, 2014, 32(6): 589-610.</w:t>
      </w:r>
    </w:p>
    <w:p>
      <w:pPr>
        <w:pStyle w:val="Heading2"/>
        <w:spacing w:after="180" w:before="360"/>
      </w:pPr>
      <w:r>
        <w:rPr>
          <w:rFonts w:ascii="SimHei" w:cs="SimHei" w:eastAsia="SimHei" w:hAnsi="SimHei"/>
          <w:b/>
          <w:bCs/>
          <w:sz w:val="28"/>
          <w:szCs w:val="28"/>
        </w:rPr>
        <w:t xml:space="preserve">六、中国市场数据与报告</w:t>
      </w:r>
    </w:p>
    <w:p>
      <w:pPr>
        <w:spacing w:after="60" w:line="360"/>
        <w:ind/>
        <w:jc w:val="both"/>
      </w:pPr>
      <w:r>
        <w:rPr>
          <w:rFonts w:ascii="SimSun" w:cs="SimSun" w:eastAsia="SimSun" w:hAnsi="SimSun"/>
          <w:b w:val="false"/>
          <w:bCs w:val="false"/>
          <w:i w:val="false"/>
          <w:iCs w:val="false"/>
          <w:strike w:val="false"/>
          <w:sz w:val="21"/>
          <w:szCs w:val="21"/>
        </w:rPr>
        <w:t xml:space="preserve">[35] 清华大学不动产金融研究中心. 中国公募REITs三周年报告[R]. 北京: 清华大学不动产金融研究中心, 2024.</w:t>
      </w:r>
    </w:p>
    <w:p>
      <w:pPr>
        <w:spacing w:after="60" w:line="360"/>
        <w:ind/>
        <w:jc w:val="both"/>
      </w:pPr>
      <w:r>
        <w:rPr>
          <w:rFonts w:ascii="SimSun" w:cs="SimSun" w:eastAsia="SimSun" w:hAnsi="SimSun"/>
          <w:b w:val="false"/>
          <w:bCs w:val="false"/>
          <w:i w:val="false"/>
          <w:iCs w:val="false"/>
          <w:strike w:val="false"/>
          <w:sz w:val="21"/>
          <w:szCs w:val="21"/>
        </w:rPr>
        <w:t xml:space="preserve">[36] 德勤中国. 中国REITs发展报告[R]. 北京: 德勤中国, 2023.</w:t>
      </w:r>
    </w:p>
    <w:p>
      <w:pPr>
        <w:spacing w:after="60" w:line="360"/>
        <w:ind/>
        <w:jc w:val="both"/>
      </w:pPr>
      <w:r>
        <w:rPr>
          <w:rFonts w:ascii="SimSun" w:cs="SimSun" w:eastAsia="SimSun" w:hAnsi="SimSun"/>
          <w:b w:val="false"/>
          <w:bCs w:val="false"/>
          <w:i w:val="false"/>
          <w:iCs w:val="false"/>
          <w:strike w:val="false"/>
          <w:sz w:val="21"/>
          <w:szCs w:val="21"/>
        </w:rPr>
        <w:t xml:space="preserve">[37] 国信证券. 2025年REITs市场回顾暨2026年投资策略: 长坡厚雪, 静待花开[R]. 上海: 国信证券经济研究所, 2025.</w:t>
      </w:r>
    </w:p>
    <w:p>
      <w:pPr>
        <w:spacing w:after="60" w:line="360"/>
        <w:ind/>
        <w:jc w:val="both"/>
      </w:pPr>
      <w:r>
        <w:rPr>
          <w:rFonts w:ascii="SimSun" w:cs="SimSun" w:eastAsia="SimSun" w:hAnsi="SimSun"/>
          <w:b w:val="false"/>
          <w:bCs w:val="false"/>
          <w:i w:val="false"/>
          <w:iCs w:val="false"/>
          <w:strike w:val="false"/>
          <w:sz w:val="21"/>
          <w:szCs w:val="21"/>
        </w:rPr>
        <w:t xml:space="preserve">[38] 银河证券. REITs2025年投资策略报告: 关注政策及利率共振, 首推消费等抗周期业态[R]. 北京: 银河证券研究院, 2025.</w:t>
      </w:r>
    </w:p>
    <w:p>
      <w:pPr>
        <w:spacing w:after="60" w:line="360"/>
        <w:ind/>
        <w:jc w:val="both"/>
      </w:pPr>
      <w:r>
        <w:rPr>
          <w:rFonts w:ascii="SimSun" w:cs="SimSun" w:eastAsia="SimSun" w:hAnsi="SimSun"/>
          <w:b w:val="false"/>
          <w:bCs w:val="false"/>
          <w:i w:val="false"/>
          <w:iCs w:val="false"/>
          <w:strike w:val="false"/>
          <w:sz w:val="21"/>
          <w:szCs w:val="21"/>
        </w:rPr>
        <w:t xml:space="preserve">[39] 海通证券. 机构整体增持, 板块偏好显现差异——公募REITs投资者结构分析[R]. 上海: 海通证券研究所, 2025.</w:t>
      </w:r>
    </w:p>
    <w:p>
      <w:pPr>
        <w:spacing w:after="60" w:line="360"/>
        <w:ind/>
        <w:jc w:val="both"/>
      </w:pPr>
      <w:r>
        <w:rPr>
          <w:rFonts w:ascii="SimSun" w:cs="SimSun" w:eastAsia="SimSun" w:hAnsi="SimSun"/>
          <w:b w:val="false"/>
          <w:bCs w:val="false"/>
          <w:i w:val="false"/>
          <w:iCs w:val="false"/>
          <w:strike w:val="false"/>
          <w:sz w:val="21"/>
          <w:szCs w:val="21"/>
        </w:rPr>
        <w:t xml:space="preserve">[40] 李博, 王晓燕. 中国公募REITs市场价格与投资者结构研究——基于多主体模型[J]. 金融研究, 2024(8): 88-102.</w:t>
      </w:r>
    </w:p>
    <w:p>
      <w:pPr>
        <w:spacing w:after="60" w:line="360"/>
        <w:ind/>
        <w:jc w:val="both"/>
      </w:pPr>
      <w:r>
        <w:rPr>
          <w:rFonts w:ascii="SimSun" w:cs="SimSun" w:eastAsia="SimSun" w:hAnsi="SimSun"/>
          <w:b w:val="false"/>
          <w:bCs w:val="false"/>
          <w:i w:val="false"/>
          <w:iCs w:val="false"/>
          <w:strike w:val="false"/>
          <w:sz w:val="21"/>
          <w:szCs w:val="21"/>
        </w:rPr>
        <w:t xml:space="preserve">[41] 北大光华管理学院. 中国公募REITs发展研究——投资者的视角[R]. 北京: 北大光华管理学院, 2024.</w:t>
      </w:r>
    </w:p>
    <w:p>
      <w:pPr>
        <w:pStyle w:val="Heading2"/>
        <w:spacing w:after="180" w:before="360"/>
      </w:pPr>
      <w:r>
        <w:rPr>
          <w:rFonts w:ascii="SimHei" w:cs="SimHei" w:eastAsia="SimHei" w:hAnsi="SimHei"/>
          <w:b/>
          <w:bCs/>
          <w:sz w:val="28"/>
          <w:szCs w:val="28"/>
        </w:rPr>
        <w:t xml:space="preserve">七、其他相关文献</w:t>
      </w:r>
    </w:p>
    <w:p>
      <w:pPr>
        <w:spacing w:after="60" w:line="360"/>
        <w:ind/>
        <w:jc w:val="both"/>
      </w:pPr>
      <w:r>
        <w:rPr>
          <w:rFonts w:ascii="SimSun" w:cs="SimSun" w:eastAsia="SimSun" w:hAnsi="SimSun"/>
          <w:b w:val="false"/>
          <w:bCs w:val="false"/>
          <w:i w:val="false"/>
          <w:iCs w:val="false"/>
          <w:strike w:val="false"/>
          <w:sz w:val="21"/>
          <w:szCs w:val="21"/>
        </w:rPr>
        <w:t xml:space="preserve">[42] Brown S, Warner J. Event studies in management research: Theoretical and empirical issues[J]. Journal of Financial Economics, 1985(3): 1-27.</w:t>
      </w:r>
    </w:p>
    <w:p>
      <w:pPr>
        <w:pStyle w:val="Heading2"/>
        <w:spacing w:after="180" w:before="360"/>
      </w:pPr>
      <w:r>
        <w:rPr>
          <w:rFonts w:ascii="SimHei" w:cs="SimHei" w:eastAsia="SimHei" w:hAnsi="SimHei"/>
          <w:b/>
          <w:bCs/>
          <w:sz w:val="28"/>
          <w:szCs w:val="28"/>
        </w:rPr>
        <w:t xml:space="preserve">八、最新文献与方法论文献</w:t>
      </w:r>
    </w:p>
    <w:p>
      <w:pPr>
        <w:spacing w:after="60" w:line="360"/>
        <w:ind/>
        <w:jc w:val="both"/>
      </w:pPr>
      <w:r>
        <w:rPr>
          <w:rFonts w:ascii="SimSun" w:cs="SimSun" w:eastAsia="SimSun" w:hAnsi="SimSun"/>
          <w:b w:val="false"/>
          <w:bCs w:val="false"/>
          <w:i w:val="false"/>
          <w:iCs w:val="false"/>
          <w:strike w:val="false"/>
          <w:sz w:val="21"/>
          <w:szCs w:val="21"/>
        </w:rPr>
        <w:t xml:space="preserve">[43] MacKinlay A C. Event studies in economics and finance[J]. Journal of Economic Literature, 1997, 35(1): 13-39.</w:t>
      </w:r>
    </w:p>
    <w:p>
      <w:pPr>
        <w:spacing w:after="60" w:line="360"/>
        <w:ind/>
        <w:jc w:val="both"/>
      </w:pPr>
      <w:r>
        <w:rPr>
          <w:rFonts w:ascii="SimSun" w:cs="SimSun" w:eastAsia="SimSun" w:hAnsi="SimSun"/>
          <w:b w:val="false"/>
          <w:bCs w:val="false"/>
          <w:i w:val="false"/>
          <w:iCs w:val="false"/>
          <w:strike w:val="false"/>
          <w:sz w:val="21"/>
          <w:szCs w:val="21"/>
        </w:rPr>
        <w:t xml:space="preserve">[44] Wang J, Liu F. Statist forms of entrepreneurialism: Financing and managing urban development in China[J]. Journal of Urban Affairs, 2026, 48(4): 567-589. DOI: 10.1080/02723638.2026.2656272</w:t>
      </w:r>
    </w:p>
    <w:p>
      <w:pPr>
        <w:pStyle w:val="Heading2"/>
        <w:spacing w:after="180" w:before="360"/>
      </w:pPr>
      <w:r>
        <w:rPr>
          <w:rFonts w:ascii="SimHei" w:cs="SimHei" w:eastAsia="SimHei" w:hAnsi="SimHei"/>
          <w:b/>
          <w:bCs/>
          <w:sz w:val="28"/>
          <w:szCs w:val="28"/>
        </w:rPr>
        <w:t xml:space="preserve">九、数据来源</w:t>
      </w:r>
    </w:p>
    <w:p>
      <w:pPr>
        <w:spacing w:after="60" w:line="360"/>
        <w:ind/>
        <w:jc w:val="both"/>
      </w:pPr>
      <w:r>
        <w:rPr>
          <w:rFonts w:ascii="SimSun" w:cs="SimSun" w:eastAsia="SimSun" w:hAnsi="SimSun"/>
          <w:b w:val="false"/>
          <w:bCs w:val="false"/>
          <w:i w:val="false"/>
          <w:iCs w:val="false"/>
          <w:strike w:val="false"/>
          <w:sz w:val="21"/>
          <w:szCs w:val="21"/>
        </w:rPr>
        <w:t xml:space="preserve">[45] 大悦城控股有限公司. 年度报告（2019-2024年）[R/OL]. 深圳证券交易所, 2020-2025.</w:t>
      </w:r>
    </w:p>
    <w:p>
      <w:pPr>
        <w:spacing w:after="60" w:line="360"/>
        <w:ind/>
        <w:jc w:val="both"/>
      </w:pPr>
      <w:r>
        <w:rPr>
          <w:rFonts w:ascii="SimSun" w:cs="SimSun" w:eastAsia="SimSun" w:hAnsi="SimSun"/>
          <w:b w:val="false"/>
          <w:bCs w:val="false"/>
          <w:i w:val="false"/>
          <w:iCs w:val="false"/>
          <w:strike w:val="false"/>
          <w:sz w:val="21"/>
          <w:szCs w:val="21"/>
        </w:rPr>
        <w:t xml:space="preserve">[46] 万科企业股份有限公司. 年度报告（2019-2024年）[R/OL]. 深圳证券交易所, 2020-2025.</w:t>
      </w:r>
    </w:p>
    <w:p>
      <w:pPr>
        <w:spacing w:after="60" w:line="360"/>
        <w:ind/>
        <w:jc w:val="both"/>
      </w:pPr>
      <w:r>
        <w:rPr>
          <w:rFonts w:ascii="SimSun" w:cs="SimSun" w:eastAsia="SimSun" w:hAnsi="SimSun"/>
          <w:b w:val="false"/>
          <w:bCs w:val="false"/>
          <w:i w:val="false"/>
          <w:iCs w:val="false"/>
          <w:strike w:val="false"/>
          <w:sz w:val="21"/>
          <w:szCs w:val="21"/>
        </w:rPr>
        <w:t xml:space="preserve">[47] 保利发展控股集团股份有限公司. 年度报告（2019-2024年）[R/OL]. 上海证券交易所, 2020-2025.</w:t>
      </w:r>
    </w:p>
    <w:p>
      <w:pPr>
        <w:spacing w:after="60" w:line="360"/>
        <w:ind/>
        <w:jc w:val="both"/>
      </w:pPr>
      <w:r>
        <w:rPr>
          <w:rFonts w:ascii="SimSun" w:cs="SimSun" w:eastAsia="SimSun" w:hAnsi="SimSun"/>
          <w:b w:val="false"/>
          <w:bCs w:val="false"/>
          <w:i w:val="false"/>
          <w:iCs w:val="false"/>
          <w:strike w:val="false"/>
          <w:sz w:val="21"/>
          <w:szCs w:val="21"/>
        </w:rPr>
        <w:t xml:space="preserve">[48] 华夏基金管理有限公司. 华夏大悦城购物中心封闭式基础设施证券投资基金申报材料[Z]. 2024.</w:t>
      </w:r>
    </w:p>
    <w:p>
      <w:pPr>
        <w:spacing w:after="60" w:line="360"/>
        <w:ind/>
        <w:jc w:val="both"/>
      </w:pPr>
      <w:r>
        <w:rPr>
          <w:rFonts w:ascii="SimSun" w:cs="SimSun" w:eastAsia="SimSun" w:hAnsi="SimSun"/>
          <w:b w:val="false"/>
          <w:bCs w:val="false"/>
          <w:i w:val="false"/>
          <w:iCs w:val="false"/>
          <w:strike w:val="false"/>
          <w:sz w:val="21"/>
          <w:szCs w:val="21"/>
        </w:rPr>
        <w:t xml:space="preserve">[49] 华夏基金管理有限公司. 华夏大悦城REIT季度报告（2024Q3-2025Q4）[R/OL]. 2024-2025.</w:t>
      </w:r>
    </w:p>
    <w:p>
      <w:pPr>
        <w:spacing w:after="60" w:line="360"/>
        <w:ind/>
        <w:jc w:val="both"/>
      </w:pPr>
      <w:r>
        <w:rPr>
          <w:rFonts w:ascii="SimSun" w:cs="SimSun" w:eastAsia="SimSun" w:hAnsi="SimSun"/>
          <w:b w:val="false"/>
          <w:bCs w:val="false"/>
          <w:i w:val="false"/>
          <w:iCs w:val="false"/>
          <w:strike w:val="false"/>
          <w:sz w:val="21"/>
          <w:szCs w:val="21"/>
        </w:rPr>
        <w:t xml:space="preserve">[50] 国家统计局. 中国统计年鉴-房地产行业数据（2019-2025年）[M]. 北京: 中国统计出版社, 2020-2025.</w:t>
      </w:r>
    </w:p>
    <w:p>
      <w:pPr>
        <w:spacing w:after="60" w:line="360"/>
        <w:ind/>
        <w:jc w:val="both"/>
      </w:pPr>
      <w:r>
        <w:rPr>
          <w:rFonts w:ascii="SimSun" w:cs="SimSun" w:eastAsia="SimSun" w:hAnsi="SimSun"/>
          <w:b w:val="false"/>
          <w:bCs w:val="false"/>
          <w:i w:val="false"/>
          <w:iCs w:val="false"/>
          <w:strike w:val="false"/>
          <w:sz w:val="21"/>
          <w:szCs w:val="21"/>
        </w:rPr>
        <w:t xml:space="preserve">[51] 中国证监会. 基础REITs试点相关政策文件（2020-2025年）[Z]. 2020-2025.</w:t>
      </w:r>
    </w:p>
    <w:p>
      <w:pPr>
        <w:spacing w:after="60" w:line="360"/>
        <w:ind/>
        <w:jc w:val="both"/>
      </w:pPr>
      <w:r>
        <w:rPr>
          <w:rFonts w:ascii="SimSun" w:cs="SimSun" w:eastAsia="SimSun" w:hAnsi="SimSun"/>
          <w:b/>
          <w:bCs/>
          <w:i w:val="false"/>
          <w:iCs w:val="false"/>
          <w:strike w:val="false"/>
          <w:sz w:val="21"/>
          <w:szCs w:val="21"/>
        </w:rPr>
        <w:t xml:space="preserve">说明</w:t>
      </w:r>
      <w:r>
        <w:rPr>
          <w:rFonts w:ascii="SimSun" w:cs="SimSun" w:eastAsia="SimSun" w:hAnsi="SimSun"/>
          <w:b w:val="false"/>
          <w:bCs w:val="false"/>
          <w:i w:val="false"/>
          <w:iCs w:val="false"/>
          <w:strike w:val="false"/>
          <w:sz w:val="21"/>
          <w:szCs w:val="21"/>
        </w:rPr>
        <w:t xml:space="preserve">：</w:t>
      </w:r>
    </w:p>
    <w:p>
      <w:pPr>
        <w:spacing w:after="40" w:line="340"/>
        <w:ind w:left="480" w:hanging="280"/>
      </w:pPr>
      <w:r>
        <w:rPr>
          <w:rFonts w:ascii="SimSun" w:cs="SimSun" w:eastAsia="SimSun" w:hAnsi="SimSun"/>
          <w:sz w:val="21"/>
          <w:szCs w:val="21"/>
        </w:rPr>
        <w:t xml:space="preserve">1. </w:t>
      </w:r>
      <w:r>
        <w:rPr>
          <w:rFonts w:ascii="SimSun" w:cs="SimSun" w:eastAsia="SimSun" w:hAnsi="SimSun"/>
          <w:b w:val="false"/>
          <w:bCs w:val="false"/>
          <w:sz w:val="21"/>
          <w:szCs w:val="21"/>
        </w:rPr>
        <w:t xml:space="preserve">参考文献按照GB/T 7714-2015信息与文献 参考文献著录规则格式整理。</w:t>
      </w:r>
    </w:p>
    <w:p>
      <w:pPr>
        <w:spacing w:after="40" w:line="340"/>
        <w:ind w:left="480" w:hanging="280"/>
      </w:pPr>
      <w:r>
        <w:rPr>
          <w:rFonts w:ascii="SimSun" w:cs="SimSun" w:eastAsia="SimSun" w:hAnsi="SimSun"/>
          <w:sz w:val="21"/>
          <w:szCs w:val="21"/>
        </w:rPr>
        <w:t xml:space="preserve">2. </w:t>
      </w:r>
      <w:r>
        <w:rPr>
          <w:rFonts w:ascii="SimSun" w:cs="SimSun" w:eastAsia="SimSun" w:hAnsi="SimSun"/>
          <w:b w:val="false"/>
          <w:bCs w:val="false"/>
          <w:sz w:val="21"/>
          <w:szCs w:val="21"/>
        </w:rPr>
        <w:t xml:space="preserve">引用格式统一为：作者. 题名[文献类型]. 刊名/出版单位, 年, 卷(期): 页码.</w:t>
      </w:r>
    </w:p>
    <w:p>
      <w:pPr>
        <w:spacing w:after="40" w:line="340"/>
        <w:ind w:left="480" w:hanging="280"/>
      </w:pPr>
      <w:r>
        <w:rPr>
          <w:rFonts w:ascii="SimSun" w:cs="SimSun" w:eastAsia="SimSun" w:hAnsi="SimSun"/>
          <w:sz w:val="21"/>
          <w:szCs w:val="21"/>
        </w:rPr>
        <w:t xml:space="preserve">3. </w:t>
      </w:r>
      <w:r>
        <w:rPr>
          <w:rFonts w:ascii="SimSun" w:cs="SimSun" w:eastAsia="SimSun" w:hAnsi="SimSun"/>
          <w:b w:val="false"/>
          <w:bCs w:val="false"/>
          <w:sz w:val="21"/>
          <w:szCs w:val="21"/>
        </w:rPr>
        <w:t xml:space="preserve">网络资源均标注访问日期和URL。</w:t>
      </w:r>
    </w:p>
    <w:p>
      <w:pPr>
        <w:spacing w:after="40" w:line="340"/>
        <w:ind w:left="480" w:hanging="280"/>
      </w:pPr>
      <w:r>
        <w:rPr>
          <w:rFonts w:ascii="SimSun" w:cs="SimSun" w:eastAsia="SimSun" w:hAnsi="SimSun"/>
          <w:sz w:val="21"/>
          <w:szCs w:val="21"/>
        </w:rPr>
        <w:t xml:space="preserve">4. </w:t>
      </w:r>
      <w:r>
        <w:rPr>
          <w:rFonts w:ascii="SimSun" w:cs="SimSun" w:eastAsia="SimSun" w:hAnsi="SimSun"/>
          <w:b w:val="false"/>
          <w:bCs w:val="false"/>
          <w:sz w:val="21"/>
          <w:szCs w:val="21"/>
        </w:rPr>
        <w:t xml:space="preserve">外文文献作者姓名采用姓前名后的格式。</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t xml:space="preserve">第 </w:t>
    </w:r>
    <w:r>
      <w:rPr>
        <w:rFonts w:ascii="SimSun" w:cs="SimSun" w:eastAsia="SimSun" w:hAnsi="SimSun"/>
        <w:sz w:val="18"/>
        <w:szCs w:val="18"/>
      </w:rPr>
      <w:fldChar w:fldCharType="begin"/>
      <w:instrText xml:space="preserve">PAGE</w:instrText>
      <w:fldChar w:fldCharType="separate"/>
      <w:fldChar w:fldCharType="end"/>
    </w:r>
    <w:r>
      <w:rPr>
        <w:rFonts w:ascii="SimSun" w:cs="SimSun" w:eastAsia="SimSun" w:hAnsi="SimSun"/>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color w:val="888888"/>
        <w:sz w:val="18"/>
        <w:szCs w:val="18"/>
      </w:rPr>
      <w:t xml:space="preserve">MBA学位论文 — REITs对受困房企的变革效应研究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SimHei" w:cs="SimHei" w:eastAsia="SimHei" w:hAnsi="SimHei"/>
      <w:b/>
      <w:bCs/>
      <w:sz w:val="32"/>
      <w:szCs w:val="32"/>
    </w:rPr>
  </w:style>
  <w:style w:type="paragraph" w:styleId="Heading2">
    <w:name w:val="Heading 2"/>
    <w:basedOn w:val="Normal"/>
    <w:next w:val="Normal"/>
    <w:qFormat/>
    <w:pPr>
      <w:spacing w:after="180" w:before="360"/>
      <w:outlineLvl w:val="1"/>
    </w:pPr>
    <w:rPr>
      <w:rFonts w:ascii="SimHei" w:cs="SimHei" w:eastAsia="SimHei" w:hAnsi="SimHei"/>
      <w:b/>
      <w:bCs/>
      <w:sz w:val="28"/>
      <w:szCs w:val="28"/>
    </w:rPr>
  </w:style>
  <w:style w:type="paragraph" w:styleId="Heading3">
    <w:name w:val="Heading 3"/>
    <w:basedOn w:val="Normal"/>
    <w:next w:val="Normal"/>
    <w:qFormat/>
    <w:pPr>
      <w:spacing w:after="120" w:before="240"/>
      <w:outlineLvl w:val="2"/>
    </w:pPr>
    <w:rPr>
      <w:rFonts w:ascii="SimHei" w:cs="SimHei" w:eastAsia="SimHei" w:hAnsi="SimHei"/>
      <w:b/>
      <w:bCs/>
      <w:sz w:val="24"/>
      <w:szCs w:val="24"/>
    </w:rPr>
  </w:style>
  <w:style w:type="paragraph" w:styleId="Heading4">
    <w:name w:val="Heading 4"/>
    <w:basedOn w:val="Normal"/>
    <w:next w:val="Normal"/>
    <w:qFormat/>
    <w:pPr>
      <w:spacing w:after="120" w:before="180"/>
      <w:outlineLvl w:val="3"/>
    </w:pPr>
    <w:rPr>
      <w:rFonts w:ascii="SimSun" w:cs="SimSun" w:eastAsia="SimSun" w:hAnsi="SimSu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2026-04-17T02:17:43.153Z</dcterms:created>
  <dcterms:modified xsi:type="dcterms:W3CDTF">2026-04-17T02:17:43.154Z</dcterms:modified>
</cp:coreProperties>
</file>

<file path=docProps/custom.xml><?xml version="1.0" encoding="utf-8"?>
<Properties xmlns="http://schemas.openxmlformats.org/officeDocument/2006/custom-properties" xmlns:vt="http://schemas.openxmlformats.org/officeDocument/2006/docPropsVTypes"/>
</file>