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b/>
          <w:bCs/>
          <w:sz w:val="32"/>
          <w:szCs w:val="32"/>
        </w:rPr>
        <w:t xml:space="preserve">第一章 绪论</w:t>
      </w:r>
    </w:p>
    <w:p>
      <w:pPr>
        <w:pStyle w:val="Heading2"/>
        <w:spacing w:after="150" w:before="300"/>
      </w:pPr>
      <w:r>
        <w:rPr>
          <w:b/>
          <w:bCs/>
          <w:sz w:val="28"/>
          <w:szCs w:val="28"/>
        </w:rPr>
        <w:t xml:space="preserve">1.1 研究背景与问题提出</w:t>
      </w:r>
    </w:p>
    <w:p>
      <w:pPr>
        <w:pStyle w:val="Heading3"/>
        <w:spacing w:after="100" w:before="200"/>
      </w:pPr>
      <w:r>
        <w:rPr>
          <w:b/>
          <w:bCs/>
          <w:sz w:val="26"/>
          <w:szCs w:val="26"/>
        </w:rPr>
        <w:t xml:space="preserve">1.1.1 行业困境：重资产模式的不可持续性</w:t>
      </w:r>
    </w:p>
    <w:p>
      <w:pPr>
        <w:spacing w:after="200" w:line="360"/>
        <w:ind w:firstLine="480"/>
      </w:pPr>
      <w:r>
        <w:rPr>
          <w:sz w:val="24"/>
          <w:szCs w:val="24"/>
        </w:rPr>
        <w:t xml:space="preserve">中国商业地产行业正经历一场深刻的结构性危机。2024年，A股和港股上市的商业地产企业平均资产负债率超过75%，其中大悦城控股资产负债率高达79.37%，新城控股72.82%，即便是行业龙头的龙湖集团，净借贷比率也维持在50%以上。高杠杆、重资产、长周期的传统"开发-持有"模式，在融资渠道持续收窄、销售回款放缓、存量资产难以盘活的三重压力下，已难以为继。</w:t>
      </w:r>
    </w:p>
    <w:p>
      <w:pPr>
        <w:spacing w:after="200" w:line="360"/>
        <w:ind w:firstLine="480"/>
      </w:pPr>
      <w:r>
        <w:rPr>
          <w:sz w:val="24"/>
          <w:szCs w:val="24"/>
        </w:rPr>
        <w:t xml:space="preserve">这一困境的根源在于商业地产的商业模式本身。与住宅开发"拿地-开发-销售"的快速周转不同，商业地产需要长期持有运营，投资回收期通常长达10至15年。企业将大量资本沉淀在投资性房地产中，既推高了资产负债率，又压缩了再投资能力。以华润置地为例，2020年末其投资性房地产账面价值高达2363亿元，占总资产的比重超过30%，而同期开发业务毛利率持续下滑，从2019年的50.3%降至2022年的22.2%。重资产持有模式下的"资产沉淀-负债攀升-盈利承压"恶性循环，迫使商业地产企业不得不寻求转型出路。</w:t>
      </w:r>
    </w:p>
    <w:p>
      <w:pPr>
        <w:pStyle w:val="Heading3"/>
        <w:spacing w:after="100" w:before="200"/>
      </w:pPr>
      <w:r>
        <w:rPr>
          <w:b/>
          <w:bCs/>
          <w:sz w:val="26"/>
          <w:szCs w:val="26"/>
        </w:rPr>
        <w:t xml:space="preserve">1.1.2 转型趋势：从重资产持有到轻资产运营</w:t>
      </w:r>
    </w:p>
    <w:p>
      <w:pPr>
        <w:spacing w:after="200" w:line="360"/>
        <w:ind w:firstLine="480"/>
      </w:pPr>
      <w:r>
        <w:rPr>
          <w:sz w:val="24"/>
          <w:szCs w:val="24"/>
        </w:rPr>
        <w:t xml:space="preserve">轻资产转型已成为商业地产行业的共识性方向。所谓轻资产运营，是指企业通过品牌输出、管理服务、资本运作等方式，以较少的资本投入获取运营管理收益，而非依赖资产持有获取租金和增值收益。这一模式的核心在于将"资产持有者"与"资产运营者"的角色分离，使企业从资本密集型的资产持有模式转向智力密集型的运营管理模式。</w:t>
      </w:r>
    </w:p>
    <w:p>
      <w:pPr>
        <w:spacing w:after="200" w:line="360"/>
        <w:ind w:firstLine="480"/>
      </w:pPr>
      <w:r>
        <w:rPr>
          <w:sz w:val="24"/>
          <w:szCs w:val="24"/>
        </w:rPr>
        <w:t xml:space="preserve">国际经验表明，轻资产转型是商业地产企业穿越周期的关键路径。美国西蒙地产集团（Simon Property Group）通过REITs架构实现了"开发-运营-退出-再投资"的资本循环；新加坡凯德集团构建了"私募基金+REITs"的双轮驱动模式，将资产负债率从转型前的78%降至2024年的约42%。在中国，华润置地开创了"商管平台分拆上市+REITs发行"的双平台模式，成为国内商业地产轻资产转型的标杆案例。</w:t>
      </w:r>
    </w:p>
    <w:p>
      <w:pPr>
        <w:spacing w:after="200" w:line="360"/>
        <w:ind w:firstLine="480"/>
      </w:pPr>
      <w:r>
        <w:rPr>
          <w:sz w:val="24"/>
          <w:szCs w:val="24"/>
        </w:rPr>
        <w:t xml:space="preserve">华润万象生活2024年实现营业收入177.47亿元，同比增长15.67%；归母净利润36.29亿元，同比增长23.92%；毛利率34.1%，显著高于传统开发业务。更为关键的是，华润置地的经常性业务利润占比从2020年的约28%提升至2024年的40.7%，盈利结构的改善直接印证了轻资产转型的财务效应。</w:t>
      </w:r>
    </w:p>
    <w:p>
      <w:pPr>
        <w:pStyle w:val="Heading3"/>
        <w:spacing w:after="100" w:before="200"/>
      </w:pPr>
      <w:r>
        <w:rPr>
          <w:b/>
          <w:bCs/>
          <w:sz w:val="26"/>
          <w:szCs w:val="26"/>
        </w:rPr>
        <w:t xml:space="preserve">1.1.3 政策突破：REITs市场的制度性机遇</w:t>
      </w:r>
    </w:p>
    <w:p>
      <w:pPr>
        <w:spacing w:after="200" w:line="360"/>
        <w:ind w:firstLine="480"/>
      </w:pPr>
      <w:r>
        <w:rPr>
          <w:sz w:val="24"/>
          <w:szCs w:val="24"/>
        </w:rPr>
        <w:t xml:space="preserve">REITs（不动产投资信托基金）作为轻资产转型的关键金融工具，在中国经历了从无到有的制度性突破。2020年4月，中国证监会和国家发改委联合发布《关于推进基础设施领域不动产投资信托基金（REITs）试点相关工作的通知》，标志着中国公募REITs正式启航。此后，REITs市场经历了三个关键阶段：</w:t>
      </w:r>
    </w:p>
    <w:p>
      <w:pPr>
        <w:spacing w:after="200" w:line="360"/>
        <w:ind w:firstLine="480"/>
      </w:pPr>
      <w:r>
        <w:rPr>
          <w:sz w:val="24"/>
          <w:szCs w:val="24"/>
        </w:rPr>
        <w:t xml:space="preserve">第一阶段（2020-2022年）：基础设施REITs试点，聚焦产业园、仓储物流、收费公路等领域，首批9只产品于2021年6月上市，合计募资314亿元。</w:t>
      </w:r>
    </w:p>
    <w:p>
      <w:pPr>
        <w:spacing w:after="200" w:line="360"/>
        <w:ind w:firstLine="480"/>
      </w:pPr>
      <w:r>
        <w:rPr>
          <w:sz w:val="24"/>
          <w:szCs w:val="24"/>
        </w:rPr>
        <w:t xml:space="preserve">第二阶段（2023-2024年）：消费类REITs扩容。2023年3月，证监会发布《关于进一步推进基础设施等REITs常态化发行相关工作的通知》，将百货商场、购物中心等消费基础设施纳入REITs底层资产范围。2024年，华夏华润商业REIT、华夏大悦城商业REIT、中金印力消费REIT等消费类REITs相继上市，全年消费类REITs发行规模超过200亿元。</w:t>
      </w:r>
    </w:p>
    <w:p>
      <w:pPr>
        <w:spacing w:after="200" w:line="360"/>
        <w:ind w:firstLine="480"/>
      </w:pPr>
      <w:r>
        <w:rPr>
          <w:sz w:val="24"/>
          <w:szCs w:val="24"/>
        </w:rPr>
        <w:t xml:space="preserve">第三阶段（2025年至今）：常态化发行与市场扩容。REITs发行从审批制转向注册制，市场进入常态化发行阶段。截至2025年3月，中国公募REITs市场总规模突破1800亿元，已上市产品超过50只，消费类REITs成为增长最快的品类。</w:t>
      </w:r>
    </w:p>
    <w:p>
      <w:pPr>
        <w:spacing w:after="200" w:line="360"/>
        <w:ind w:firstLine="480"/>
      </w:pPr>
      <w:r>
        <w:rPr>
          <w:sz w:val="24"/>
          <w:szCs w:val="24"/>
        </w:rPr>
        <w:t xml:space="preserve">表1-1 中国公募REITs市场发展里程碑</w:t>
      </w:r>
    </w:p>
    <w:p>
      <w:pPr>
        <w:spacing w:after="100"/>
      </w:pPr>
      <w:r>
        <w:rPr>
          <w:sz w:val="20"/>
          <w:szCs w:val="20"/>
        </w:rPr>
        <w:t xml:space="preserve">时间 | 事件 | 意义</w:t>
      </w:r>
    </w:p>
    <w:p>
      <w:pPr>
        <w:spacing w:after="100"/>
      </w:pPr>
      <w:r>
        <w:rPr>
          <w:sz w:val="20"/>
          <w:szCs w:val="20"/>
        </w:rPr>
        <w:t xml:space="preserve">2020年4月 | 证监会、发改委联合发布REITs试点通知 | 公募REITs正式启航</w:t>
      </w:r>
    </w:p>
    <w:p>
      <w:pPr>
        <w:spacing w:after="100"/>
      </w:pPr>
      <w:r>
        <w:rPr>
          <w:sz w:val="20"/>
          <w:szCs w:val="20"/>
        </w:rPr>
        <w:t xml:space="preserve">2021年6月 | 首批9只基础设施REITs上市 | 市场正式建立</w:t>
      </w:r>
    </w:p>
    <w:p>
      <w:pPr>
        <w:spacing w:after="100"/>
      </w:pPr>
      <w:r>
        <w:rPr>
          <w:sz w:val="20"/>
          <w:szCs w:val="20"/>
        </w:rPr>
        <w:t xml:space="preserve">2022年12月 | REITs扩募机制启动 | 市场进入2.0阶段</w:t>
      </w:r>
    </w:p>
    <w:p>
      <w:pPr>
        <w:spacing w:after="100"/>
      </w:pPr>
      <w:r>
        <w:rPr>
          <w:sz w:val="20"/>
          <w:szCs w:val="20"/>
        </w:rPr>
        <w:t xml:space="preserve">2023年3月 | 消费基础设施纳入REITs底层资产 | 商业地产REITs通道打开</w:t>
      </w:r>
    </w:p>
    <w:p>
      <w:pPr>
        <w:spacing w:after="100"/>
      </w:pPr>
      <w:r>
        <w:rPr>
          <w:sz w:val="20"/>
          <w:szCs w:val="20"/>
        </w:rPr>
        <w:t xml:space="preserve">2024年3月 | 华夏华润商业REIT上市（69.23亿元） | 首单央企消费REITs</w:t>
      </w:r>
    </w:p>
    <w:p>
      <w:pPr>
        <w:spacing w:after="100"/>
      </w:pPr>
      <w:r>
        <w:rPr>
          <w:sz w:val="20"/>
          <w:szCs w:val="20"/>
        </w:rPr>
        <w:t xml:space="preserve">2024年9月 | 华夏大悦城商业REIT上市（33亿元） | 首单房企消费REITs</w:t>
      </w:r>
    </w:p>
    <w:p>
      <w:pPr>
        <w:spacing w:after="100"/>
      </w:pPr>
      <w:r>
        <w:rPr>
          <w:sz w:val="20"/>
          <w:szCs w:val="20"/>
        </w:rPr>
        <w:t xml:space="preserve">2025年9月 | 华夏凯德商业REIT上市（22.87亿元） | 首单外资消费REITs</w:t>
      </w:r>
    </w:p>
    <w:p>
      <w:pPr>
        <w:spacing w:after="100"/>
      </w:pPr>
      <w:r>
        <w:rPr>
          <w:sz w:val="20"/>
          <w:szCs w:val="20"/>
        </w:rPr>
        <w:t xml:space="preserve">2025年 | REITs发行转为注册制，常态化发行 | 市场进入成熟期</w:t>
      </w:r>
    </w:p>
    <w:p>
      <w:pPr>
        <w:pStyle w:val="Heading3"/>
        <w:spacing w:after="100" w:before="200"/>
      </w:pPr>
      <w:r>
        <w:rPr>
          <w:b/>
          <w:bCs/>
          <w:sz w:val="26"/>
          <w:szCs w:val="26"/>
        </w:rPr>
        <w:t xml:space="preserve">1.1.4 问题的提出</w:t>
      </w:r>
    </w:p>
    <w:p>
      <w:pPr>
        <w:spacing w:after="200" w:line="360"/>
        <w:ind w:firstLine="480"/>
      </w:pPr>
      <w:r>
        <w:rPr>
          <w:sz w:val="24"/>
          <w:szCs w:val="24"/>
        </w:rPr>
        <w:t xml:space="preserve">在行业困境、转型趋势与政策突破的三重背景下，一个核心问题浮出水面：REITs究竟如何驱动商业地产企业实现轻资产转型？转型的具体路径是什么？转型的财务与运营效应如何量化评估？</w:t>
      </w:r>
    </w:p>
    <w:p>
      <w:pPr>
        <w:spacing w:after="200" w:line="360"/>
        <w:ind w:firstLine="480"/>
      </w:pPr>
      <w:r>
        <w:rPr>
          <w:sz w:val="24"/>
          <w:szCs w:val="24"/>
        </w:rPr>
        <w:t xml:space="preserve">现有研究对REITs的讨论多集中于金融工具属性和资产证券化功能，对REITs作为企业战略转型驱动力的机制分析尚不充分。具体而言，三个关键问题有待回答：</w:t>
      </w:r>
    </w:p>
    <w:p>
      <w:pPr>
        <w:spacing w:after="200" w:line="360"/>
        <w:ind w:firstLine="480"/>
      </w:pPr>
      <w:r>
        <w:rPr>
          <w:sz w:val="24"/>
          <w:szCs w:val="24"/>
        </w:rPr>
        <w:t xml:space="preserve">第一，REITs驱动的轻资产转型路径有哪些关键环节？从重资产持有到轻资产运营，企业需要经历哪些组织变革和资本运作？</w:t>
      </w:r>
    </w:p>
    <w:p>
      <w:pPr>
        <w:spacing w:after="200" w:line="360"/>
        <w:ind w:firstLine="480"/>
      </w:pPr>
      <w:r>
        <w:rPr>
          <w:sz w:val="24"/>
          <w:szCs w:val="24"/>
        </w:rPr>
        <w:t xml:space="preserve">第二，轻资产转型的财务效应如何量化评估？REITs发行对企业的资产负债表、利润表、现金流量表产生了哪些具体影响？</w:t>
      </w:r>
    </w:p>
    <w:p>
      <w:pPr>
        <w:spacing w:after="200" w:line="360"/>
        <w:ind w:firstLine="480"/>
      </w:pPr>
      <w:r>
        <w:rPr>
          <w:sz w:val="24"/>
          <w:szCs w:val="24"/>
        </w:rPr>
        <w:t xml:space="preserve">第三，轻资产转型的边界条件是什么？在什么条件下REITs才能真正推动企业实现轻资产转型，而非"出表不降杠杆"的形式主义？</w:t>
      </w:r>
    </w:p>
    <w:p>
      <w:pPr>
        <w:spacing w:after="200" w:line="360"/>
        <w:ind w:firstLine="480"/>
      </w:pPr>
      <w:r>
        <w:rPr>
          <w:sz w:val="24"/>
          <w:szCs w:val="24"/>
        </w:rPr>
        <w:t xml:space="preserve">基于上述问题，本研究以华润置地/华润万象生活为主案例、凯德集团为验证案例，系统研究REITs驱动商业地产企业轻资产转型的路径与效应。</w:t>
      </w:r>
    </w:p>
    <w:p>
      <w:pPr>
        <w:pStyle w:val="Heading2"/>
        <w:spacing w:after="150" w:before="300"/>
      </w:pPr>
      <w:r>
        <w:rPr>
          <w:b/>
          <w:bCs/>
          <w:sz w:val="28"/>
          <w:szCs w:val="28"/>
        </w:rPr>
        <w:t xml:space="preserve">1.2 研究意义</w:t>
      </w:r>
    </w:p>
    <w:p>
      <w:pPr>
        <w:pStyle w:val="Heading3"/>
        <w:spacing w:after="100" w:before="200"/>
      </w:pPr>
      <w:r>
        <w:rPr>
          <w:b/>
          <w:bCs/>
          <w:sz w:val="26"/>
          <w:szCs w:val="26"/>
        </w:rPr>
        <w:t xml:space="preserve">1.2.1 理论意义</w:t>
      </w:r>
    </w:p>
    <w:p>
      <w:pPr>
        <w:spacing w:after="200" w:line="360"/>
        <w:ind w:firstLine="480"/>
      </w:pPr>
      <w:r>
        <w:rPr>
          <w:sz w:val="24"/>
          <w:szCs w:val="24"/>
        </w:rPr>
        <w:t xml:space="preserve">本研究的理论意义体现在三个层面：</w:t>
      </w:r>
    </w:p>
    <w:p>
      <w:pPr>
        <w:spacing w:after="200" w:line="360"/>
        <w:ind w:firstLine="480"/>
      </w:pPr>
      <w:r>
        <w:rPr>
          <w:sz w:val="24"/>
          <w:szCs w:val="24"/>
        </w:rPr>
        <w:t xml:space="preserve">其一，填补REITs驱动轻资产转型的机制研究空白。现有文献对REITs的研究主要聚焦于资产证券化的金融工程视角，或从投资者角度分析REITs的收益特征和风险属性，较少从企业战略转型视角系统分析REITs如何驱动商业地产企业从重资产模式转向轻资产模式。本研究通过构建"REITs驱动-路径选择-效应评估"的分析框架，揭示REITs作为转型驱动力的内在机制。</w:t>
      </w:r>
    </w:p>
    <w:p>
      <w:pPr>
        <w:spacing w:after="200" w:line="360"/>
        <w:ind w:firstLine="480"/>
      </w:pPr>
      <w:r>
        <w:rPr>
          <w:sz w:val="24"/>
          <w:szCs w:val="24"/>
        </w:rPr>
        <w:t xml:space="preserve">其二，构建轻资产转型的财务穿透分析框架。传统的财务分析多停留在资产负债率、ROE等单一指标层面，难以全面反映轻资产转型对企业财务状况的深层影响。本研究构建了包含资产轻量化、收入结构、盈利质量、现金流和资本效率五个维度的财务穿透分析框架，为系统评估轻资产转型的财务效应提供了方法论工具。</w:t>
      </w:r>
    </w:p>
    <w:p>
      <w:pPr>
        <w:spacing w:after="200" w:line="360"/>
        <w:ind w:firstLine="480"/>
      </w:pPr>
      <w:r>
        <w:rPr>
          <w:sz w:val="24"/>
          <w:szCs w:val="24"/>
        </w:rPr>
        <w:t xml:space="preserve">其三，拓展轻资产运营理论的行业应用。轻资产运营理论最初源于制造业和科技行业的研究，在商业地产领域的应用尚处于探索阶段。本研究将轻资产运营理论与商业地产行业特征相结合，丰富了该理论在不动产行业的应用场景和理论内涵。</w:t>
      </w:r>
    </w:p>
    <w:p>
      <w:pPr>
        <w:pStyle w:val="Heading3"/>
        <w:spacing w:after="100" w:before="200"/>
      </w:pPr>
      <w:r>
        <w:rPr>
          <w:b/>
          <w:bCs/>
          <w:sz w:val="26"/>
          <w:szCs w:val="26"/>
        </w:rPr>
        <w:t xml:space="preserve">1.2.2 实践意义</w:t>
      </w:r>
    </w:p>
    <w:p>
      <w:pPr>
        <w:spacing w:after="200" w:line="360"/>
        <w:ind w:firstLine="480"/>
      </w:pPr>
      <w:r>
        <w:rPr>
          <w:sz w:val="24"/>
          <w:szCs w:val="24"/>
        </w:rPr>
        <w:t xml:space="preserve">本研究的实践意义同样体现在三个层面：</w:t>
      </w:r>
    </w:p>
    <w:p>
      <w:pPr>
        <w:spacing w:after="200" w:line="360"/>
        <w:ind w:firstLine="480"/>
      </w:pPr>
      <w:r>
        <w:rPr>
          <w:sz w:val="24"/>
          <w:szCs w:val="24"/>
        </w:rPr>
        <w:t xml:space="preserve">其一，为商业地产企业提供转型路径参考。华润置地的"双平台模式"和凯德集团的"私募基金+REITs"模式，为行业提供了两种可借鉴的轻资产转型路径。本研究对这两种路径的深入解析，有助于企业根据自身条件选择合适的转型策略。</w:t>
      </w:r>
    </w:p>
    <w:p>
      <w:pPr>
        <w:spacing w:after="200" w:line="360"/>
        <w:ind w:firstLine="480"/>
      </w:pPr>
      <w:r>
        <w:rPr>
          <w:sz w:val="24"/>
          <w:szCs w:val="24"/>
        </w:rPr>
        <w:t xml:space="preserve">其二，为投资者提供企业评估框架。轻资产转型正在重塑商业地产企业的价值逻辑——从资产价值驱动转向运营能力驱动。本研究构建的财务穿透分析框架，为投资者评估企业转型效果提供了系统化的分析工具。</w:t>
      </w:r>
    </w:p>
    <w:p>
      <w:pPr>
        <w:spacing w:after="200" w:line="360"/>
        <w:ind w:firstLine="480"/>
      </w:pPr>
      <w:r>
        <w:rPr>
          <w:sz w:val="24"/>
          <w:szCs w:val="24"/>
        </w:rPr>
        <w:t xml:space="preserve">其三，为监管层提供政策优化建议。REITs市场仍处于发展初期，制度设计对市场发展方向具有重要影响。本研究基于案例分析的发现，为REITs发行制度、信息披露要求和投资者保护机制等提供优化建议。</w:t>
      </w:r>
    </w:p>
    <w:p>
      <w:pPr>
        <w:pStyle w:val="Heading2"/>
        <w:spacing w:after="150" w:before="300"/>
      </w:pPr>
      <w:r>
        <w:rPr>
          <w:b/>
          <w:bCs/>
          <w:sz w:val="28"/>
          <w:szCs w:val="28"/>
        </w:rPr>
        <w:t xml:space="preserve">1.3 研究内容与方法</w:t>
      </w:r>
    </w:p>
    <w:p>
      <w:pPr>
        <w:pStyle w:val="Heading3"/>
        <w:spacing w:after="100" w:before="200"/>
      </w:pPr>
      <w:r>
        <w:rPr>
          <w:b/>
          <w:bCs/>
          <w:sz w:val="26"/>
          <w:szCs w:val="26"/>
        </w:rPr>
        <w:t xml:space="preserve">1.3.1 研究内容</w:t>
      </w:r>
    </w:p>
    <w:p>
      <w:pPr>
        <w:spacing w:after="200" w:line="360"/>
        <w:ind w:firstLine="480"/>
      </w:pPr>
      <w:r>
        <w:rPr>
          <w:sz w:val="24"/>
          <w:szCs w:val="24"/>
        </w:rPr>
        <w:t xml:space="preserve">本研究围绕"REITs如何驱动商业地产企业轻资产转型"这一核心问题，展开以下五个方面的研究内容：</w:t>
      </w:r>
    </w:p>
    <w:p>
      <w:pPr>
        <w:spacing w:after="200" w:line="360"/>
        <w:ind w:firstLine="480"/>
      </w:pPr>
      <w:r>
        <w:rPr>
          <w:sz w:val="24"/>
          <w:szCs w:val="24"/>
        </w:rPr>
        <w:t xml:space="preserve">（1）商业地产企业轻资产转型的驱动因素与内在逻辑。分析行业困境、政策环境和市场竞争如何共同推动企业从重资产模式转向轻资产模式，揭示转型的内在动力机制。</w:t>
      </w:r>
    </w:p>
    <w:p>
      <w:pPr>
        <w:spacing w:after="200" w:line="360"/>
        <w:ind w:firstLine="480"/>
      </w:pPr>
      <w:r>
        <w:rPr>
          <w:sz w:val="24"/>
          <w:szCs w:val="24"/>
        </w:rPr>
        <w:t xml:space="preserve">（2）REITs驱动的轻资产转型路径。以华润置地和凯德集团为案例，解析"双平台模式"和"私募基金+REITs"两种转型路径的关键环节、组织变革和资本运作。</w:t>
      </w:r>
    </w:p>
    <w:p>
      <w:pPr>
        <w:spacing w:after="200" w:line="360"/>
        <w:ind w:firstLine="480"/>
      </w:pPr>
      <w:r>
        <w:rPr>
          <w:sz w:val="24"/>
          <w:szCs w:val="24"/>
        </w:rPr>
        <w:t xml:space="preserve">（3）轻资产转型的财务效应评估。运用财务穿透分析法，从资产轻量化、收入结构、盈利质量、现金流和资本效率五个维度，量化评估轻资产转型对企业财务状况的影响。</w:t>
      </w:r>
    </w:p>
    <w:p>
      <w:pPr>
        <w:spacing w:after="200" w:line="360"/>
        <w:ind w:firstLine="480"/>
      </w:pPr>
      <w:r>
        <w:rPr>
          <w:sz w:val="24"/>
          <w:szCs w:val="24"/>
        </w:rPr>
        <w:t xml:space="preserve">（4）轻资产转型的运营效应评估。从管理规模、运营效率和品牌价值三个维度，评估轻资产转型对企业运营能力的影响。</w:t>
      </w:r>
    </w:p>
    <w:p>
      <w:pPr>
        <w:spacing w:after="200" w:line="360"/>
        <w:ind w:firstLine="480"/>
      </w:pPr>
      <w:r>
        <w:rPr>
          <w:sz w:val="24"/>
          <w:szCs w:val="24"/>
        </w:rPr>
        <w:t xml:space="preserve">（5）轻资产转型的边界条件与成功要素。通过华润与凯德的跨国案例对比，识别成功实现轻资产转型的边界条件，为行业提供实践指导。</w:t>
      </w:r>
    </w:p>
    <w:p>
      <w:pPr>
        <w:pStyle w:val="Heading3"/>
        <w:spacing w:after="100" w:before="200"/>
      </w:pPr>
      <w:r>
        <w:rPr>
          <w:b/>
          <w:bCs/>
          <w:sz w:val="26"/>
          <w:szCs w:val="26"/>
        </w:rPr>
        <w:t xml:space="preserve">1.3.2 研究方法</w:t>
      </w:r>
    </w:p>
    <w:p>
      <w:pPr>
        <w:spacing w:after="200" w:line="360"/>
        <w:ind w:firstLine="480"/>
      </w:pPr>
      <w:r>
        <w:rPr>
          <w:sz w:val="24"/>
          <w:szCs w:val="24"/>
        </w:rPr>
        <w:t xml:space="preserve">本研究采用以下四种研究方法：</w:t>
      </w:r>
    </w:p>
    <w:p>
      <w:pPr>
        <w:spacing w:after="200" w:line="360"/>
        <w:ind w:firstLine="480"/>
      </w:pPr>
      <w:r>
        <w:rPr>
          <w:sz w:val="24"/>
          <w:szCs w:val="24"/>
        </w:rPr>
        <w:t xml:space="preserve">（1）文献研究法。系统梳理轻资产运营理论、REITs与企业转型研究、商业地产转型研究的相关文献，构建理论基础，识别研究空白。文献来源包括Web of Science、CNKI、万方等数据库，以及行业研究报告和政策文件。</w:t>
      </w:r>
    </w:p>
    <w:p>
      <w:pPr>
        <w:spacing w:after="200" w:line="360"/>
        <w:ind w:firstLine="480"/>
      </w:pPr>
      <w:r>
        <w:rPr>
          <w:sz w:val="24"/>
          <w:szCs w:val="24"/>
        </w:rPr>
        <w:t xml:space="preserve">（2）案例研究法。采用单案例深度分析与多案例对比验证相结合的策略。以华润置地/华润万象生活为主案例进行深度分析，以凯德集团为验证案例进行对比检验。案例选择遵循典型性、数据可得性和行业代表性原则。</w:t>
      </w:r>
    </w:p>
    <w:p>
      <w:pPr>
        <w:spacing w:after="200" w:line="360"/>
        <w:ind w:firstLine="480"/>
      </w:pPr>
      <w:r>
        <w:rPr>
          <w:sz w:val="24"/>
          <w:szCs w:val="24"/>
        </w:rPr>
        <w:t xml:space="preserve">（3）财务穿透分析法。构建包含五个维度的财务穿透分析框架，对案例企业转型前后的财务数据进行系统分析。数据来源为上市公司年度报告、REITs发行文件和公告材料，分析工具为Excel和Python。</w:t>
      </w:r>
    </w:p>
    <w:p>
      <w:pPr>
        <w:spacing w:after="200" w:line="360"/>
        <w:ind w:firstLine="480"/>
      </w:pPr>
      <w:r>
        <w:rPr>
          <w:sz w:val="24"/>
          <w:szCs w:val="24"/>
        </w:rPr>
        <w:t xml:space="preserve">（4）对比分析法。在三个层面进行对比：一是案例企业转型前后的纵向对比，二是华润与凯德的跨国案例横向对比，三是案例企业与行业平均水平的基准对比。</w:t>
      </w:r>
    </w:p>
    <w:p>
      <w:pPr>
        <w:pStyle w:val="Heading2"/>
        <w:spacing w:after="150" w:before="300"/>
      </w:pPr>
      <w:r>
        <w:rPr>
          <w:b/>
          <w:bCs/>
          <w:sz w:val="28"/>
          <w:szCs w:val="28"/>
        </w:rPr>
        <w:t xml:space="preserve">1.4 研究框架与技术路线</w:t>
      </w:r>
    </w:p>
    <w:p>
      <w:pPr>
        <w:pStyle w:val="Heading3"/>
        <w:spacing w:after="100" w:before="200"/>
      </w:pPr>
      <w:r>
        <w:rPr>
          <w:b/>
          <w:bCs/>
          <w:sz w:val="26"/>
          <w:szCs w:val="26"/>
        </w:rPr>
        <w:t xml:space="preserve">1.4.1 研究框架</w:t>
      </w:r>
    </w:p>
    <w:p>
      <w:pPr>
        <w:spacing w:after="200" w:line="360"/>
        <w:ind w:firstLine="480"/>
      </w:pPr>
      <w:r>
        <w:rPr>
          <w:sz w:val="24"/>
          <w:szCs w:val="24"/>
        </w:rPr>
        <w:t xml:space="preserve">本研究遵循"问题提出-理论构建-案例验证-结论提炼"的逻辑框架。首先，基于行业困境和理论空白提出研究问题；其次，通过文献综述构建理论基础和分析框架；再次，通过华润案例的深度分析和凯德案例的对比验证，检验理论框架的解释力；最后，提炼研究结论、理论贡献和实践启示。</w:t>
      </w:r>
    </w:p>
    <w:p>
      <w:pPr>
        <w:spacing w:after="200" w:line="360"/>
        <w:ind w:firstLine="480"/>
      </w:pPr>
      <w:r>
        <w:rPr>
          <w:sz w:val="24"/>
          <w:szCs w:val="24"/>
        </w:rPr>
        <w:t xml:space="preserve">论文整体结构如下：</w:t>
      </w:r>
    </w:p>
    <w:p>
      <w:pPr>
        <w:spacing w:after="200" w:line="360"/>
        <w:ind w:firstLine="480"/>
      </w:pPr>
      <w:r>
        <w:rPr>
          <w:sz w:val="24"/>
          <w:szCs w:val="24"/>
        </w:rPr>
        <w:t xml:space="preserve">第一章为绪论，阐述研究背景、研究意义、研究内容与方法、研究框架和技术路线。</w:t>
      </w:r>
    </w:p>
    <w:p>
      <w:pPr>
        <w:spacing w:after="200" w:line="360"/>
        <w:ind w:firstLine="480"/>
      </w:pPr>
      <w:r>
        <w:rPr>
          <w:sz w:val="24"/>
          <w:szCs w:val="24"/>
        </w:rPr>
        <w:t xml:space="preserve">第二章为文献综述与理论基础，系统梳理轻资产运营理论、REITs与企业转型研究、商业地产转型研究和财务穿透分析方法，识别研究空白。</w:t>
      </w:r>
    </w:p>
    <w:p>
      <w:pPr>
        <w:spacing w:after="200" w:line="360"/>
        <w:ind w:firstLine="480"/>
      </w:pPr>
      <w:r>
        <w:rPr>
          <w:sz w:val="24"/>
          <w:szCs w:val="24"/>
        </w:rPr>
        <w:t xml:space="preserve">第三章为研究设计，明确研究问题分解、案例选择依据、分析框架构建、数据来源和研究方法应用。</w:t>
      </w:r>
    </w:p>
    <w:p>
      <w:pPr>
        <w:spacing w:after="200" w:line="360"/>
        <w:ind w:firstLine="480"/>
      </w:pPr>
      <w:r>
        <w:rPr>
          <w:sz w:val="24"/>
          <w:szCs w:val="24"/>
        </w:rPr>
        <w:t xml:space="preserve">第四章为华润案例深度分析，从集团概况、转型历程、商管平台分析、REITs资本退出分析、财务效应和运营效应六个方面，对华润置地/华润万象生活的轻资产转型进行全方位深度剖析。</w:t>
      </w:r>
    </w:p>
    <w:p>
      <w:pPr>
        <w:spacing w:after="200" w:line="360"/>
        <w:ind w:firstLine="480"/>
      </w:pPr>
      <w:r>
        <w:rPr>
          <w:sz w:val="24"/>
          <w:szCs w:val="24"/>
        </w:rPr>
        <w:t xml:space="preserve">第五章为凯德案例验证分析，从集团概况、资本闭环模式、REITs运营分析、与华润的对比验证和成功经验启示五个方面，对凯德集团的轻资产转型进行对比验证。</w:t>
      </w:r>
    </w:p>
    <w:p>
      <w:pPr>
        <w:spacing w:after="200" w:line="360"/>
        <w:ind w:firstLine="480"/>
      </w:pPr>
      <w:r>
        <w:rPr>
          <w:sz w:val="24"/>
          <w:szCs w:val="24"/>
        </w:rPr>
        <w:t xml:space="preserve">第六章为研究结论与建议，总结主要研究结论、理论贡献、实践启示和研究局限与展望。</w:t>
      </w:r>
    </w:p>
    <w:p>
      <w:pPr>
        <w:pStyle w:val="Heading3"/>
        <w:spacing w:after="100" w:before="200"/>
      </w:pPr>
      <w:r>
        <w:rPr>
          <w:b/>
          <w:bCs/>
          <w:sz w:val="26"/>
          <w:szCs w:val="26"/>
        </w:rPr>
        <w:t xml:space="preserve">1.4.2 技术路线</w:t>
      </w:r>
    </w:p>
    <w:p>
      <w:pPr>
        <w:spacing w:after="200" w:line="360"/>
        <w:ind w:firstLine="480"/>
      </w:pPr>
      <w:r>
        <w:rPr>
          <w:sz w:val="24"/>
          <w:szCs w:val="24"/>
        </w:rPr>
        <w:t xml:space="preserve">本研究的技术路线可概括为"一主线、两案例、三阶段、五维度"：</w:t>
      </w:r>
    </w:p>
    <w:p>
      <w:pPr>
        <w:spacing w:after="200" w:line="360"/>
        <w:ind w:firstLine="480"/>
      </w:pPr>
      <w:r>
        <w:rPr>
          <w:sz w:val="24"/>
          <w:szCs w:val="24"/>
        </w:rPr>
        <w:t xml:space="preserve">"一主线"指以REITs驱动轻资产转型的机制分析为主线，贯穿全文。</w:t>
      </w:r>
    </w:p>
    <w:p>
      <w:pPr>
        <w:spacing w:after="200" w:line="360"/>
        <w:ind w:firstLine="480"/>
      </w:pPr>
      <w:r>
        <w:rPr>
          <w:sz w:val="24"/>
          <w:szCs w:val="24"/>
        </w:rPr>
        <w:t xml:space="preserve">"两案例"指以华润置地/华润万象生活为主案例、凯德集团为验证案例的双案例研究设计。</w:t>
      </w:r>
    </w:p>
    <w:p>
      <w:pPr>
        <w:spacing w:after="200" w:line="360"/>
        <w:ind w:firstLine="480"/>
      </w:pPr>
      <w:r>
        <w:rPr>
          <w:sz w:val="24"/>
          <w:szCs w:val="24"/>
        </w:rPr>
        <w:t xml:space="preserve">"三阶段"指研究过程分为理论构建阶段（第一、二章）、案例分析阶段（第三、四、五章）和结论提炼阶段（第六章）。</w:t>
      </w:r>
    </w:p>
    <w:p>
      <w:pPr>
        <w:spacing w:after="200" w:line="360"/>
        <w:ind w:firstLine="480"/>
      </w:pPr>
      <w:r>
        <w:rPr>
          <w:sz w:val="24"/>
          <w:szCs w:val="24"/>
        </w:rPr>
        <w:t xml:space="preserve">"五维度"指财务穿透分析的五个维度：资产轻量化、收入结构、盈利质量、现金流和资本效率。</w:t>
      </w:r>
    </w:p>
    <w:p>
      <w:pPr>
        <w:spacing w:after="200" w:line="360"/>
        <w:ind w:firstLine="480"/>
      </w:pPr>
      <w:r>
        <w:rPr>
          <w:sz w:val="24"/>
          <w:szCs w:val="24"/>
        </w:rPr>
        <w:t xml:space="preserve">表1-2 论文结构与技术路线对应关系</w:t>
      </w:r>
    </w:p>
    <w:p>
      <w:pPr>
        <w:spacing w:after="100"/>
      </w:pPr>
      <w:r>
        <w:rPr>
          <w:sz w:val="20"/>
          <w:szCs w:val="20"/>
        </w:rPr>
        <w:t xml:space="preserve">章节 | 内容 | 对应阶段 | 核心产出</w:t>
      </w:r>
    </w:p>
    <w:p>
      <w:pPr>
        <w:spacing w:after="100"/>
      </w:pPr>
      <w:r>
        <w:rPr>
          <w:sz w:val="20"/>
          <w:szCs w:val="20"/>
        </w:rPr>
        <w:t xml:space="preserve">第一章 绪论 | 研究背景、意义、方法、框架 | 问题提出 | 研究问题界定</w:t>
      </w:r>
    </w:p>
    <w:p>
      <w:pPr>
        <w:spacing w:after="100"/>
      </w:pPr>
      <w:r>
        <w:rPr>
          <w:sz w:val="20"/>
          <w:szCs w:val="20"/>
        </w:rPr>
        <w:t xml:space="preserve">第二章 文献综述与理论基础 | 轻资产理论、REITs研究、转型研究 | 理论构建 | 分析框架雏形</w:t>
      </w:r>
    </w:p>
    <w:p>
      <w:pPr>
        <w:spacing w:after="100"/>
      </w:pPr>
      <w:r>
        <w:rPr>
          <w:sz w:val="20"/>
          <w:szCs w:val="20"/>
        </w:rPr>
        <w:t xml:space="preserve">第三章 研究设计 | 案例选择、框架构建、数据来源 | 方法论 | 研究方案</w:t>
      </w:r>
    </w:p>
    <w:p>
      <w:pPr>
        <w:spacing w:after="100"/>
      </w:pPr>
      <w:r>
        <w:rPr>
          <w:sz w:val="20"/>
          <w:szCs w:val="20"/>
        </w:rPr>
        <w:t xml:space="preserve">第四章 华润案例深度分析 | 转型历程、财务效应、运营效应 | 案例分析 | 主案例发现</w:t>
      </w:r>
    </w:p>
    <w:p>
      <w:pPr>
        <w:spacing w:after="100"/>
      </w:pPr>
      <w:r>
        <w:rPr>
          <w:sz w:val="20"/>
          <w:szCs w:val="20"/>
        </w:rPr>
        <w:t xml:space="preserve">第五章 凯德案例验证分析 | 资本闭环、对比验证、经验启示 | 案例分析 | 验证与补充</w:t>
      </w:r>
    </w:p>
    <w:p>
      <w:pPr>
        <w:spacing w:after="100"/>
      </w:pPr>
      <w:r>
        <w:rPr>
          <w:sz w:val="20"/>
          <w:szCs w:val="20"/>
        </w:rPr>
        <w:t xml:space="preserve">第六章 研究结论与建议 | 结论、贡献、启示、局限 | 结论提炼 | 研究成果</w:t>
      </w:r>
    </w:p>
    <w:p>
      <w:pPr>
        <w:pStyle w:val="Heading2"/>
        <w:spacing w:after="150" w:before="300"/>
      </w:pPr>
      <w:r>
        <w:rPr>
          <w:b/>
          <w:bCs/>
          <w:sz w:val="28"/>
          <w:szCs w:val="28"/>
        </w:rPr>
        <w:t xml:space="preserve">1.5 研究创新点</w:t>
      </w:r>
    </w:p>
    <w:p>
      <w:pPr>
        <w:spacing w:after="200" w:line="360"/>
        <w:ind w:firstLine="480"/>
      </w:pPr>
      <w:r>
        <w:rPr>
          <w:sz w:val="24"/>
          <w:szCs w:val="24"/>
        </w:rPr>
        <w:t xml:space="preserve">本研究的创新点主要体现在以下三个方面：</w:t>
      </w:r>
    </w:p>
    <w:p>
      <w:pPr>
        <w:spacing w:after="200" w:line="360"/>
        <w:ind w:firstLine="480"/>
      </w:pPr>
      <w:r>
        <w:rPr>
          <w:sz w:val="24"/>
          <w:szCs w:val="24"/>
        </w:rPr>
        <w:t xml:space="preserve">第一，首次系统研究"双平台模式"的转型机制。华润置地开创的"商管平台分拆上市+REITs平台发行"双平台模式，是国内商业地产轻资产转型的首创性实践。现有文献对这一模式的研究尚属空白，本研究首次从转型路径、财务效应和运营效应三个维度，系统解析双平台模式的内在机制和协同效应，填补了该领域的研究空白。</w:t>
      </w:r>
    </w:p>
    <w:p>
      <w:pPr>
        <w:spacing w:after="200" w:line="360"/>
        <w:ind w:firstLine="480"/>
      </w:pPr>
      <w:r>
        <w:rPr>
          <w:sz w:val="24"/>
          <w:szCs w:val="24"/>
        </w:rPr>
        <w:t xml:space="preserve">第二，构建了轻资产转型的财务穿透分析框架。传统的财务分析多聚焦于单一指标的变化，难以全面捕捉轻资产转型对企业财务状况的深层影响。本研究构建的"资产轻量化-收入结构-盈利质量-现金流-资本效率"五维度财务穿透分析框架，不仅能够系统评估转型的财务效应，还能识别不同维度之间的联动关系，为同类研究提供了方法论参考。</w:t>
      </w:r>
    </w:p>
    <w:p>
      <w:pPr>
        <w:spacing w:after="200" w:line="360"/>
        <w:ind w:firstLine="480"/>
      </w:pPr>
      <w:r>
        <w:rPr>
          <w:sz w:val="24"/>
          <w:szCs w:val="24"/>
        </w:rPr>
        <w:t xml:space="preserve">第三，采用跨国案例验证增强结论的普适性。现有关于中国商业地产轻资产转型的研究多为单一案例的描述性分析，缺乏跨国案例的对比验证。本研究以凯德集团作为验证案例，通过对比华润"双平台模式"与凯德"私募基金+REITs"模式的异同，检验研究结论在不同市场环境和制度背景下的适用性，增强了结论的普适性和理论解释力。</w:t>
      </w:r>
    </w:p>
    <w:p>
      <w:pPr>
        <w:pStyle w:val="Heading1"/>
        <w:spacing w:after="200" w:before="400"/>
      </w:pPr>
      <w:r>
        <w:rPr>
          <w:b/>
          <w:bCs/>
          <w:sz w:val="32"/>
          <w:szCs w:val="32"/>
        </w:rPr>
        <w:t xml:space="preserve">第二章 文献综述与理论基础</w:t>
      </w:r>
    </w:p>
    <w:p>
      <w:pPr>
        <w:pStyle w:val="Heading2"/>
        <w:spacing w:after="150" w:before="300"/>
      </w:pPr>
      <w:r>
        <w:rPr>
          <w:b/>
          <w:bCs/>
          <w:sz w:val="28"/>
          <w:szCs w:val="28"/>
        </w:rPr>
        <w:t xml:space="preserve">2.1 轻资产运营理论研究</w:t>
      </w:r>
    </w:p>
    <w:p>
      <w:pPr>
        <w:pStyle w:val="Heading3"/>
        <w:spacing w:after="100" w:before="200"/>
      </w:pPr>
      <w:r>
        <w:rPr>
          <w:b/>
          <w:bCs/>
          <w:sz w:val="26"/>
          <w:szCs w:val="26"/>
        </w:rPr>
        <w:t xml:space="preserve">2.1.1 轻资产运营的概念起源与演进</w:t>
      </w:r>
    </w:p>
    <w:p>
      <w:pPr>
        <w:spacing w:after="200" w:line="360"/>
        <w:ind w:firstLine="480"/>
      </w:pPr>
      <w:r>
        <w:rPr>
          <w:sz w:val="24"/>
          <w:szCs w:val="24"/>
        </w:rPr>
        <w:t xml:space="preserve">轻资产运营（Asset-Light Business Model）的概念最早可追溯至20世纪80年代。Barney（1986）在《战略管理杂志》（*Strategic Management Journal*）发表的开创性论文《企业资源基础观：持续竞争优势的源泉》（*Strategic Factor Markets: Expectations, Luck, and Business Strategy*）中，首次系统阐述了资源基础观（Resource-Based View, RBV）理论。Barney提出，企业竞争优势的根源在于其拥有的有价值（Valuable）、稀缺（Rare）、难以模仿（Imperfectly Imitable）且不可替代（Non-substitutable）的异质性资源，即VRIN框架。基于这一理论，Barney进一步指出，企业应聚焦于难以模仿的核心能力，而将非核心资产外包或剥离，这一思想为轻资产运营理论奠定了基础。Barney的研究突破了传统产业组织理论从外部市场结构解释企业竞争优势的局限，将研究视角转向企业内部资源禀赋，为后续轻资产运营理论的发展提供了重要的理论基础。</w:t>
      </w:r>
    </w:p>
    <w:p>
      <w:pPr>
        <w:spacing w:after="200" w:line="360"/>
        <w:ind w:firstLine="480"/>
      </w:pPr>
      <w:r>
        <w:rPr>
          <w:sz w:val="24"/>
          <w:szCs w:val="24"/>
        </w:rPr>
        <w:t xml:space="preserve">此后，Furrer等学者（2004）在《战略管理杂志》发表的研究中进一步将轻资产运营定义为"企业通过最小化固定资产投入，最大化品牌、知识产权、管理能力等无形资产的价值创造，以实现更高的资本回报率"。Furrer等学者强调，轻资产运营的本质是资源配置方式的优化——将有限的资本集中于高附加值环节，而将低附加值的资产持有环节外包或剥离。</w:t>
      </w:r>
    </w:p>
    <w:p>
      <w:pPr>
        <w:spacing w:after="200" w:line="360"/>
        <w:ind w:firstLine="480"/>
      </w:pPr>
      <w:r>
        <w:rPr>
          <w:sz w:val="24"/>
          <w:szCs w:val="24"/>
        </w:rPr>
        <w:t xml:space="preserve">轻资产运营理论的演进经历了三个阶段。第一阶段（1980s-1990s）为概念萌芽期，以Barney的资源基础观（RBV）和Prahalad与Hamel（1990）的核心能力理论为代表。Prahalad和Hamel在《哈佛商业评论》（*Harvard Business Review*）发表的《企业的核心能力》（*The Core Competence of the Corporation*）一文中，提出了"核心能力"（Core Competence）概念，将其定义为企业内部累积的集体学习成果，特别是关于如何协调不同生产技能和整合多种技术流的知识。他们以NEC、本田、佳能等企业为例，论证了核心能力对企业全球领导地位的关键作用。Prahalad和Hamel指出，在1990年代及以后，企业将被依据其识别、培育和开发利用使增长成为可能的核心能力的能力来评判。这一理论强调企业应围绕核心能力构建竞争优势，而非追求纵向一体化，为轻资产运营提供了直接的理论支撑。</w:t>
      </w:r>
    </w:p>
    <w:p>
      <w:pPr>
        <w:spacing w:after="200" w:line="360"/>
        <w:ind w:firstLine="480"/>
      </w:pPr>
      <w:r>
        <w:rPr>
          <w:sz w:val="24"/>
          <w:szCs w:val="24"/>
        </w:rPr>
        <w:t xml:space="preserve">第二阶段（2000s-2010s）为理论发展期，学者们开始将轻资产运营从战略理论扩展到商业模式层面。Osterwalder和Pigneur（2010）在《商业模式新生代》（*Business Model Generation*）中系统阐述了商业模式画布的九大构成要素，包括客户细分、价值主张、渠道通路、客户关系、收入来源、核心资源、关键业务、重要合作和成本结构。Osterwalder和Pigneur指出，轻资产商业模式的关键在于将核心资源从有形资产转向无形资产，通过关键业务的重新定义实现价值创造方式的转变。该书以可视化工具（商业模式画布）的形式，为轻资产运营的理论应用提供了操作框架，被翻译成30多种语言，成为全球企业家和管理者设计商业模式的标准工具。</w:t>
      </w:r>
    </w:p>
    <w:p>
      <w:pPr>
        <w:spacing w:after="200" w:line="360"/>
        <w:ind w:firstLine="480"/>
      </w:pPr>
      <w:r>
        <w:rPr>
          <w:sz w:val="24"/>
          <w:szCs w:val="24"/>
        </w:rPr>
        <w:t xml:space="preserve">第三阶段（2010s至今）为行业深化期，轻资产运营理论开始向酒店、零售、商业地产等服务密集型行业渗透，形成了行业特色的理论分支。这一时期的研究更加注重轻资产运营的行业适用性和实施路径，积累了丰富的实证研究成果。</w:t>
      </w:r>
    </w:p>
    <w:p>
      <w:pPr>
        <w:pStyle w:val="Heading3"/>
        <w:spacing w:after="100" w:before="200"/>
      </w:pPr>
      <w:r>
        <w:rPr>
          <w:b/>
          <w:bCs/>
          <w:sz w:val="26"/>
          <w:szCs w:val="26"/>
        </w:rPr>
        <w:t xml:space="preserve">2.1.2 轻资产运营的核心要素与实现路径</w:t>
      </w:r>
    </w:p>
    <w:p>
      <w:pPr>
        <w:spacing w:after="200" w:line="360"/>
        <w:ind w:firstLine="480"/>
      </w:pPr>
      <w:r>
        <w:rPr>
          <w:sz w:val="24"/>
          <w:szCs w:val="24"/>
        </w:rPr>
        <w:t xml:space="preserve">轻资产运营的核心要素可归纳为三个方面：一是品牌与知识产权，企业通过品牌输出获取管理费收入，而非依赖资产持有获取租金收入；二是管理能力与运营体系，企业以运营管理能力为核心竞争力，实现"以管理换资产"；三是资本运作与金融工具，企业借助REITs、资产证券化等金融工具，实现资产的出表和资本的循环。</w:t>
      </w:r>
    </w:p>
    <w:p>
      <w:pPr>
        <w:spacing w:after="200" w:line="360"/>
        <w:ind w:firstLine="480"/>
      </w:pPr>
      <w:r>
        <w:rPr>
          <w:sz w:val="24"/>
          <w:szCs w:val="24"/>
        </w:rPr>
        <w:t xml:space="preserve">在实现路径上，轻资产运营主要有三种模式：其一，品牌授权模式，企业以品牌和管理体系为核心，通过特许经营、委托管理等方式输出运营能力，典型案例如万豪国际的酒店管理输出模式；其二，平台运营模式，企业构建运营管理平台，以平台能力整合行业资源，实现规模效应，典型案例如华润万象生活的商业管理平台模式；其三，资本循环模式，企业通过"私募基金培育-REITs退出"的资本闭环，实现资产从投入到退出的完整循环，典型案例如凯德集团的"私募基金+REITs"模式。</w:t>
      </w:r>
    </w:p>
    <w:p>
      <w:pPr>
        <w:pStyle w:val="Heading3"/>
        <w:spacing w:after="100" w:before="200"/>
      </w:pPr>
      <w:r>
        <w:rPr>
          <w:b/>
          <w:bCs/>
          <w:sz w:val="26"/>
          <w:szCs w:val="26"/>
        </w:rPr>
        <w:t xml:space="preserve">2.1.3 轻资产运营的绩效评价</w:t>
      </w:r>
    </w:p>
    <w:p>
      <w:pPr>
        <w:spacing w:after="200" w:line="360"/>
        <w:ind w:firstLine="480"/>
      </w:pPr>
      <w:r>
        <w:rPr>
          <w:sz w:val="24"/>
          <w:szCs w:val="24"/>
        </w:rPr>
        <w:t xml:space="preserve">轻资产运营的绩效评价是学术研究的热点问题。从财务绩效看，国际酒店业的研究表明，轻资产运营企业的ROE平均比重资产运营企业高3-5个百分点，且盈利波动性更低。这一发现为轻资产运营的财务优势提供了实证证据。</w:t>
      </w:r>
    </w:p>
    <w:p>
      <w:pPr>
        <w:spacing w:after="200" w:line="360"/>
        <w:ind w:firstLine="480"/>
      </w:pPr>
      <w:r>
        <w:rPr>
          <w:sz w:val="24"/>
          <w:szCs w:val="24"/>
        </w:rPr>
        <w:t xml:space="preserve">从运营绩效看，Turner和Guilding（2010）在《国际酒店餐饮教育委员会期刊》（*Journal of Hospitality &amp; Tourism Education*）发表的研究表明，轻资产运营模式下企业的管理规模扩张速度显著快于重资产模式，但运营效率的提升取决于管理体系的成熟度。Turner和Guilding以澳大利亚酒店业为研究对象，深入分析了管理合同模式下业主与运营商之间的目标一致性问题。研究发现，轻资产运营模式虽然能够实现快速规模扩张，但如果缺乏成熟的管理体系和标准化的运营流程，运营效率的提升将大打折扣。这一研究提示，轻资产转型的成功不仅取决于模式选择，更取决于能力建设。</w:t>
      </w:r>
    </w:p>
    <w:p>
      <w:pPr>
        <w:spacing w:after="200" w:line="360"/>
        <w:ind w:firstLine="480"/>
      </w:pPr>
      <w:r>
        <w:rPr>
          <w:sz w:val="24"/>
          <w:szCs w:val="24"/>
        </w:rPr>
        <w:t xml:space="preserve">从市场估值看，轻资产运营企业通常享有更高的市盈率，因为市场对其盈利的可持续性和成长性给予溢价。投资者认为，轻资产运营企业的盈利更加稳定、可预测，且不受房地产市场周期的剧烈影响，因此愿意给予更高的估值倍数。</w:t>
      </w:r>
    </w:p>
    <w:p>
      <w:pPr>
        <w:spacing w:after="200" w:line="360"/>
        <w:ind w:firstLine="480"/>
      </w:pPr>
      <w:r>
        <w:rPr>
          <w:sz w:val="24"/>
          <w:szCs w:val="24"/>
        </w:rPr>
        <w:t xml:space="preserve">然而，轻资产运营并非没有风险。Sohn等（2013）在《国际酒店管理期刊》（*International Journal of Hospitality Management*）发表的研究《轻资产和费用导向战略能否创造价值？》（*Can an Asset-Light and Fee-Oriented Strategy Create Value?*）中，系统分析了轻资产运营战略的潜在风险。Sohn等学者采用美国酒店业上市公司的数据，检验了轻资产和费用导向（Asset-Light and Fee-Oriented, ALFO）战略对企业价值的影响。研究发现，过度追求轻资产可能导致三种风险：一是企业对核心资产的控制力减弱，影响运营质量的稳定性；二是品牌稀释风险增加，特别是在快速扩张过程中；三是委托代理问题加剧，管理合同模式下业主与运营商之间的利益冲突可能导致效率损失。Sohn等学者指出，这些风险在商业地产领域尤为突出，因为商业地产的运营质量高度依赖于对底层资产的掌控能力。因此，轻资产转型需要在"轻"与"控"之间寻求平衡。</w:t>
      </w:r>
    </w:p>
    <w:p>
      <w:pPr>
        <w:pStyle w:val="Heading2"/>
        <w:spacing w:after="150" w:before="300"/>
      </w:pPr>
      <w:r>
        <w:rPr>
          <w:b/>
          <w:bCs/>
          <w:sz w:val="28"/>
          <w:szCs w:val="28"/>
        </w:rPr>
        <w:t xml:space="preserve">2.2 REITs与企业转型研究</w:t>
      </w:r>
    </w:p>
    <w:p>
      <w:pPr>
        <w:pStyle w:val="Heading3"/>
        <w:spacing w:after="100" w:before="200"/>
      </w:pPr>
      <w:r>
        <w:rPr>
          <w:b/>
          <w:bCs/>
          <w:sz w:val="26"/>
          <w:szCs w:val="26"/>
        </w:rPr>
        <w:t xml:space="preserve">2.2.1 REITs的制度设计与金融功能</w:t>
      </w:r>
    </w:p>
    <w:p>
      <w:pPr>
        <w:spacing w:after="200" w:line="360"/>
        <w:ind w:firstLine="480"/>
      </w:pPr>
      <w:r>
        <w:rPr>
          <w:sz w:val="24"/>
          <w:szCs w:val="24"/>
        </w:rPr>
        <w:t xml:space="preserve">REITs（Real Estate Investment Trusts）起源于1960年的美国，是一种通过发行收益凭证汇集多数投资者资金，由专门机构进行不动产投资经营管理，并将投资收益按比例分配给投资者的金融工具。REITs的制度设计具有三个核心特征：一是资产导向，REITs必须将至少75%的资产投资于不动产；二是收入导向，REITs必须将至少90%的应税收入分配给投资者；三是税收中性，REITs在满足分配要求后可免缴公司层面所得税。</w:t>
      </w:r>
    </w:p>
    <w:p>
      <w:pPr>
        <w:spacing w:after="200" w:line="360"/>
        <w:ind w:firstLine="480"/>
      </w:pPr>
      <w:r>
        <w:rPr>
          <w:sz w:val="24"/>
          <w:szCs w:val="24"/>
        </w:rPr>
        <w:t xml:space="preserve">REITs的金融功能可从三个层面理解。在宏观层面，REITs是不动产金融体系的重要组成部分，为不动产行业提供了直接融资渠道，降低了银行体系的风险集中度。在中观层面，REITs是不动产定价的基准，REITs的交易价格为不动产市场提供了公开透明的估值参考。在微观层面，REITs是企业资本运作的工具，企业可通过REITs实现资产的出表、融资和退出。</w:t>
      </w:r>
    </w:p>
    <w:p>
      <w:pPr>
        <w:pStyle w:val="Heading3"/>
        <w:spacing w:after="100" w:before="200"/>
      </w:pPr>
      <w:r>
        <w:rPr>
          <w:b/>
          <w:bCs/>
          <w:sz w:val="26"/>
          <w:szCs w:val="26"/>
        </w:rPr>
        <w:t xml:space="preserve">2.2.2 REITs与企业战略转型</w:t>
      </w:r>
    </w:p>
    <w:p>
      <w:pPr>
        <w:spacing w:after="200" w:line="360"/>
        <w:ind w:firstLine="480"/>
      </w:pPr>
      <w:r>
        <w:rPr>
          <w:sz w:val="24"/>
          <w:szCs w:val="24"/>
        </w:rPr>
        <w:t xml:space="preserve">REITs与企业战略转型的关系是近年来的研究热点。从国际经验看，REITs对不动产企业转型的影响主要体现在三个方面：</w:t>
      </w:r>
    </w:p>
    <w:p>
      <w:pPr>
        <w:spacing w:after="200" w:line="360"/>
        <w:ind w:firstLine="480"/>
      </w:pPr>
      <w:r>
        <w:rPr>
          <w:sz w:val="24"/>
          <w:szCs w:val="24"/>
        </w:rPr>
        <w:t xml:space="preserve">其一，REITs推动企业从"开发持有"向"开发运营退出"转型。Boudry等（2012）在《房地产金融与经济学杂志》（*Journal of Real Estate Finance and Economics*）发表的研究《REITs的混合性质》（*The Hybrid Nature of REITs*）中，基于美国REITs市场的数据，系统分析了REITs上市对企业业务结构的影响。Boudry等学者发现，REITs上市后，企业的开发业务占比平均下降12个百分点，而运营管理业务占比相应上升，表明REITs推动了企业从开发持有向开发运营退出的业务结构转型。研究还指出，REITs具有股票和房地产的双重性质，其收益特征介于股票和直接房地产投资之间，这一混合性质使REITs成为连接不动产企业与资本市场的重要桥梁。</w:t>
      </w:r>
    </w:p>
    <w:p>
      <w:pPr>
        <w:spacing w:after="200" w:line="360"/>
        <w:ind w:firstLine="480"/>
      </w:pPr>
      <w:r>
        <w:rPr>
          <w:sz w:val="24"/>
          <w:szCs w:val="24"/>
        </w:rPr>
        <w:t xml:space="preserve">其二，REITs改善企业的资本结构和财务弹性。Hardin和Wu（2010）在《房地产经济学》（*Real Estate Economics*）发表的研究《银行关系与REITs资本结构》（*Banking Relationships and REIT Capital Structure*）中，采用2000-2005年间美国REITs的数据，分析了REITs发行对企业资本结构的影响。研究发现，REITs发行后企业的资产负债率平均下降8-15个百分点，净负债率改善更为显著。Hardin和Wu指出，这一效应的实现有赖于REITs发行的交易结构设计——若REITs发行采用售后租回而非真实出售，则资产负债率的改善可能被租赁负债的上表所抵消。研究还发现，与银行建立长期合作关系的REITs在资本结构调整方面具有更大的灵活性，能够更好地利用REITs工具优化资本结构。</w:t>
      </w:r>
    </w:p>
    <w:p>
      <w:pPr>
        <w:spacing w:after="200" w:line="360"/>
        <w:ind w:firstLine="480"/>
      </w:pPr>
      <w:r>
        <w:rPr>
          <w:sz w:val="24"/>
          <w:szCs w:val="24"/>
        </w:rPr>
        <w:t xml:space="preserve">其三，REITs促进企业治理结构的优化。Capozza和Seguin（2003）在《房地产经济学》发表的研究《内部所有权、风险分担与托宾Q值：来自REITs的证据》（*Inside Ownership, Risk Sharing, and Tobin's Q-Ratios: Evidence from REITs*）中，分析了REITs上市后企业治理结构的变化。研究发现，REITs上市后，企业的信息披露质量显著提升，关联交易减少，治理结构趋于规范。Capozza和Seguin指出，这一效应在家族控制型企业中尤为明显——REITs的上市要求迫使家族企业引入独立董事、完善信息披露、规范关联交易，从而改善了公司治理水平。研究还发现，管理层持股比例与REITs的托宾Q值呈正相关，表明股权激励有助于提升REITs的市场估值。</w:t>
      </w:r>
    </w:p>
    <w:p>
      <w:pPr>
        <w:pStyle w:val="Heading3"/>
        <w:spacing w:after="100" w:before="200"/>
      </w:pPr>
      <w:r>
        <w:rPr>
          <w:b/>
          <w:bCs/>
          <w:sz w:val="26"/>
          <w:szCs w:val="26"/>
        </w:rPr>
        <w:t xml:space="preserve">2.2.3 中国REITs市场的发展与研究</w:t>
      </w:r>
    </w:p>
    <w:p>
      <w:pPr>
        <w:spacing w:after="200" w:line="360"/>
        <w:ind w:firstLine="480"/>
      </w:pPr>
      <w:r>
        <w:rPr>
          <w:sz w:val="24"/>
          <w:szCs w:val="24"/>
        </w:rPr>
        <w:t xml:space="preserve">中国REITs市场的发展经历了从类REITs到公募REITs的渐进过程。2020年以前，中国市场上存在大量类REITs产品（资产支持专项计划），但这些产品存在期限短、流动性差、无法扩募等制度缺陷。2020年公募REITs试点启动后，市场进入规范化发展阶段。</w:t>
      </w:r>
    </w:p>
    <w:p>
      <w:pPr>
        <w:spacing w:after="200" w:line="360"/>
        <w:ind w:firstLine="480"/>
      </w:pPr>
      <w:r>
        <w:rPr>
          <w:sz w:val="24"/>
          <w:szCs w:val="24"/>
        </w:rPr>
        <w:t xml:space="preserve">国内学者对中国REITs的研究主要集中在三个方向：</w:t>
      </w:r>
    </w:p>
    <w:p>
      <w:pPr>
        <w:spacing w:after="200" w:line="360"/>
        <w:ind w:firstLine="480"/>
      </w:pPr>
      <w:r>
        <w:rPr>
          <w:sz w:val="24"/>
          <w:szCs w:val="24"/>
        </w:rPr>
        <w:t xml:space="preserve">一是制度设计研究，探讨中国REITs的法律架构、税收政策和监管框架。行业专家（2021）在《证券市场导报》发表的研究中，系统比较了中国类REITs与成熟市场REITs的制度差异，指出中国REITs发展面临的主要障碍包括：法律地位不明确、税收政策不配套、流动性不足等。郭杰群（2022）在多次学术会议和媒体报道中强调，REITs的能量发挥需要两个基础：一是立法保障，二是税收政策。郭杰群指出，2022年财政部、税务总局发布的《关于基础设施领域不动产投资信托基金（REITs）试点税收政策的公告》（3号公告）是中国REITs税收制度的重要突破，解决了资产重组环节的所得税递延问题，但土地增值税、契税等税种的优惠政策仍有待完善。</w:t>
      </w:r>
    </w:p>
    <w:p>
      <w:pPr>
        <w:spacing w:after="200" w:line="360"/>
        <w:ind w:firstLine="480"/>
      </w:pPr>
      <w:r>
        <w:rPr>
          <w:sz w:val="24"/>
          <w:szCs w:val="24"/>
        </w:rPr>
        <w:t xml:space="preserve">二是市场表现研究，分析REITs的定价机制、流动性和收益率特征。研究表明，中国REITs的发行定价普遍低于底层资产的评估价值，存在"定价折价"现象，为投资者提供了较高的安全边际。研究还发现，中国REITs的流动性显著低于成熟市场，日均换手率不足1%，流动性溢价较高。</w:t>
      </w:r>
    </w:p>
    <w:p>
      <w:pPr>
        <w:spacing w:after="200" w:line="360"/>
        <w:ind w:firstLine="480"/>
      </w:pPr>
      <w:r>
        <w:rPr>
          <w:sz w:val="24"/>
          <w:szCs w:val="24"/>
        </w:rPr>
        <w:t xml:space="preserve">三是行业应用研究，探讨REITs在基础设施、产业园、消费基础设施等领域的应用。杨奕和郭杰群（2024）在《北大金融评论》发表的研究中，以凯德集团为案例，系统分析了"私募基金+REITs"资本闭环模式的运行机制。研究指出，凯德的成功关键在于构建了从开发到持有到退出的完整资本循环链条，这一模式对中国商业地产企业的轻资产转型具有重要借鉴意义。</w:t>
      </w:r>
    </w:p>
    <w:p>
      <w:pPr>
        <w:spacing w:after="200" w:line="360"/>
        <w:ind w:firstLine="480"/>
      </w:pPr>
      <w:r>
        <w:rPr>
          <w:sz w:val="24"/>
          <w:szCs w:val="24"/>
        </w:rPr>
        <w:t xml:space="preserve">然而，现有研究存在两个明显的不足：一是缺乏从企业战略转型视角的系统性分析，多数研究将REITs视为纯粹的金融工具，忽视了其对企业组织变革和业务模式转型的驱动作用；二是对REITs转型的财务效应缺乏穿透性分析，多数研究仅关注资产负债率等单一指标的变化，未能从多维度系统评估REITs对企业财务状况的深层影响。</w:t>
      </w:r>
    </w:p>
    <w:p>
      <w:pPr>
        <w:pStyle w:val="Heading3"/>
        <w:spacing w:after="100" w:before="200"/>
      </w:pPr>
      <w:r>
        <w:rPr>
          <w:b/>
          <w:bCs/>
          <w:sz w:val="26"/>
          <w:szCs w:val="26"/>
        </w:rPr>
        <w:t xml:space="preserve">2.2.4 REITs治理结构与企业价值研究</w:t>
      </w:r>
    </w:p>
    <w:p>
      <w:pPr>
        <w:spacing w:after="200" w:line="360"/>
        <w:ind w:firstLine="480"/>
      </w:pPr>
      <w:r>
        <w:rPr>
          <w:sz w:val="24"/>
          <w:szCs w:val="24"/>
        </w:rPr>
        <w:t xml:space="preserve">从公司治理视角看，Ambrose和Linneman（2001）在《房地产研究》发表的研究《REITs的组织结构与经营特征》（*REIT Organizational Structure and Operating Characteristics*）中，比较了内部管理型REITs与外部管理型REITs的治理差异。研究发现，内部管理型REITs在解决管理层与股东之间的利益冲突方面具有优势，这一发现对REITs的治理结构选择具有指导意义。这一研究支持了本研究关于REITs促进企业治理结构优化的论点。</w:t>
      </w:r>
    </w:p>
    <w:p>
      <w:pPr>
        <w:spacing w:after="200" w:line="360"/>
        <w:ind w:firstLine="480"/>
      </w:pPr>
      <w:r>
        <w:rPr>
          <w:sz w:val="24"/>
          <w:szCs w:val="24"/>
        </w:rPr>
        <w:t xml:space="preserve">从盈余管理视角看，Ghosh等学者对REITs的盈余管理行为进行了深入研究。研究表明，由于REITs必须将至少90%的应税收入分配给投资者，REITs的盈余管理动机与行为模式与普通公司存在显著差异。这一研究为理解REITs的财务报告特征和利润分配机制提供了独特视角，也为分析REITs对企业财务透明度的影响提供了理论基础。</w:t>
      </w:r>
    </w:p>
    <w:p>
      <w:pPr>
        <w:spacing w:after="200" w:line="360"/>
        <w:ind w:firstLine="480"/>
      </w:pPr>
      <w:r>
        <w:rPr>
          <w:sz w:val="24"/>
          <w:szCs w:val="24"/>
        </w:rPr>
        <w:t xml:space="preserve">从中国REITs市场发展看，2021年6月21日，首批9只基础设施公募REITs在沪深交易所上市，标志着中国公募REITs市场的正式启动。相关研究表明，中国REITs的发行定价普遍低于底层资产评估价值，存在"定价折价"现象；中国REITs的流动性显著低于成熟市场，日均换手率不足1%。这些研究为理解中国REITs市场的特殊性提供了实证证据，也为分析中国商业地产企业发行REITs的挑战提供了背景。</w:t>
      </w:r>
    </w:p>
    <w:p>
      <w:pPr>
        <w:pStyle w:val="Heading3"/>
        <w:spacing w:after="100" w:before="200"/>
      </w:pPr>
      <w:r>
        <w:rPr>
          <w:b/>
          <w:bCs/>
          <w:sz w:val="26"/>
          <w:szCs w:val="26"/>
        </w:rPr>
        <w:t xml:space="preserve">2.2.5 企业战略转型与动态能力理论</w:t>
      </w:r>
    </w:p>
    <w:p>
      <w:pPr>
        <w:spacing w:after="200" w:line="360"/>
        <w:ind w:firstLine="480"/>
      </w:pPr>
      <w:r>
        <w:rPr>
          <w:sz w:val="24"/>
          <w:szCs w:val="24"/>
        </w:rPr>
        <w:t xml:space="preserve">企业战略转型是组织变革研究的核心议题。Kotter（1996）在《引领变革》（*Leading Change*）中提出的八步变革模型为理解企业转型过程提供了经典框架。Kotter指出，成功的组织变革需要经历八个阶段：建立紧迫感、组建指导联盟、确立变革愿景、沟通变革愿景、授权广泛行动、创造短期胜利、巩固成果并推进更多变革、将新方法融入企业文化。这一模型为分析商业地产企业轻资产转型的阶段性特征提供了理论参照。</w:t>
      </w:r>
    </w:p>
    <w:p>
      <w:pPr>
        <w:spacing w:after="200" w:line="360"/>
        <w:ind w:firstLine="480"/>
      </w:pPr>
      <w:r>
        <w:rPr>
          <w:sz w:val="24"/>
          <w:szCs w:val="24"/>
        </w:rPr>
        <w:t xml:space="preserve">动态能力理论为理解企业如何在快速变化的环境中维持竞争优势提供了重要视角。Teece（2009）在《动态能力与战略管理》（*Dynamic Capabilities and Strategic Management*）中系统阐述了动态能力的概念框架，将其定义为企业"整合、构建和重构内外部能力以应对快速变化环境的能力"。Teece指出，动态能力包括感知机会与威胁、捕捉资源、重构资源组合三个维度。这一理论为理解商业地产企业如何通过REITs工具实现资源重构和能力转型提供了理论基础。</w:t>
      </w:r>
    </w:p>
    <w:p>
      <w:pPr>
        <w:spacing w:after="200" w:line="360"/>
        <w:ind w:firstLine="480"/>
      </w:pPr>
      <w:r>
        <w:rPr>
          <w:sz w:val="24"/>
          <w:szCs w:val="24"/>
        </w:rPr>
        <w:t xml:space="preserve">企业成长理论为分析轻资产转型的内在动力提供了基础。Penrose（1959）在《企业成长理论》（*The Theory of the Growth of the Firm*）中提出了企业内生成长理论，强调企业是"资源的集合体"，企业的成长取决于内部资源的积累和利用效率。Penrose指出，管理者对资源的运用能力是企业成长的关键约束。这一理论为理解轻资产运营的本质——将资源从资产持有转向运营管理能力——提供了理论支撑。</w:t>
      </w:r>
    </w:p>
    <w:p>
      <w:pPr>
        <w:spacing w:after="200" w:line="360"/>
        <w:ind w:firstLine="480"/>
      </w:pPr>
      <w:r>
        <w:rPr>
          <w:sz w:val="24"/>
          <w:szCs w:val="24"/>
        </w:rPr>
        <w:t xml:space="preserve">价值链理论为分析轻资产转型的价值创造逻辑提供了工具。Porter（1985）在《竞争优势》（*Competitive Advantage*）中提出了价值链分析框架，将企业的价值创造活动分解为主要活动（运营、营销、服务等）和支持活动（人力资源、技术开发等）。Porter指出，竞争优势来源于企业在价值链某些环节的独特能力。这一理论为理解轻资产运营如何通过聚焦高附加值环节（品牌、管理）实现价值创造提供了分析框架。</w:t>
      </w:r>
    </w:p>
    <w:p>
      <w:pPr>
        <w:spacing w:after="200" w:line="360"/>
        <w:ind w:firstLine="480"/>
      </w:pPr>
      <w:r>
        <w:rPr>
          <w:sz w:val="24"/>
          <w:szCs w:val="24"/>
        </w:rPr>
        <w:t xml:space="preserve">资产证券化与企业去杠杆的关系是近年来中国学术界关注的热点。相关研究表明，资产证券化能够帮助企业优化资本结构、降低财务杠杆，但这一效应的实现取决于交易结构设计、募集资金用途和资本循环机制等因素。对于房地产企业而言，资产证券化（包括类REITs和公募REITs）是实现轻资产转型的重要工具，但"出表不降杠杆"的现象也时有发生，这提示需要深入分析资产证券化发挥作用的边界条件。</w:t>
      </w:r>
    </w:p>
    <w:p>
      <w:pPr>
        <w:spacing w:after="200" w:line="360"/>
        <w:ind w:firstLine="480"/>
      </w:pPr>
      <w:r>
        <w:rPr>
          <w:sz w:val="24"/>
          <w:szCs w:val="24"/>
        </w:rPr>
        <w:t xml:space="preserve">商业地产轻资产运营的比较研究为理解不同转型路径提供了国际视野。研究表明，美国、新加坡、澳大利亚等成熟市场的商业地产企业普遍采用轻资产运营模式，但具体路径存在差异：美国企业多采用REITs架构实现资产循环，新加坡企业多采用"私募基金+REITs"双轮驱动模式，澳大利亚企业则多采用管理合同模式。这些国际经验为中国商业地产企业的轻资产转型提供了参照，但也需要考虑中国市场环境和制度背景的差异。</w:t>
      </w:r>
    </w:p>
    <w:p>
      <w:pPr>
        <w:spacing w:after="200" w:line="360"/>
        <w:ind w:firstLine="480"/>
      </w:pPr>
      <w:r>
        <w:rPr>
          <w:sz w:val="24"/>
          <w:szCs w:val="24"/>
        </w:rPr>
        <w:t xml:space="preserve">REITs扩募与资本循环效率的关系是REITs研究的前沿议题。研究表明，REITs的扩募能力（Follow-on Offering）是衡量资本循环效率的重要指标。成熟的REITs市场具有完善的扩募机制，允许REITs通过增发份额收购新资产，实现资本的持续循环。中国公募REITs市场尚处于发展初期，扩募机制仍在完善中，这对商业地产企业通过REITs实现持续轻资产转型构成一定制约。</w:t>
      </w:r>
    </w:p>
    <w:p>
      <w:pPr>
        <w:pStyle w:val="Heading2"/>
        <w:spacing w:after="150" w:before="300"/>
      </w:pPr>
      <w:r>
        <w:rPr>
          <w:b/>
          <w:bCs/>
          <w:sz w:val="28"/>
          <w:szCs w:val="28"/>
        </w:rPr>
        <w:t xml:space="preserve">2.3 商业地产转型研究</w:t>
      </w:r>
    </w:p>
    <w:p>
      <w:pPr>
        <w:pStyle w:val="Heading3"/>
        <w:spacing w:after="100" w:before="200"/>
      </w:pPr>
      <w:r>
        <w:rPr>
          <w:b/>
          <w:bCs/>
          <w:sz w:val="26"/>
          <w:szCs w:val="26"/>
        </w:rPr>
        <w:t xml:space="preserve">2.3.1 商业地产的商业模式与转型动因</w:t>
      </w:r>
    </w:p>
    <w:p>
      <w:pPr>
        <w:spacing w:after="200" w:line="360"/>
        <w:ind w:firstLine="480"/>
      </w:pPr>
      <w:r>
        <w:rPr>
          <w:sz w:val="24"/>
          <w:szCs w:val="24"/>
        </w:rPr>
        <w:t xml:space="preserve">商业地产的商业模式可分为三类：开发销售模式、持有运营模式和轻资产运营模式。开发销售模式以住宅开发为主体，商业地产作为配套，通过销售实现资金回笼；持有运营模式以自持商业物业为主体，通过租金收入和资产增值获取收益；轻资产运营模式以运营管理输出为主体，通过管理费和运营服务费获取收益。</w:t>
      </w:r>
    </w:p>
    <w:p>
      <w:pPr>
        <w:spacing w:after="200" w:line="360"/>
        <w:ind w:firstLine="480"/>
      </w:pPr>
      <w:r>
        <w:rPr>
          <w:sz w:val="24"/>
          <w:szCs w:val="24"/>
        </w:rPr>
        <w:t xml:space="preserve">商业地产转型的动因可从外部和内部两个层面分析。外部动因包括：城镇化率提升带来的增量空间收窄，电商冲击导致的实体商业分化加剧，以及融资环境收紧导致的资本约束强化。内部动因包括：重资产模式下的资本效率递减，开发业务毛利率持续下滑，以及企业对盈利稳定性和可持续性的追求。</w:t>
      </w:r>
    </w:p>
    <w:p>
      <w:pPr>
        <w:pStyle w:val="Heading3"/>
        <w:spacing w:after="100" w:before="200"/>
      </w:pPr>
      <w:r>
        <w:rPr>
          <w:b/>
          <w:bCs/>
          <w:sz w:val="26"/>
          <w:szCs w:val="26"/>
        </w:rPr>
        <w:t xml:space="preserve">2.3.2 商业地产轻资产转型的路径研究</w:t>
      </w:r>
    </w:p>
    <w:p>
      <w:pPr>
        <w:spacing w:after="200" w:line="360"/>
        <w:ind w:firstLine="480"/>
      </w:pPr>
      <w:r>
        <w:rPr>
          <w:sz w:val="24"/>
          <w:szCs w:val="24"/>
        </w:rPr>
        <w:t xml:space="preserve">国内学者对商业地产轻资产转型路径的研究尚处于起步阶段。张红和陈骁（2022）以万达商管为案例，分析了"以售养租"向"轻资产运营"转型的路径，指出万达的转型核心在于将商管业务从开发业务中剥离，形成独立的运营管理平台。陈启宗和刘志强（2023）以越秀房产基金为案例，研究了REITs对商业地产企业资本结构的影响，发现越秀通过REITs将资产负债率从84%降至59%，但这一改善主要得益于REITs发行时底层资产债务的同步剥离。</w:t>
      </w:r>
    </w:p>
    <w:p>
      <w:pPr>
        <w:spacing w:after="200" w:line="360"/>
        <w:ind w:firstLine="480"/>
      </w:pPr>
      <w:r>
        <w:rPr>
          <w:sz w:val="24"/>
          <w:szCs w:val="24"/>
        </w:rPr>
        <w:t xml:space="preserve">杨奕和郭杰群（2024）在《北大金融评论》发表的研究中，以凯德集团为案例，系统分析了"私募基金+REITs"资本闭环模式的运行机制，指出凯德的成功关键在于构建了从开发到持有到退出的完整资本循环链条。这一研究为理解REITs驱动的轻资产转型提供了重要的理论参考，但该研究未涉及中国企业的转型实践，也未对转型的财务效应进行量化评估。</w:t>
      </w:r>
    </w:p>
    <w:p>
      <w:pPr>
        <w:pStyle w:val="Heading3"/>
        <w:spacing w:after="100" w:before="200"/>
      </w:pPr>
      <w:r>
        <w:rPr>
          <w:b/>
          <w:bCs/>
          <w:sz w:val="26"/>
          <w:szCs w:val="26"/>
        </w:rPr>
        <w:t xml:space="preserve">2.3.3 商业地产转型的国际经验</w:t>
      </w:r>
    </w:p>
    <w:p>
      <w:pPr>
        <w:spacing w:after="200" w:line="360"/>
        <w:ind w:firstLine="480"/>
      </w:pPr>
      <w:r>
        <w:rPr>
          <w:sz w:val="24"/>
          <w:szCs w:val="24"/>
        </w:rPr>
        <w:t xml:space="preserve">国际商业地产企业的轻资产转型提供了丰富的经验参照。美国西蒙地产集团是全球最大的商业地产REITs，其商业模式以"开发-运营-退出-再投资"的资本循环为核心，通过REITs架构实现了资产的高效周转和资本的持续循环。西蒙地产的资产负债率长期维持在60%左右，显著低于传统开发企业，而其股息率稳定在4%-6%的区间，为投资者提供了稳定的现金回报。</w:t>
      </w:r>
    </w:p>
    <w:p>
      <w:pPr>
        <w:spacing w:after="200" w:line="360"/>
        <w:ind w:firstLine="480"/>
      </w:pPr>
      <w:r>
        <w:rPr>
          <w:sz w:val="24"/>
          <w:szCs w:val="24"/>
        </w:rPr>
        <w:t xml:space="preserve">新加坡凯德集团是亚洲商业地产轻资产转型的标杆。凯德构建了"私募基金+REITs"的双轮驱动模式：私募基金（发展基金和收入基金）负责资产的培育和孵化，REITs负责成熟资产的退出和资本回收。这一模式使凯德将资产负债率从转型前的约78%降至2024年的约42%，同时管理资产规模从2000年的不足100亿新元增长至2024年的超过1300亿新元。</w:t>
      </w:r>
    </w:p>
    <w:p>
      <w:pPr>
        <w:spacing w:after="200" w:line="360"/>
        <w:ind w:firstLine="480"/>
      </w:pPr>
      <w:r>
        <w:rPr>
          <w:sz w:val="24"/>
          <w:szCs w:val="24"/>
        </w:rPr>
        <w:t xml:space="preserve">澳大利亚西田集团（Westfield）则采用了"开发-持有-退出"的分阶段转型路径，先通过开发业务积累商业资产，再通过REITs实现资产退出，最终转型为纯运营管理平台。西田集团于2018年被尤尼贝尔-罗丹科-西芬（Unibail-Rodamco-Westfield）收购后，其轻资产运营模式被整合到更大的平台中运营。</w:t>
      </w:r>
    </w:p>
    <w:p>
      <w:pPr>
        <w:pStyle w:val="Heading2"/>
        <w:spacing w:after="150" w:before="300"/>
      </w:pPr>
      <w:r>
        <w:rPr>
          <w:b/>
          <w:bCs/>
          <w:sz w:val="28"/>
          <w:szCs w:val="28"/>
        </w:rPr>
        <w:t xml:space="preserve">2.4 财务穿透分析方法</w:t>
      </w:r>
    </w:p>
    <w:p>
      <w:pPr>
        <w:pStyle w:val="Heading3"/>
        <w:spacing w:after="100" w:before="200"/>
      </w:pPr>
      <w:r>
        <w:rPr>
          <w:b/>
          <w:bCs/>
          <w:sz w:val="26"/>
          <w:szCs w:val="26"/>
        </w:rPr>
        <w:t xml:space="preserve">2.4.1 财务穿透分析的概念与原理</w:t>
      </w:r>
    </w:p>
    <w:p>
      <w:pPr>
        <w:spacing w:after="200" w:line="360"/>
        <w:ind w:firstLine="480"/>
      </w:pPr>
      <w:r>
        <w:rPr>
          <w:sz w:val="24"/>
          <w:szCs w:val="24"/>
        </w:rPr>
        <w:t xml:space="preserve">财务穿透分析法是一种超越表层财务指标、深入分析企业财务状况内在结构和动态变化的分析方法。与传统财务分析关注单一指标不同，财务穿透分析强调从多维度、多层级、多时序的视角，揭示企业财务状况的深层逻辑和变化趋势。</w:t>
      </w:r>
    </w:p>
    <w:p>
      <w:pPr>
        <w:spacing w:after="200" w:line="360"/>
        <w:ind w:firstLine="480"/>
      </w:pPr>
      <w:r>
        <w:rPr>
          <w:sz w:val="24"/>
          <w:szCs w:val="24"/>
        </w:rPr>
        <w:t xml:space="preserve">财务穿透分析的核心原理可概括为"三个穿透"：一是穿透总量看结构，即从总量的变化深入到结构的变化，如从总资产的变化深入到资产结构的变化；二是穿透结果看过程，即从财务结果的变化深入到驱动因素的变化，如从ROE的变化深入到杜邦分析各要素的变化；三是穿透静态看动态，即从静态的时点数据深入到动态的趋势变化，如从某一年的资产负债率深入到多年的变化趋势。</w:t>
      </w:r>
    </w:p>
    <w:p>
      <w:pPr>
        <w:pStyle w:val="Heading3"/>
        <w:spacing w:after="100" w:before="200"/>
      </w:pPr>
      <w:r>
        <w:rPr>
          <w:b/>
          <w:bCs/>
          <w:sz w:val="26"/>
          <w:szCs w:val="26"/>
        </w:rPr>
        <w:t xml:space="preserve">2.4.2 财务穿透分析在不动产行业的应用</w:t>
      </w:r>
    </w:p>
    <w:p>
      <w:pPr>
        <w:spacing w:after="200" w:line="360"/>
        <w:ind w:firstLine="480"/>
      </w:pPr>
      <w:r>
        <w:rPr>
          <w:sz w:val="24"/>
          <w:szCs w:val="24"/>
        </w:rPr>
        <w:t xml:space="preserve">财务穿透分析在不动产行业的应用具有特殊意义，因为不动产企业的财务报表往往包含大量投资性房地产、开发成本和长期借款，其财务结构与一般制造业和服务业企业存在显著差异。具体而言，不动产行业的财务穿透分析需要关注以下特殊问题：</w:t>
      </w:r>
    </w:p>
    <w:p>
      <w:pPr>
        <w:spacing w:after="200" w:line="360"/>
        <w:ind w:firstLine="480"/>
      </w:pPr>
      <w:r>
        <w:rPr>
          <w:sz w:val="24"/>
          <w:szCs w:val="24"/>
        </w:rPr>
        <w:t xml:space="preserve">其一，投资性房地产的计量方式。投资性房地产可采用成本模式或公允价值模式计量，不同的计量方式对资产总额、净资产和利润产生重大影响。财务穿透分析需要识别计量方式的差异，并进行调整后的可比分析。</w:t>
      </w:r>
    </w:p>
    <w:p>
      <w:pPr>
        <w:spacing w:after="200" w:line="360"/>
        <w:ind w:firstLine="480"/>
      </w:pPr>
      <w:r>
        <w:rPr>
          <w:sz w:val="24"/>
          <w:szCs w:val="24"/>
        </w:rPr>
        <w:t xml:space="preserve">其二，收入确认的时点差异。不动产企业的收入确认存在较大的时点差异——开发业务在交付时确认收入，而运营业务在租赁期内持续确认收入。财务穿透分析需要区分不同业务类型的收入贡献，评估收入结构的稳定性和可持续性。</w:t>
      </w:r>
    </w:p>
    <w:p>
      <w:pPr>
        <w:spacing w:after="200" w:line="360"/>
        <w:ind w:firstLine="480"/>
      </w:pPr>
      <w:r>
        <w:rPr>
          <w:sz w:val="24"/>
          <w:szCs w:val="24"/>
        </w:rPr>
        <w:t xml:space="preserve">其三，负债结构的期限匹配。不动产企业的负债结构中包含大量有息负债，其期限结构与资产的期限结构是否匹配，直接关系到企业的流动性和偿债能力。财务穿透分析需要穿透负债的总量，分析负债的期限结构和利率结构。</w:t>
      </w:r>
    </w:p>
    <w:p>
      <w:pPr>
        <w:pStyle w:val="Heading3"/>
        <w:spacing w:after="100" w:before="200"/>
      </w:pPr>
      <w:r>
        <w:rPr>
          <w:b/>
          <w:bCs/>
          <w:sz w:val="26"/>
          <w:szCs w:val="26"/>
        </w:rPr>
        <w:t xml:space="preserve">2.4.3 轻资产转型财务效应的评估维度</w:t>
      </w:r>
    </w:p>
    <w:p>
      <w:pPr>
        <w:spacing w:after="200" w:line="360"/>
        <w:ind w:firstLine="480"/>
      </w:pPr>
      <w:r>
        <w:rPr>
          <w:sz w:val="24"/>
          <w:szCs w:val="24"/>
        </w:rPr>
        <w:t xml:space="preserve">基于财务穿透分析的原理和不动产行业的特殊性，本研究构建了轻资产转型财务效应的五维度评估框架：</w:t>
      </w:r>
    </w:p>
    <w:p>
      <w:pPr>
        <w:spacing w:after="200" w:line="360"/>
        <w:ind w:firstLine="480"/>
      </w:pPr>
      <w:r>
        <w:rPr>
          <w:sz w:val="24"/>
          <w:szCs w:val="24"/>
        </w:rPr>
        <w:t xml:space="preserve">维度一：资产轻量化。评估轻资产转型对企业资产规模和资产结构的影响，核心指标包括总资产变化率、投资性房地产占比、资产周转率等。轻资产转型的理想效果是总资产增速放缓甚至下降，投资性房地产占比降低，资产周转率提升。</w:t>
      </w:r>
    </w:p>
    <w:p>
      <w:pPr>
        <w:spacing w:after="200" w:line="360"/>
        <w:ind w:firstLine="480"/>
      </w:pPr>
      <w:r>
        <w:rPr>
          <w:sz w:val="24"/>
          <w:szCs w:val="24"/>
        </w:rPr>
        <w:t xml:space="preserve">维度二：收入结构。评估轻资产转型对企业收入来源和收入稳定性的影响，核心指标包括经常性收入占比、管理费收入占比、运营服务收入占比等。轻资产转型的理想效果是经常性收入占比提升，收入来源更加多元化。</w:t>
      </w:r>
    </w:p>
    <w:p>
      <w:pPr>
        <w:spacing w:after="200" w:line="360"/>
        <w:ind w:firstLine="480"/>
      </w:pPr>
      <w:r>
        <w:rPr>
          <w:sz w:val="24"/>
          <w:szCs w:val="24"/>
        </w:rPr>
        <w:t xml:space="preserve">维度三：盈利质量。评估轻资产转型对企业盈利构成和盈利稳定性的影响，核心指标包括经常性业务利润占比、毛利率、净利率等。轻资产转型的理想效果是经常性业务利润占比提升，盈利波动性降低。</w:t>
      </w:r>
    </w:p>
    <w:p>
      <w:pPr>
        <w:spacing w:after="200" w:line="360"/>
        <w:ind w:firstLine="480"/>
      </w:pPr>
      <w:r>
        <w:rPr>
          <w:sz w:val="24"/>
          <w:szCs w:val="24"/>
        </w:rPr>
        <w:t xml:space="preserve">维度四：现金流。评估轻资产转型对企业现金流特征的影响，核心指标包括经营性现金流/净利润、自由现金流、资本支出占比等。轻资产转型的理想效果是经营性现金流改善，资本支出占比下降，自由现金流增加。</w:t>
      </w:r>
    </w:p>
    <w:p>
      <w:pPr>
        <w:spacing w:after="200" w:line="360"/>
        <w:ind w:firstLine="480"/>
      </w:pPr>
      <w:r>
        <w:rPr>
          <w:sz w:val="24"/>
          <w:szCs w:val="24"/>
        </w:rPr>
        <w:t xml:space="preserve">维度五：资本效率。评估轻资产转型对企业资本使用效率的影响，核心指标包括ROE、ROA、资产负债率、净负债率等。轻资产转型的理想效果是ROE和ROA提升，资产负债率和净负债率下降。</w:t>
      </w:r>
    </w:p>
    <w:p>
      <w:pPr>
        <w:pStyle w:val="Heading2"/>
        <w:spacing w:after="150" w:before="300"/>
      </w:pPr>
      <w:r>
        <w:rPr>
          <w:b/>
          <w:bCs/>
          <w:sz w:val="28"/>
          <w:szCs w:val="28"/>
        </w:rPr>
        <w:t xml:space="preserve">2.5 文献评述与研究空白</w:t>
      </w:r>
    </w:p>
    <w:p>
      <w:pPr>
        <w:pStyle w:val="Heading3"/>
        <w:spacing w:after="100" w:before="200"/>
      </w:pPr>
      <w:r>
        <w:rPr>
          <w:b/>
          <w:bCs/>
          <w:sz w:val="26"/>
          <w:szCs w:val="26"/>
        </w:rPr>
        <w:t xml:space="preserve">2.5.1 现有研究的贡献与不足</w:t>
      </w:r>
    </w:p>
    <w:p>
      <w:pPr>
        <w:spacing w:after="200" w:line="360"/>
        <w:ind w:firstLine="480"/>
      </w:pPr>
      <w:r>
        <w:rPr>
          <w:sz w:val="24"/>
          <w:szCs w:val="24"/>
        </w:rPr>
        <w:t xml:space="preserve">综合上述文献梳理，现有研究在以下方面做出了重要贡献：轻资产运营理论从概念到框架的体系化发展，为理解企业转型提供了理论基础；REITs与企业转型的研究揭示了REITs对企业资本结构和治理结构的影响，为分析REITs的转型驱动作用提供了实证依据；商业地产转型研究开始关注中国企业的转型实践，为行业转型提供了经验参考；财务穿透分析方法的发展为系统评估转型效应提供了方法论工具。</w:t>
      </w:r>
    </w:p>
    <w:p>
      <w:pPr>
        <w:spacing w:after="200" w:line="360"/>
        <w:ind w:firstLine="480"/>
      </w:pPr>
      <w:r>
        <w:rPr>
          <w:sz w:val="24"/>
          <w:szCs w:val="24"/>
        </w:rPr>
        <w:t xml:space="preserve">然而，现有研究仍存在以下不足：</w:t>
      </w:r>
    </w:p>
    <w:p>
      <w:pPr>
        <w:spacing w:after="200" w:line="360"/>
        <w:ind w:firstLine="480"/>
      </w:pPr>
      <w:r>
        <w:rPr>
          <w:sz w:val="24"/>
          <w:szCs w:val="24"/>
        </w:rPr>
        <w:t xml:space="preserve">第一，REITs驱动轻资产转型的机制研究不充分。现有文献多将REITs视为金融工具，分析其对融资成本和资本结构的影响，而较少从企业战略转型视角系统分析REITs如何驱动企业从重资产模式转向轻资产模式。特别是REITs发行后的组织变革、业务重构和运营模式调整，缺乏深入的案例研究。</w:t>
      </w:r>
    </w:p>
    <w:p>
      <w:pPr>
        <w:spacing w:after="200" w:line="360"/>
        <w:ind w:firstLine="480"/>
      </w:pPr>
      <w:r>
        <w:rPr>
          <w:sz w:val="24"/>
          <w:szCs w:val="24"/>
        </w:rPr>
        <w:t xml:space="preserve">第二，轻资产转型的财务效应缺乏系统性评估。现有研究多聚焦于资产负债率等单一指标的变化，未能从多维度系统评估轻资产转型对企业财务状况的深层影响。特别是REITs发行对利润表和现金流量表的影响，以及不同财务维度之间的联动关系，缺乏穿透性分析。</w:t>
      </w:r>
    </w:p>
    <w:p>
      <w:pPr>
        <w:spacing w:after="200" w:line="360"/>
        <w:ind w:firstLine="480"/>
      </w:pPr>
      <w:r>
        <w:rPr>
          <w:sz w:val="24"/>
          <w:szCs w:val="24"/>
        </w:rPr>
        <w:t xml:space="preserve">第三，中国商业不动产REITs的理论研究滞后于实践发展。中国公募REITs市场自2020年启动以来发展迅速，特别是2023年消费类REITs扩容后，商业地产REITs的实践已走在理论研究前面。但现有研究对中国企业REITs实践的理论提炼尚不充分，特别是对华润"双平台模式"等创新性实践的学术研究几乎空白。</w:t>
      </w:r>
    </w:p>
    <w:p>
      <w:pPr>
        <w:spacing w:after="200" w:line="360"/>
        <w:ind w:firstLine="480"/>
      </w:pPr>
      <w:r>
        <w:rPr>
          <w:sz w:val="24"/>
          <w:szCs w:val="24"/>
        </w:rPr>
        <w:t xml:space="preserve">第四，跨国案例对比研究不足。现有关于中国商业地产轻资产转型的研究多为单一案例的描述性分析，缺乏与国际标杆企业的系统性对比。跨国案例对比能够检验研究结论在不同市场环境和制度背景下的适用性，增强结论的普适性。</w:t>
      </w:r>
    </w:p>
    <w:p>
      <w:pPr>
        <w:pStyle w:val="Heading3"/>
        <w:spacing w:after="100" w:before="200"/>
      </w:pPr>
      <w:r>
        <w:rPr>
          <w:b/>
          <w:bCs/>
          <w:sz w:val="26"/>
          <w:szCs w:val="26"/>
        </w:rPr>
        <w:t xml:space="preserve">2.5.2 本研究的位置与贡献</w:t>
      </w:r>
    </w:p>
    <w:p>
      <w:pPr>
        <w:spacing w:after="200" w:line="360"/>
        <w:ind w:firstLine="480"/>
      </w:pPr>
      <w:r>
        <w:rPr>
          <w:sz w:val="24"/>
          <w:szCs w:val="24"/>
        </w:rPr>
        <w:t xml:space="preserve">基于上述研究空白的识别，本研究的学术位置和贡献可概括为：</w:t>
      </w:r>
    </w:p>
    <w:p>
      <w:pPr>
        <w:spacing w:after="200" w:line="360"/>
        <w:ind w:firstLine="480"/>
      </w:pPr>
      <w:r>
        <w:rPr>
          <w:sz w:val="24"/>
          <w:szCs w:val="24"/>
        </w:rPr>
        <w:t xml:space="preserve">在研究视角上，本研究从企业战略转型视角分析REITs的驱动作用，而非仅从金融工具视角分析REITs的融资功能，拓展了REITs研究的理论边界。</w:t>
      </w:r>
    </w:p>
    <w:p>
      <w:pPr>
        <w:spacing w:after="200" w:line="360"/>
        <w:ind w:firstLine="480"/>
      </w:pPr>
      <w:r>
        <w:rPr>
          <w:sz w:val="24"/>
          <w:szCs w:val="24"/>
        </w:rPr>
        <w:t xml:space="preserve">在分析方法上，本研究构建了"资产轻量化-收入结构-盈利质量-现金流-资本效率"五维度财务穿透分析框架，为系统评估轻资产转型的财务效应提供了方法论工具。</w:t>
      </w:r>
    </w:p>
    <w:p>
      <w:pPr>
        <w:spacing w:after="200" w:line="360"/>
        <w:ind w:firstLine="480"/>
      </w:pPr>
      <w:r>
        <w:rPr>
          <w:sz w:val="24"/>
          <w:szCs w:val="24"/>
        </w:rPr>
        <w:t xml:space="preserve">在案例选择上，本研究首次系统研究华润"双平台模式"的转型机制，并以凯德集团作为跨国验证案例，弥补了现有研究对中国企业创新实践和国际对比的不足。</w:t>
      </w:r>
    </w:p>
    <w:p>
      <w:pPr>
        <w:spacing w:after="200" w:line="360"/>
        <w:ind w:firstLine="480"/>
      </w:pPr>
      <w:r>
        <w:rPr>
          <w:sz w:val="24"/>
          <w:szCs w:val="24"/>
        </w:rPr>
        <w:t xml:space="preserve">在理论贡献上，本研究将轻资产运营理论、REITs理论和企业转型理论进行整合，构建了"REITs驱动-路径选择-效应评估"的分析框架，为理解REITs驱动商业地产企业轻资产转型提供了系统性的理论解释。</w:t>
      </w:r>
    </w:p>
    <w:p>
      <w:pPr>
        <w:pStyle w:val="Heading1"/>
        <w:spacing w:after="200" w:before="400"/>
      </w:pPr>
      <w:r>
        <w:rPr>
          <w:b/>
          <w:bCs/>
          <w:sz w:val="32"/>
          <w:szCs w:val="32"/>
        </w:rPr>
        <w:t xml:space="preserve">第三章 研究设计</w:t>
      </w:r>
    </w:p>
    <w:p>
      <w:pPr>
        <w:pStyle w:val="Heading2"/>
        <w:spacing w:after="150" w:before="300"/>
      </w:pPr>
      <w:r>
        <w:rPr>
          <w:b/>
          <w:bCs/>
          <w:sz w:val="28"/>
          <w:szCs w:val="28"/>
        </w:rPr>
        <w:t xml:space="preserve">3.1 研究问题与假设</w:t>
      </w:r>
    </w:p>
    <w:p>
      <w:pPr>
        <w:pStyle w:val="Heading3"/>
        <w:spacing w:after="100" w:before="200"/>
      </w:pPr>
      <w:r>
        <w:rPr>
          <w:b/>
          <w:bCs/>
          <w:sz w:val="26"/>
          <w:szCs w:val="26"/>
        </w:rPr>
        <w:t xml:space="preserve">3.1.1 核心研究问题</w:t>
      </w:r>
    </w:p>
    <w:p>
      <w:pPr>
        <w:spacing w:after="200" w:line="360"/>
        <w:ind w:firstLine="480"/>
      </w:pPr>
      <w:r>
        <w:rPr>
          <w:sz w:val="24"/>
          <w:szCs w:val="24"/>
        </w:rPr>
        <w:t xml:space="preserve">本研究的核心问题是：REITs如何驱动商业地产企业从重资产持有模式向轻资产运营模式转型？这一问题包含三个相互关联的子问题：转型的路径是什么？转型的效应如何？成功的边界条件是什么？</w:t>
      </w:r>
    </w:p>
    <w:p>
      <w:pPr>
        <w:spacing w:after="200" w:line="360"/>
        <w:ind w:firstLine="480"/>
      </w:pPr>
      <w:r>
        <w:rPr>
          <w:sz w:val="24"/>
          <w:szCs w:val="24"/>
        </w:rPr>
        <w:t xml:space="preserve">对这一核心问题的回答，需要将其分解为可操作的研究子问题。基于第二章文献综述中识别的四个研究空白，本研究将核心问题分解为五个子问题，形成层层递进的研究逻辑。</w:t>
      </w:r>
    </w:p>
    <w:p>
      <w:pPr>
        <w:pStyle w:val="Heading3"/>
        <w:spacing w:after="100" w:before="200"/>
      </w:pPr>
      <w:r>
        <w:rPr>
          <w:b/>
          <w:bCs/>
          <w:sz w:val="26"/>
          <w:szCs w:val="26"/>
        </w:rPr>
        <w:t xml:space="preserve">3.1.2 研究假设体系</w:t>
      </w:r>
    </w:p>
    <w:p>
      <w:pPr>
        <w:spacing w:after="200" w:line="360"/>
        <w:ind w:firstLine="480"/>
      </w:pPr>
      <w:r>
        <w:rPr>
          <w:sz w:val="24"/>
          <w:szCs w:val="24"/>
        </w:rPr>
        <w:t xml:space="preserve">基于文献综述和理论分析，本研究提出以下研究假设，作为后续案例分析的理论预期：</w:t>
      </w:r>
    </w:p>
    <w:p>
      <w:pPr>
        <w:spacing w:after="200" w:line="360"/>
        <w:ind w:firstLine="480"/>
      </w:pPr>
      <w:r>
        <w:rPr>
          <w:b/>
          <w:bCs/>
          <w:sz w:val="24"/>
          <w:szCs w:val="24"/>
        </w:rPr>
        <w:t xml:space="preserve">假设H1：REITs发行与经常性收入占比正相关</w:t>
      </w:r>
    </w:p>
    <w:p>
      <w:pPr>
        <w:spacing w:after="200" w:line="360"/>
        <w:ind w:firstLine="480"/>
      </w:pPr>
      <w:r>
        <w:rPr>
          <w:sz w:val="24"/>
          <w:szCs w:val="24"/>
        </w:rPr>
        <w:t xml:space="preserve">理论基础：REITs发行推动企业从资产持有向运营管理转型，管理费收入等经常性收入占比应显著提升。</w:t>
      </w:r>
    </w:p>
    <w:p>
      <w:pPr>
        <w:spacing w:after="200" w:line="360"/>
        <w:ind w:firstLine="480"/>
      </w:pPr>
      <w:r>
        <w:rPr>
          <w:sz w:val="24"/>
          <w:szCs w:val="24"/>
        </w:rPr>
        <w:t xml:space="preserve">具体表述：REITs发行后，企业经常性收入占比将显著提升，且经常性收入增速高于总资产增速。</w:t>
      </w:r>
    </w:p>
    <w:p>
      <w:pPr>
        <w:spacing w:after="200" w:line="360"/>
        <w:ind w:firstLine="480"/>
      </w:pPr>
      <w:r>
        <w:rPr>
          <w:b/>
          <w:bCs/>
          <w:sz w:val="24"/>
          <w:szCs w:val="24"/>
        </w:rPr>
        <w:t xml:space="preserve">假设H2：轻资产转型程度与净负债率负相关</w:t>
      </w:r>
    </w:p>
    <w:p>
      <w:pPr>
        <w:spacing w:after="200" w:line="360"/>
        <w:ind w:firstLine="480"/>
      </w:pPr>
      <w:r>
        <w:rPr>
          <w:sz w:val="24"/>
          <w:szCs w:val="24"/>
        </w:rPr>
        <w:t xml:space="preserve">理论基础：轻资产转型通过资产出表和资本回收降低财务杠杆，净负债率应呈下降趋势。</w:t>
      </w:r>
    </w:p>
    <w:p>
      <w:pPr>
        <w:spacing w:after="200" w:line="360"/>
        <w:ind w:firstLine="480"/>
      </w:pPr>
      <w:r>
        <w:rPr>
          <w:sz w:val="24"/>
          <w:szCs w:val="24"/>
        </w:rPr>
        <w:t xml:space="preserve">具体表述：轻资产转型程度越高，企业净负债率越低；REITs发行当年及后续年度，净负债率应显著下降。</w:t>
      </w:r>
    </w:p>
    <w:p>
      <w:pPr>
        <w:spacing w:after="200" w:line="360"/>
        <w:ind w:firstLine="480"/>
      </w:pPr>
      <w:r>
        <w:rPr>
          <w:b/>
          <w:bCs/>
          <w:sz w:val="24"/>
          <w:szCs w:val="24"/>
        </w:rPr>
        <w:t xml:space="preserve">假设H3：运营能力成熟度是转型成功的必要条件</w:t>
      </w:r>
    </w:p>
    <w:p>
      <w:pPr>
        <w:spacing w:after="200" w:line="360"/>
        <w:ind w:firstLine="480"/>
      </w:pPr>
      <w:r>
        <w:rPr>
          <w:sz w:val="24"/>
          <w:szCs w:val="24"/>
        </w:rPr>
        <w:t xml:space="preserve">理论基础：Sohn等（2013）和Turner &amp; Guilding（2010）的研究表明，轻资产运营的成功取决于管理体系的成熟度。</w:t>
      </w:r>
    </w:p>
    <w:p>
      <w:pPr>
        <w:spacing w:after="200" w:line="360"/>
        <w:ind w:firstLine="480"/>
      </w:pPr>
      <w:r>
        <w:rPr>
          <w:sz w:val="24"/>
          <w:szCs w:val="24"/>
        </w:rPr>
        <w:t xml:space="preserve">具体表述：运营管理能力成熟度（以出租率、租金收缴率、第三方外拓占比衡量）与轻资产转型财务效应正相关。</w:t>
      </w:r>
    </w:p>
    <w:p>
      <w:pPr>
        <w:spacing w:after="200" w:line="360"/>
        <w:ind w:firstLine="480"/>
      </w:pPr>
      <w:r>
        <w:rPr>
          <w:b/>
          <w:bCs/>
          <w:sz w:val="24"/>
          <w:szCs w:val="24"/>
        </w:rPr>
        <w:t xml:space="preserve">假设H4：REITs交易结构影响出表效果</w:t>
      </w:r>
    </w:p>
    <w:p>
      <w:pPr>
        <w:spacing w:after="200" w:line="360"/>
        <w:ind w:firstLine="480"/>
      </w:pPr>
      <w:r>
        <w:rPr>
          <w:sz w:val="24"/>
          <w:szCs w:val="24"/>
        </w:rPr>
        <w:t xml:space="preserve">理论基础：Hardin &amp; Wu（2010）指出，售后租回模式可能因租赁负债上表而抵消资产负债率改善。</w:t>
      </w:r>
    </w:p>
    <w:p>
      <w:pPr>
        <w:spacing w:after="200" w:line="360"/>
        <w:ind w:firstLine="480"/>
      </w:pPr>
      <w:r>
        <w:rPr>
          <w:sz w:val="24"/>
          <w:szCs w:val="24"/>
        </w:rPr>
        <w:t xml:space="preserve">具体表述：采用真实出售交易结构的REITs，资产负债率改善效果显著优于售后租回结构。</w:t>
      </w:r>
    </w:p>
    <w:p>
      <w:pPr>
        <w:spacing w:after="200" w:line="360"/>
        <w:ind w:firstLine="480"/>
      </w:pPr>
      <w:r>
        <w:rPr>
          <w:b/>
          <w:bCs/>
          <w:sz w:val="24"/>
          <w:szCs w:val="24"/>
        </w:rPr>
        <w:t xml:space="preserve">假设H5：资本循环通道畅通性影响转型持续性</w:t>
      </w:r>
    </w:p>
    <w:p>
      <w:pPr>
        <w:spacing w:after="200" w:line="360"/>
        <w:ind w:firstLine="480"/>
      </w:pPr>
      <w:r>
        <w:rPr>
          <w:sz w:val="24"/>
          <w:szCs w:val="24"/>
        </w:rPr>
        <w:t xml:space="preserve">理论基础：凯德"私募基金+REITs"模式的成功在于构建了完整的资本循环链条。</w:t>
      </w:r>
    </w:p>
    <w:p>
      <w:pPr>
        <w:spacing w:after="200" w:line="360"/>
        <w:ind w:firstLine="480"/>
      </w:pPr>
      <w:r>
        <w:rPr>
          <w:sz w:val="24"/>
          <w:szCs w:val="24"/>
        </w:rPr>
        <w:t xml:space="preserve">具体表述：具备"培育-成熟-退出-再投资"资本循环机制的企业，轻资产转型的财务效应更持久。</w:t>
      </w:r>
    </w:p>
    <w:p>
      <w:pPr>
        <w:pStyle w:val="Heading3"/>
        <w:spacing w:after="100" w:before="200"/>
      </w:pPr>
      <w:r>
        <w:rPr>
          <w:b/>
          <w:bCs/>
          <w:sz w:val="26"/>
          <w:szCs w:val="26"/>
        </w:rPr>
        <w:t xml:space="preserve">3.1.3 子问题体系</w:t>
      </w:r>
    </w:p>
    <w:p>
      <w:pPr>
        <w:spacing w:after="200" w:line="360"/>
        <w:ind w:firstLine="480"/>
      </w:pPr>
      <w:r>
        <w:rPr>
          <w:b/>
          <w:bCs/>
          <w:sz w:val="24"/>
          <w:szCs w:val="24"/>
        </w:rPr>
        <w:t xml:space="preserve">子问题一：商业地产企业轻资产转型的驱动因素与内在逻辑是什么？</w:t>
      </w:r>
    </w:p>
    <w:p>
      <w:pPr>
        <w:spacing w:after="200" w:line="360"/>
        <w:ind w:firstLine="480"/>
      </w:pPr>
      <w:r>
        <w:rPr>
          <w:sz w:val="24"/>
          <w:szCs w:val="24"/>
        </w:rPr>
        <w:t xml:space="preserve">这一子问题旨在回答"为什么转型"。需要从行业环境变化、企业战略选择和金融工具创新三个层面，分析商业地产企业轻资产转型的驱动因素。特别需要关注REITs作为金融工具创新，如何与行业环境变化和企业战略选择形成共振，推动企业启动转型进程。这一子问题的研究将采用文献分析与行业数据相结合的方法，构建"外部压力-内部动力-工具赋能"的三维驱动分析框架。</w:t>
      </w:r>
    </w:p>
    <w:p>
      <w:pPr>
        <w:spacing w:after="200" w:line="360"/>
        <w:ind w:firstLine="480"/>
      </w:pPr>
      <w:r>
        <w:rPr>
          <w:b/>
          <w:bCs/>
          <w:sz w:val="24"/>
          <w:szCs w:val="24"/>
        </w:rPr>
        <w:t xml:space="preserve">子问题二：REITs驱动的轻资产转型路径有哪些关键环节？</w:t>
      </w:r>
    </w:p>
    <w:p>
      <w:pPr>
        <w:spacing w:after="200" w:line="360"/>
        <w:ind w:firstLine="480"/>
      </w:pPr>
      <w:r>
        <w:rPr>
          <w:sz w:val="24"/>
          <w:szCs w:val="24"/>
        </w:rPr>
        <w:t xml:space="preserve">这一子问题旨在回答"如何转型"。需要从企业实践出发，梳理REITs驱动轻资产转型的完整路径，识别路径中的关键环节和决策节点。特别需要关注REITs发行前后的组织变革、业务重构和运营模式调整，以及不同转型路径的选择逻辑。这一子问题的研究将采用纵向案例研究法，以华润置地和凯德集团的转型历程为分析对象，构建"重资产持有-资产剥离分拆-轻资产运营平台-REITs资本退出-资本闭环"的五阶段路径分析框架。</w:t>
      </w:r>
    </w:p>
    <w:p>
      <w:pPr>
        <w:spacing w:after="200" w:line="360"/>
        <w:ind w:firstLine="480"/>
      </w:pPr>
      <w:r>
        <w:rPr>
          <w:b/>
          <w:bCs/>
          <w:sz w:val="24"/>
          <w:szCs w:val="24"/>
        </w:rPr>
        <w:t xml:space="preserve">子问题三：轻资产转型的财务效应如何量化评估？</w:t>
      </w:r>
    </w:p>
    <w:p>
      <w:pPr>
        <w:spacing w:after="200" w:line="360"/>
        <w:ind w:firstLine="480"/>
      </w:pPr>
      <w:r>
        <w:rPr>
          <w:sz w:val="24"/>
          <w:szCs w:val="24"/>
        </w:rPr>
        <w:t xml:space="preserve">这一子问题旨在回答"转型效果如何（财务层面）"。需要从资产负债表、利润表和现金流量表三个维度，系统评估轻资产转型对企业财务状况的深层影响。特别需要关注REITs发行对资产结构、收入结构、盈利质量和资本效率的影响，以及不同财务维度之间的联动关系。这一子问题的研究将采用财务穿透分析法，构建"资产轻量化-收入结构-盈利质量-现金流-资本效率"五维度评估框架，对转型前后的财务数据进行对比分析。</w:t>
      </w:r>
    </w:p>
    <w:p>
      <w:pPr>
        <w:spacing w:after="200" w:line="360"/>
        <w:ind w:firstLine="480"/>
      </w:pPr>
      <w:r>
        <w:rPr>
          <w:b/>
          <w:bCs/>
          <w:sz w:val="24"/>
          <w:szCs w:val="24"/>
        </w:rPr>
        <w:t xml:space="preserve">子问题四：轻资产转型的运营效应如何衡量？</w:t>
      </w:r>
    </w:p>
    <w:p>
      <w:pPr>
        <w:spacing w:after="200" w:line="360"/>
        <w:ind w:firstLine="480"/>
      </w:pPr>
      <w:r>
        <w:rPr>
          <w:sz w:val="24"/>
          <w:szCs w:val="24"/>
        </w:rPr>
        <w:t xml:space="preserve">这一子问题旨在回答"转型效果如何（运营层面）"。需要从管理规模、运营效率和品牌价值三个维度，评估轻资产转型对企业运营能力的影响。特别需要关注REITs发行后企业管理规模的扩张方式、运营效率的提升路径和品牌价值的实现机制。这一子问题的研究将采用运营数据分析法，结合行业对标数据，评估转型对企业运营能力的综合影响。</w:t>
      </w:r>
    </w:p>
    <w:p>
      <w:pPr>
        <w:spacing w:after="200" w:line="360"/>
        <w:ind w:firstLine="480"/>
      </w:pPr>
      <w:r>
        <w:rPr>
          <w:b/>
          <w:bCs/>
          <w:sz w:val="24"/>
          <w:szCs w:val="24"/>
        </w:rPr>
        <w:t xml:space="preserve">子问题五：成功实现轻资产转型的边界条件是什么？</w:t>
      </w:r>
    </w:p>
    <w:p>
      <w:pPr>
        <w:spacing w:after="200" w:line="360"/>
        <w:ind w:firstLine="480"/>
      </w:pPr>
      <w:r>
        <w:rPr>
          <w:sz w:val="24"/>
          <w:szCs w:val="24"/>
        </w:rPr>
        <w:t xml:space="preserve">这一子问题旨在回答"什么条件下转型能成功"。需要通过主案例与验证案例的对比分析，识别成功实现轻资产转型的关键条件。特别需要关注REITs发行时的交易结构设计、底层资产质量、管理能力支撑和资本闭环完整性等因素对转型效果的影响。这一子问题的研究将采用跨案例比较法，从华润、凯德以及反面案例（苏宁）的对比中提炼边界条件。</w:t>
      </w:r>
    </w:p>
    <w:p>
      <w:pPr>
        <w:spacing w:after="200" w:line="360"/>
        <w:ind w:firstLine="480"/>
      </w:pPr>
      <w:r>
        <w:rPr>
          <w:sz w:val="24"/>
          <w:szCs w:val="24"/>
        </w:rPr>
        <w:t xml:space="preserve">上述五个子问题形成了"驱动因素-转型路径-财务效应-运营效应-边界条件"的完整研究链条，既回答了"为什么转型"和"如何转型"的问题，也回答了"转型效果如何"和"什么条件下能成功"的问题。</w:t>
      </w:r>
    </w:p>
    <w:p>
      <w:pPr>
        <w:pStyle w:val="Heading2"/>
        <w:spacing w:after="150" w:before="300"/>
      </w:pPr>
      <w:r>
        <w:rPr>
          <w:b/>
          <w:bCs/>
          <w:sz w:val="28"/>
          <w:szCs w:val="28"/>
        </w:rPr>
        <w:t xml:space="preserve">3.2 案例选择与依据</w:t>
      </w:r>
    </w:p>
    <w:p>
      <w:pPr>
        <w:pStyle w:val="Heading3"/>
        <w:spacing w:after="100" w:before="200"/>
      </w:pPr>
      <w:r>
        <w:rPr>
          <w:b/>
          <w:bCs/>
          <w:sz w:val="26"/>
          <w:szCs w:val="26"/>
        </w:rPr>
        <w:t xml:space="preserve">3.2.1 案例选择原则</w:t>
      </w:r>
    </w:p>
    <w:p>
      <w:pPr>
        <w:spacing w:after="200" w:line="360"/>
        <w:ind w:firstLine="480"/>
      </w:pPr>
      <w:r>
        <w:rPr>
          <w:sz w:val="24"/>
          <w:szCs w:val="24"/>
        </w:rPr>
        <w:t xml:space="preserve">本研究采用Yin（2018）提出的案例选择原则，从典型性、启示性和数据可得性三个维度进行案例筛选。典型性要求案例企业具有行业代表性，其转型实践能够反映行业共性；启示性要求案例企业的转型实践具有理论贡献潜力，能够为理论发展提供新的洞见；数据可得性要求案例企业的财务数据和运营数据公开透明，能够支撑深度分析。</w:t>
      </w:r>
    </w:p>
    <w:p>
      <w:pPr>
        <w:spacing w:after="200" w:line="360"/>
        <w:ind w:firstLine="480"/>
      </w:pPr>
      <w:r>
        <w:rPr>
          <w:sz w:val="24"/>
          <w:szCs w:val="24"/>
        </w:rPr>
        <w:t xml:space="preserve">在具体筛选过程中，本研究首先确定了候选案例范围，包括华润置地、万达商管、新城控股、龙湖集团、越秀地产、凯德集团、苏宁易购等七家具有代表性的商业地产企业。然后从转型路径清晰度、数据可得性、行业代表性和学术价值四个维度进行评分，筛选出主案例、验证案例和反面案例。</w:t>
      </w:r>
    </w:p>
    <w:p>
      <w:pPr>
        <w:spacing w:after="200" w:line="360"/>
        <w:ind w:firstLine="480"/>
      </w:pPr>
      <w:r>
        <w:rPr>
          <w:b/>
          <w:bCs/>
          <w:sz w:val="24"/>
          <w:szCs w:val="24"/>
        </w:rPr>
        <w:t xml:space="preserve">表3-1 案例选择评分矩阵</w:t>
      </w:r>
    </w:p>
    <w:p>
      <w:pPr>
        <w:spacing w:after="100"/>
      </w:pPr>
      <w:r>
        <w:rPr>
          <w:sz w:val="20"/>
          <w:szCs w:val="20"/>
        </w:rPr>
        <w:t xml:space="preserve">评估维度 | 华润置地 | 万达商管 | 新城控股 | 龙湖集团 | 越秀地产 | 凯德集团 | 苏宁易购</w:t>
      </w:r>
    </w:p>
    <w:p>
      <w:pPr>
        <w:spacing w:after="100"/>
      </w:pPr>
      <w:r>
        <w:rPr>
          <w:sz w:val="20"/>
          <w:szCs w:val="20"/>
        </w:rPr>
        <w:t xml:space="preserve">转型路径清晰度 | ★★★★★ | ★★★★ | ★★★ | ★★★ | ★★★★ | ★★★★★ | ★★★★</w:t>
      </w:r>
    </w:p>
    <w:p>
      <w:pPr>
        <w:spacing w:after="100"/>
      </w:pPr>
      <w:r>
        <w:rPr>
          <w:sz w:val="20"/>
          <w:szCs w:val="20"/>
        </w:rPr>
        <w:t xml:space="preserve">数据可得性 | ★★★★★ | ★★★ | ★★★★ | ★★★★ | ★★★★ | ★★★★★ | ★★★★★</w:t>
      </w:r>
    </w:p>
    <w:p>
      <w:pPr>
        <w:spacing w:after="100"/>
      </w:pPr>
      <w:r>
        <w:rPr>
          <w:sz w:val="20"/>
          <w:szCs w:val="20"/>
        </w:rPr>
        <w:t xml:space="preserve">行业代表性 | ★★★★★ | ★★★★★ | ★★★★ | ★★★★ | ★★★ | ★★★★ | ★★★★</w:t>
      </w:r>
    </w:p>
    <w:p>
      <w:pPr>
        <w:spacing w:after="100"/>
      </w:pPr>
      <w:r>
        <w:rPr>
          <w:sz w:val="20"/>
          <w:szCs w:val="20"/>
        </w:rPr>
        <w:t xml:space="preserve">学术价值 | ★★★★★ | ★★★ | ★★★ | ★★★ | ★★★★ | ★★★★★ | ★★★★★</w:t>
      </w:r>
    </w:p>
    <w:p>
      <w:pPr>
        <w:spacing w:after="100"/>
      </w:pPr>
      <w:r>
        <w:rPr>
          <w:sz w:val="20"/>
          <w:szCs w:val="20"/>
        </w:rPr>
        <w:t xml:space="preserve">综合评分 | 20 | 16 | 15 | 16 | 16 | 19 | 17</w:t>
      </w:r>
    </w:p>
    <w:p>
      <w:pPr>
        <w:pStyle w:val="Heading3"/>
        <w:spacing w:after="100" w:before="200"/>
      </w:pPr>
      <w:r>
        <w:rPr>
          <w:b/>
          <w:bCs/>
          <w:sz w:val="26"/>
          <w:szCs w:val="26"/>
        </w:rPr>
        <w:t xml:space="preserve">3.2.2 主案例：华润置地/华润万象生活</w:t>
      </w:r>
    </w:p>
    <w:p>
      <w:pPr>
        <w:spacing w:after="200" w:line="360"/>
        <w:ind w:firstLine="480"/>
      </w:pPr>
      <w:r>
        <w:rPr>
          <w:sz w:val="24"/>
          <w:szCs w:val="24"/>
        </w:rPr>
        <w:t xml:space="preserve">华润置地被选为主案例，基于以下四方面考量：</w:t>
      </w:r>
    </w:p>
    <w:p>
      <w:pPr>
        <w:spacing w:after="200" w:line="360"/>
        <w:ind w:firstLine="480"/>
      </w:pPr>
      <w:r>
        <w:rPr>
          <w:sz w:val="24"/>
          <w:szCs w:val="24"/>
        </w:rPr>
        <w:t xml:space="preserve">其一，转型路径的完整性和清晰度。华润置地的轻资产转型经历了"重资产开发商→商管平台分拆上市→REITs平台发行→双平台协同"的完整过程，转型路径清晰、阶段分明，为分析REITs驱动轻资产转型的机制提供了理想的研究对象。2020年3月华润万象生活在香港上市，标志着商管平台从开发业务中独立；2024年3月华润商业REIT在深交所上市，标志着资本退出通道的打通。两个关键节点的先后衔接，完整呈现了REITs驱动轻资产转型的路径逻辑。</w:t>
      </w:r>
    </w:p>
    <w:p>
      <w:pPr>
        <w:spacing w:after="200" w:line="360"/>
        <w:ind w:firstLine="480"/>
      </w:pPr>
      <w:r>
        <w:rPr>
          <w:sz w:val="24"/>
          <w:szCs w:val="24"/>
        </w:rPr>
        <w:t xml:space="preserve">其二，"双平台模式"的学术创新性。华润构建了"商管平台（华润万象生活）+REITs平台（华润商业REIT）"的双平台协同模式，这一模式在国内商业地产领域尚属首创。商管平台负责运营管理输出，REITs平台负责资本退出和循环，两个平台通过关联交易和协同机制形成闭环。这一创新性实践为理解REITs驱动轻资产转型的组织变革提供了独特的研究视角。</w:t>
      </w:r>
    </w:p>
    <w:p>
      <w:pPr>
        <w:spacing w:after="200" w:line="360"/>
        <w:ind w:firstLine="480"/>
      </w:pPr>
      <w:r>
        <w:rPr>
          <w:sz w:val="24"/>
          <w:szCs w:val="24"/>
        </w:rPr>
        <w:t xml:space="preserve">其三，数据的完整性和可得性。华润置地和华润万象生活均为香港上市公司，信息披露规范完整；华润商业REIT在深交所上市，招募说明书和定期报告公开透明。2020-2024年的完整财务数据为财务穿透分析提供了坚实的数据基础。</w:t>
      </w:r>
    </w:p>
    <w:p>
      <w:pPr>
        <w:spacing w:after="200" w:line="360"/>
        <w:ind w:firstLine="480"/>
      </w:pPr>
      <w:r>
        <w:rPr>
          <w:sz w:val="24"/>
          <w:szCs w:val="24"/>
        </w:rPr>
        <w:t xml:space="preserve">其四，行业代表性和标杆效应。华润置地是中国商业地产领域的龙头企业，2024年合约销售额居行业前列，在营购物中心超过100座。其转型实践对行业具有示范效应和借鉴意义。</w:t>
      </w:r>
    </w:p>
    <w:p>
      <w:pPr>
        <w:pStyle w:val="Heading3"/>
        <w:spacing w:after="100" w:before="200"/>
      </w:pPr>
      <w:r>
        <w:rPr>
          <w:b/>
          <w:bCs/>
          <w:sz w:val="26"/>
          <w:szCs w:val="26"/>
        </w:rPr>
        <w:t xml:space="preserve">3.2.3 验证案例：凯德集团</w:t>
      </w:r>
    </w:p>
    <w:p>
      <w:pPr>
        <w:spacing w:after="200" w:line="360"/>
        <w:ind w:firstLine="480"/>
      </w:pPr>
      <w:r>
        <w:rPr>
          <w:sz w:val="24"/>
          <w:szCs w:val="24"/>
        </w:rPr>
        <w:t xml:space="preserve">凯德集团被选为验证案例，基于以下四方面考量：</w:t>
      </w:r>
    </w:p>
    <w:p>
      <w:pPr>
        <w:spacing w:after="200" w:line="360"/>
        <w:ind w:firstLine="480"/>
      </w:pPr>
      <w:r>
        <w:rPr>
          <w:sz w:val="24"/>
          <w:szCs w:val="24"/>
        </w:rPr>
        <w:t xml:space="preserve">其一，国际标杆地位。凯德集团是亚洲最大的多元化不动产集团之一，总部位于新加坡，业务遍及全球40多个国家的260多个城市。凯德是最早在亚洲实践"私募基金+REITs"资本闭环模式的企业，其转型经验具有国际标杆意义。</w:t>
      </w:r>
    </w:p>
    <w:p>
      <w:pPr>
        <w:spacing w:after="200" w:line="360"/>
        <w:ind w:firstLine="480"/>
      </w:pPr>
      <w:r>
        <w:rPr>
          <w:sz w:val="24"/>
          <w:szCs w:val="24"/>
        </w:rPr>
        <w:t xml:space="preserve">其二，资本闭环模式的完整性。凯德构建了从开发到持有到退出的完整资本循环链条：开发型基金负责资产的培育和孵化，收入型基金负责成熟资产的持有运营，REITs负责资产的退出和资本回收。这一"私募基金+REITs"的双轮驱动模式，为验证REITs驱动轻资产转型的路径和效应提供了理想的参照。</w:t>
      </w:r>
    </w:p>
    <w:p>
      <w:pPr>
        <w:spacing w:after="200" w:line="360"/>
        <w:ind w:firstLine="480"/>
      </w:pPr>
      <w:r>
        <w:rPr>
          <w:sz w:val="24"/>
          <w:szCs w:val="24"/>
        </w:rPr>
        <w:t xml:space="preserve">其三，中国市场的深度参与。凯德在中国市场深耕超过30年，管理资产规模超过3000亿元人民币，拥有6支在新加坡上市的REITs和商业信托，其中凯德中国信托（CLCT）和华夏凯德商业REIT（2025年上市）直接涉及中国商业地产。凯德的跨国实践为检验研究结论在不同市场环境下的适用性提供了条件。</w:t>
      </w:r>
    </w:p>
    <w:p>
      <w:pPr>
        <w:spacing w:after="200" w:line="360"/>
        <w:ind w:firstLine="480"/>
      </w:pPr>
      <w:r>
        <w:rPr>
          <w:sz w:val="24"/>
          <w:szCs w:val="24"/>
        </w:rPr>
        <w:t xml:space="preserve">其四，与华润的可比性。华润和凯德均以商业地产为核心业务，均构建了运营管理平台和REITs平台的协同模式，但两者在制度背景、市场环境和转型路径上存在差异。这种"同中有异"的案例组合，既有利于验证研究结论的普适性，也有助于识别不同市场环境下转型路径的差异。</w:t>
      </w:r>
    </w:p>
    <w:p>
      <w:pPr>
        <w:pStyle w:val="Heading3"/>
        <w:spacing w:after="100" w:before="200"/>
      </w:pPr>
      <w:r>
        <w:rPr>
          <w:b/>
          <w:bCs/>
          <w:sz w:val="26"/>
          <w:szCs w:val="26"/>
        </w:rPr>
        <w:t xml:space="preserve">3.2.4 反面案例：苏宁易购</w:t>
      </w:r>
    </w:p>
    <w:p>
      <w:pPr>
        <w:spacing w:after="200" w:line="360"/>
        <w:ind w:firstLine="480"/>
      </w:pPr>
      <w:r>
        <w:rPr>
          <w:sz w:val="24"/>
          <w:szCs w:val="24"/>
        </w:rPr>
        <w:t xml:space="preserve">苏宁易购被选为反面案例，基于以下三方面考量：</w:t>
      </w:r>
    </w:p>
    <w:p>
      <w:pPr>
        <w:spacing w:after="200" w:line="360"/>
        <w:ind w:firstLine="480"/>
      </w:pPr>
      <w:r>
        <w:rPr>
          <w:sz w:val="24"/>
          <w:szCs w:val="24"/>
        </w:rPr>
        <w:t xml:space="preserve">其一，REITs发行未能实现轻资产转型的典型性。苏宁易购（原苏宁云商）自2015年起多次发行类REITs/ABS产品，累计发行规模超过100亿元，但资产负债率不降反升，从2015年的约65%攀升至2023年的约91%，是典型的"出表不降杠杆"案例。</w:t>
      </w:r>
    </w:p>
    <w:p>
      <w:pPr>
        <w:spacing w:after="200" w:line="360"/>
        <w:ind w:firstLine="480"/>
      </w:pPr>
      <w:r>
        <w:rPr>
          <w:sz w:val="24"/>
          <w:szCs w:val="24"/>
        </w:rPr>
        <w:t xml:space="preserve">其二，假设检验的启示性。苏宁案例可用于检验H4（交易结构影响出表效果）和H5（资本循环通道影响转型持续性）。苏宁的类REITs多采用售后租回结构，且缺乏"培育-退出-再投资"的完整资本循环，为验证研究假设提供了反面证据。</w:t>
      </w:r>
    </w:p>
    <w:p>
      <w:pPr>
        <w:spacing w:after="200" w:line="360"/>
        <w:ind w:firstLine="480"/>
      </w:pPr>
      <w:r>
        <w:rPr>
          <w:sz w:val="24"/>
          <w:szCs w:val="24"/>
        </w:rPr>
        <w:t xml:space="preserve">其三，数据的可得性。苏宁易购为A股上市公司（002024.SZ），财务数据公开透明；其类REITs发行文件亦公开可查，为案例分析提供了数据基础。</w:t>
      </w:r>
    </w:p>
    <w:p>
      <w:pPr>
        <w:spacing w:after="200" w:line="360"/>
        <w:ind w:firstLine="480"/>
      </w:pPr>
      <w:r>
        <w:rPr>
          <w:b/>
          <w:bCs/>
          <w:sz w:val="24"/>
          <w:szCs w:val="24"/>
        </w:rPr>
        <w:t xml:space="preserve">表3-2 三类案例的功能定位</w:t>
      </w:r>
    </w:p>
    <w:p>
      <w:pPr>
        <w:spacing w:after="100"/>
      </w:pPr>
      <w:r>
        <w:rPr>
          <w:sz w:val="20"/>
          <w:szCs w:val="20"/>
        </w:rPr>
        <w:t xml:space="preserve">案例类型 | 企业 | 功能定位 | 理论作用</w:t>
      </w:r>
    </w:p>
    <w:p>
      <w:pPr>
        <w:spacing w:after="100"/>
      </w:pPr>
      <w:r>
        <w:rPr>
          <w:sz w:val="20"/>
          <w:szCs w:val="20"/>
        </w:rPr>
        <w:t xml:space="preserve">主案例 | 华润置地/华润万象生活 | 深度分析 | 构建理论框架、检验研究假设</w:t>
      </w:r>
    </w:p>
    <w:p>
      <w:pPr>
        <w:spacing w:after="100"/>
      </w:pPr>
      <w:r>
        <w:rPr>
          <w:sz w:val="20"/>
          <w:szCs w:val="20"/>
        </w:rPr>
        <w:t xml:space="preserve">验证案例 | 凯德集团 | 跨案例验证 | 检验外部效度、识别情境差异</w:t>
      </w:r>
    </w:p>
    <w:p>
      <w:pPr>
        <w:spacing w:after="100"/>
      </w:pPr>
      <w:r>
        <w:rPr>
          <w:sz w:val="20"/>
          <w:szCs w:val="20"/>
        </w:rPr>
        <w:t xml:space="preserve">反面案例 | 苏宁易购 | 对比分析 | 验证边界条件、识别失败原因</w:t>
      </w:r>
    </w:p>
    <w:p>
      <w:pPr>
        <w:pStyle w:val="Heading3"/>
        <w:spacing w:after="100" w:before="200"/>
      </w:pPr>
      <w:r>
        <w:rPr>
          <w:b/>
          <w:bCs/>
          <w:sz w:val="26"/>
          <w:szCs w:val="26"/>
        </w:rPr>
        <w:t xml:space="preserve">3.2.5 案例选择的理论依据</w:t>
      </w:r>
    </w:p>
    <w:p>
      <w:pPr>
        <w:spacing w:after="200" w:line="360"/>
        <w:ind w:firstLine="480"/>
      </w:pPr>
      <w:r>
        <w:rPr>
          <w:sz w:val="24"/>
          <w:szCs w:val="24"/>
        </w:rPr>
        <w:t xml:space="preserve">本研究采用Eisenhardt和Graebner（2007）提出的理论抽样逻辑，而非统计抽样逻辑。理论抽样的目标不是追求样本的统计代表性，而是选择能够最大化学术发现的案例。主案例（华润）、验证案例（凯德）和反面案例（苏宁）的选择遵循了"极端案例"和"复制逻辑"的双重原则：华润作为国内"双平台模式"的首创者，属于极端案例，能够揭示新现象的内在机制；凯德作为国际标杆，属于复制案例，能够检验研究结论的外部效度；苏宁作为反面案例，能够验证边界条件和识别失败原因。</w:t>
      </w:r>
    </w:p>
    <w:p>
      <w:pPr>
        <w:pStyle w:val="Heading2"/>
        <w:spacing w:after="150" w:before="300"/>
      </w:pPr>
      <w:r>
        <w:rPr>
          <w:b/>
          <w:bCs/>
          <w:sz w:val="28"/>
          <w:szCs w:val="28"/>
        </w:rPr>
        <w:t xml:space="preserve">3.3 分析框架构建</w:t>
      </w:r>
    </w:p>
    <w:p>
      <w:pPr>
        <w:pStyle w:val="Heading3"/>
        <w:spacing w:after="100" w:before="200"/>
      </w:pPr>
      <w:r>
        <w:rPr>
          <w:b/>
          <w:bCs/>
          <w:sz w:val="26"/>
          <w:szCs w:val="26"/>
        </w:rPr>
        <w:t xml:space="preserve">3.3.1 总体分析框架</w:t>
      </w:r>
    </w:p>
    <w:p>
      <w:pPr>
        <w:spacing w:after="200" w:line="360"/>
        <w:ind w:firstLine="480"/>
      </w:pPr>
      <w:r>
        <w:rPr>
          <w:sz w:val="24"/>
          <w:szCs w:val="24"/>
        </w:rPr>
        <w:t xml:space="preserve">本研究构建了"REITs驱动-路径选择-效应评估"的三层分析框架，作为贯穿全文的分析逻辑。</w:t>
      </w:r>
    </w:p>
    <w:p>
      <w:pPr>
        <w:spacing w:after="200" w:line="360"/>
        <w:ind w:firstLine="480"/>
      </w:pPr>
      <w:r>
        <w:rPr>
          <w:sz w:val="24"/>
          <w:szCs w:val="24"/>
        </w:rPr>
        <w:t xml:space="preserve">第一层"REITs驱动"分析REITs如何作为关键驱动力推动企业启动轻资产转型。这一层分析关注REITs的制度功能（资产出表、资本退出、价值发现）如何与企业战略需求（降杠杆、提效率、可持续盈利）形成共振，从而驱动企业做出转型决策。</w:t>
      </w:r>
    </w:p>
    <w:p>
      <w:pPr>
        <w:spacing w:after="200" w:line="360"/>
        <w:ind w:firstLine="480"/>
      </w:pPr>
      <w:r>
        <w:rPr>
          <w:sz w:val="24"/>
          <w:szCs w:val="24"/>
        </w:rPr>
        <w:t xml:space="preserve">第二层"路径选择"分析企业在REITs驱动下选择何种转型路径。这一层分析关注不同转型路径的关键环节、决策节点和实施难点。基于华润和凯德的实践，本研究提炼出两种典型路径：华润的"分拆上市+REITs发行"双平台路径和凯德的"私募基金+REITs"资本闭环路径。</w:t>
      </w:r>
    </w:p>
    <w:p>
      <w:pPr>
        <w:spacing w:after="200" w:line="360"/>
        <w:ind w:firstLine="480"/>
      </w:pPr>
      <w:r>
        <w:rPr>
          <w:sz w:val="24"/>
          <w:szCs w:val="24"/>
        </w:rPr>
        <w:t xml:space="preserve">第三层"效应评估"分析轻资产转型的财务效应和运营效应。这一层分析采用财务穿透分析法和运营数据分析法，从多维度系统评估转型效果。</w:t>
      </w:r>
    </w:p>
    <w:p>
      <w:pPr>
        <w:pStyle w:val="Heading3"/>
        <w:spacing w:after="100" w:before="200"/>
      </w:pPr>
      <w:r>
        <w:rPr>
          <w:b/>
          <w:bCs/>
          <w:sz w:val="26"/>
          <w:szCs w:val="26"/>
        </w:rPr>
        <w:t xml:space="preserve">3.3.2 轻资产转型路径分析框架</w:t>
      </w:r>
    </w:p>
    <w:p>
      <w:pPr>
        <w:spacing w:after="200" w:line="360"/>
        <w:ind w:firstLine="480"/>
      </w:pPr>
      <w:r>
        <w:rPr>
          <w:sz w:val="24"/>
          <w:szCs w:val="24"/>
        </w:rPr>
        <w:t xml:space="preserve">基于文献综述和案例预研究，本研究构建了轻资产转型的五阶段路径分析框架：</w:t>
      </w:r>
    </w:p>
    <w:p>
      <w:pPr>
        <w:spacing w:after="200" w:line="360"/>
        <w:ind w:firstLine="480"/>
      </w:pPr>
      <w:r>
        <w:rPr>
          <w:b/>
          <w:bCs/>
          <w:sz w:val="24"/>
          <w:szCs w:val="24"/>
        </w:rPr>
        <w:t xml:space="preserve">阶段一：重资产持有期。</w:t>
      </w:r>
      <w:r>
        <w:rPr>
          <w:sz w:val="24"/>
          <w:szCs w:val="24"/>
        </w:rPr>
        <w:t xml:space="preserve"> 企业以开发销售和持有运营为主，资产规模持续扩张，资产负债率居高不下。这一阶段的核心特征是"重资产、高杠杆、低周转"。</w:t>
      </w:r>
    </w:p>
    <w:p>
      <w:pPr>
        <w:spacing w:after="200" w:line="360"/>
        <w:ind w:firstLine="480"/>
      </w:pPr>
      <w:r>
        <w:rPr>
          <w:b/>
          <w:bCs/>
          <w:sz w:val="24"/>
          <w:szCs w:val="24"/>
        </w:rPr>
        <w:t xml:space="preserve">阶段二：资产剥离与分拆期。</w:t>
      </w:r>
      <w:r>
        <w:rPr>
          <w:sz w:val="24"/>
          <w:szCs w:val="24"/>
        </w:rPr>
        <w:t xml:space="preserve"> 企业开始将运营管理业务从开发业务中剥离，通过分拆上市等方式建立独立的运营管理平台。这一阶段的核心决策是"剥离什么、保留什么"，核心挑战是组织架构调整和利益分配机制设计。</w:t>
      </w:r>
    </w:p>
    <w:p>
      <w:pPr>
        <w:spacing w:after="200" w:line="360"/>
        <w:ind w:firstLine="480"/>
      </w:pPr>
      <w:r>
        <w:rPr>
          <w:b/>
          <w:bCs/>
          <w:sz w:val="24"/>
          <w:szCs w:val="24"/>
        </w:rPr>
        <w:t xml:space="preserve">阶段三：轻资产运营平台建设期。</w:t>
      </w:r>
      <w:r>
        <w:rPr>
          <w:sz w:val="24"/>
          <w:szCs w:val="24"/>
        </w:rPr>
        <w:t xml:space="preserve"> 运营管理平台独立运营后，开始以管理输出、品牌授权等方式拓展管理规模，实现"以管理换资产"。这一阶段的核心任务是构建标准化的运营管理体系和品牌输出能力。</w:t>
      </w:r>
    </w:p>
    <w:p>
      <w:pPr>
        <w:spacing w:after="200" w:line="360"/>
        <w:ind w:firstLine="480"/>
      </w:pPr>
      <w:r>
        <w:rPr>
          <w:b/>
          <w:bCs/>
          <w:sz w:val="24"/>
          <w:szCs w:val="24"/>
        </w:rPr>
        <w:t xml:space="preserve">阶段四：REITs资本退出期。</w:t>
      </w:r>
      <w:r>
        <w:rPr>
          <w:sz w:val="24"/>
          <w:szCs w:val="24"/>
        </w:rPr>
        <w:t xml:space="preserve"> 企业通过发行REITs实现成熟资产的出表和资本退出，打通"投融建管退"的资本闭环。这一阶段的核心决策是REITs的底层资产选择、交易结构设计和定价策略。</w:t>
      </w:r>
    </w:p>
    <w:p>
      <w:pPr>
        <w:spacing w:after="200" w:line="360"/>
        <w:ind w:firstLine="480"/>
      </w:pPr>
      <w:r>
        <w:rPr>
          <w:b/>
          <w:bCs/>
          <w:sz w:val="24"/>
          <w:szCs w:val="24"/>
        </w:rPr>
        <w:t xml:space="preserve">阶段五：资本闭环与持续循环期。</w:t>
      </w:r>
      <w:r>
        <w:rPr>
          <w:sz w:val="24"/>
          <w:szCs w:val="24"/>
        </w:rPr>
        <w:t xml:space="preserve"> REITs退出后的资金回笼至运营管理平台，用于新项目的获取和培育，形成"培育-成熟-退出-再投资"的资本循环。这一阶段的核心机制是双平台之间的协同效应和资本循环效率。</w:t>
      </w:r>
    </w:p>
    <w:p>
      <w:pPr>
        <w:spacing w:after="200" w:line="360"/>
        <w:ind w:firstLine="480"/>
      </w:pPr>
      <w:r>
        <w:rPr>
          <w:b/>
          <w:bCs/>
          <w:sz w:val="24"/>
          <w:szCs w:val="24"/>
        </w:rPr>
        <w:t xml:space="preserve">表3-3 轻资产转型五阶段路径分析框架</w:t>
      </w:r>
    </w:p>
    <w:p>
      <w:pPr>
        <w:spacing w:after="100"/>
      </w:pPr>
      <w:r>
        <w:rPr>
          <w:sz w:val="20"/>
          <w:szCs w:val="20"/>
        </w:rPr>
        <w:t xml:space="preserve">阶段 | 核心特征 | 关键决策 | 主要挑战 | 代表事件</w:t>
      </w:r>
    </w:p>
    <w:p>
      <w:pPr>
        <w:spacing w:after="100"/>
      </w:pPr>
      <w:r>
        <w:rPr>
          <w:sz w:val="20"/>
          <w:szCs w:val="20"/>
        </w:rPr>
        <w:t xml:space="preserve">重资产持有期 | 重资产、高杠杆、低周转 | 资产配置策略 | 资本效率递减 | 规模扩张</w:t>
      </w:r>
    </w:p>
    <w:p>
      <w:pPr>
        <w:spacing w:after="100"/>
      </w:pPr>
      <w:r>
        <w:rPr>
          <w:sz w:val="20"/>
          <w:szCs w:val="20"/>
        </w:rPr>
        <w:t xml:space="preserve">资产剥离与分拆期 | 业务重构、组织调整 | 剥离边界与利益分配 | 组织变革阻力 | 商管分拆上市</w:t>
      </w:r>
    </w:p>
    <w:p>
      <w:pPr>
        <w:spacing w:after="100"/>
      </w:pPr>
      <w:r>
        <w:rPr>
          <w:sz w:val="20"/>
          <w:szCs w:val="20"/>
        </w:rPr>
        <w:t xml:space="preserve">轻资产运营平台建设期 | 管理输出、品牌扩张 | 标准化与差异化平衡 | 运营能力建设 | 外拓项目增长</w:t>
      </w:r>
    </w:p>
    <w:p>
      <w:pPr>
        <w:spacing w:after="100"/>
      </w:pPr>
      <w:r>
        <w:rPr>
          <w:sz w:val="20"/>
          <w:szCs w:val="20"/>
        </w:rPr>
        <w:t xml:space="preserve">REITs资本退出期 | 资产出表、资本回收 | 资产选择与交易结构 | 定价与监管审批 | REITs发行上市</w:t>
      </w:r>
    </w:p>
    <w:p>
      <w:pPr>
        <w:spacing w:after="100"/>
      </w:pPr>
      <w:r>
        <w:rPr>
          <w:sz w:val="20"/>
          <w:szCs w:val="20"/>
        </w:rPr>
        <w:t xml:space="preserve">资本闭环与持续循环期 | 资本循环、双平台协同 | 资金配置与再投资 | 协同效率优化 | 扩募与新项目注入</w:t>
      </w:r>
    </w:p>
    <w:p>
      <w:pPr>
        <w:pStyle w:val="Heading3"/>
        <w:spacing w:after="100" w:before="200"/>
      </w:pPr>
      <w:r>
        <w:rPr>
          <w:b/>
          <w:bCs/>
          <w:sz w:val="26"/>
          <w:szCs w:val="26"/>
        </w:rPr>
        <w:t xml:space="preserve">3.3.3 财务效应分析框架</w:t>
      </w:r>
    </w:p>
    <w:p>
      <w:pPr>
        <w:spacing w:after="200" w:line="360"/>
        <w:ind w:firstLine="480"/>
      </w:pPr>
      <w:r>
        <w:rPr>
          <w:sz w:val="24"/>
          <w:szCs w:val="24"/>
        </w:rPr>
        <w:t xml:space="preserve">财务效应分析采用第二章构建的五维度财务穿透分析框架，具体指标体系如下：</w:t>
      </w:r>
    </w:p>
    <w:p>
      <w:pPr>
        <w:spacing w:after="200" w:line="360"/>
        <w:ind w:firstLine="480"/>
      </w:pPr>
      <w:r>
        <w:rPr>
          <w:b/>
          <w:bCs/>
          <w:sz w:val="24"/>
          <w:szCs w:val="24"/>
        </w:rPr>
        <w:t xml:space="preserve">表3-4 财务效应五维度评估指标体系</w:t>
      </w:r>
    </w:p>
    <w:p>
      <w:pPr>
        <w:spacing w:after="100"/>
      </w:pPr>
      <w:r>
        <w:rPr>
          <w:sz w:val="20"/>
          <w:szCs w:val="20"/>
        </w:rPr>
        <w:t xml:space="preserve">分析维度 | 核心指标 | 计算方法 | 分析重点</w:t>
      </w:r>
    </w:p>
    <w:p>
      <w:pPr>
        <w:spacing w:after="100"/>
      </w:pPr>
      <w:r>
        <w:rPr>
          <w:sz w:val="20"/>
          <w:szCs w:val="20"/>
        </w:rPr>
        <w:t xml:space="preserve">资产轻量化 | 投资性房地产占比 | 投资性房地产/总资产 | 资产结构变化趋势</w:t>
      </w:r>
    </w:p>
    <w:p>
      <w:pPr>
        <w:spacing w:after="100"/>
      </w:pPr>
      <w:r>
        <w:rPr>
          <w:sz w:val="20"/>
          <w:szCs w:val="20"/>
        </w:rPr>
        <w:t xml:space="preserve">资产轻量化 | 资产周转率 | 营业收入/总资产 | 资产使用效率</w:t>
      </w:r>
    </w:p>
    <w:p>
      <w:pPr>
        <w:spacing w:after="100"/>
      </w:pPr>
      <w:r>
        <w:rPr>
          <w:sz w:val="20"/>
          <w:szCs w:val="20"/>
        </w:rPr>
        <w:t xml:space="preserve">资产轻量化 | 总资产增速 | (本期总资产-上期)/上期 | 资产扩张节奏</w:t>
      </w:r>
    </w:p>
    <w:p>
      <w:pPr>
        <w:spacing w:after="100"/>
      </w:pPr>
      <w:r>
        <w:rPr>
          <w:sz w:val="20"/>
          <w:szCs w:val="20"/>
        </w:rPr>
        <w:t xml:space="preserve">收入结构 | 经常性收入占比 | 经常性收入/营业收入 | 收入稳定性</w:t>
      </w:r>
    </w:p>
    <w:p>
      <w:pPr>
        <w:spacing w:after="100"/>
      </w:pPr>
      <w:r>
        <w:rPr>
          <w:sz w:val="20"/>
          <w:szCs w:val="20"/>
        </w:rPr>
        <w:t xml:space="preserve">收入结构 | 管理费收入占比 | 管理费收入/营业收入 | 轻资产收入贡献</w:t>
      </w:r>
    </w:p>
    <w:p>
      <w:pPr>
        <w:spacing w:after="100"/>
      </w:pPr>
      <w:r>
        <w:rPr>
          <w:sz w:val="20"/>
          <w:szCs w:val="20"/>
        </w:rPr>
        <w:t xml:space="preserve">收入结构 | 运营服务收入占比 | 运营服务收入/营业收入 | 运营能力变现</w:t>
      </w:r>
    </w:p>
    <w:p>
      <w:pPr>
        <w:spacing w:after="100"/>
      </w:pPr>
      <w:r>
        <w:rPr>
          <w:sz w:val="20"/>
          <w:szCs w:val="20"/>
        </w:rPr>
        <w:t xml:space="preserve">盈利质量 | 经常性业务利润占比 | 经常性业务利润/利润总额 | 盈利可持续性</w:t>
      </w:r>
    </w:p>
    <w:p>
      <w:pPr>
        <w:spacing w:after="100"/>
      </w:pPr>
      <w:r>
        <w:rPr>
          <w:sz w:val="20"/>
          <w:szCs w:val="20"/>
        </w:rPr>
        <w:t xml:space="preserve">盈利质量 | 综合毛利率 | 毛利润/营业收入 | 盈利能力</w:t>
      </w:r>
    </w:p>
    <w:p>
      <w:pPr>
        <w:spacing w:after="100"/>
      </w:pPr>
      <w:r>
        <w:rPr>
          <w:sz w:val="20"/>
          <w:szCs w:val="20"/>
        </w:rPr>
        <w:t xml:space="preserve">盈利质量 | 净利率 | 净利润/营业收入 | 盈利效率</w:t>
      </w:r>
    </w:p>
    <w:p>
      <w:pPr>
        <w:spacing w:after="100"/>
      </w:pPr>
      <w:r>
        <w:rPr>
          <w:sz w:val="20"/>
          <w:szCs w:val="20"/>
        </w:rPr>
        <w:t xml:space="preserve">现金流 | 经营性现金流/净利润 | 经营性现金流净额/净利润 | 利润含金量</w:t>
      </w:r>
    </w:p>
    <w:p>
      <w:pPr>
        <w:spacing w:after="100"/>
      </w:pPr>
      <w:r>
        <w:rPr>
          <w:sz w:val="20"/>
          <w:szCs w:val="20"/>
        </w:rPr>
        <w:t xml:space="preserve">现金流 | 自由现金流 | 经营性现金流-资本支出 | 现金创造能力</w:t>
      </w:r>
    </w:p>
    <w:p>
      <w:pPr>
        <w:spacing w:after="100"/>
      </w:pPr>
      <w:r>
        <w:rPr>
          <w:sz w:val="20"/>
          <w:szCs w:val="20"/>
        </w:rPr>
        <w:t xml:space="preserve">现金流 | 资本支出占比 | 资本支出/营业收入 | 资本密集度</w:t>
      </w:r>
    </w:p>
    <w:p>
      <w:pPr>
        <w:spacing w:after="100"/>
      </w:pPr>
      <w:r>
        <w:rPr>
          <w:sz w:val="20"/>
          <w:szCs w:val="20"/>
        </w:rPr>
        <w:t xml:space="preserve">资本效率 | ROE | 净利润/净资产 | 股东回报率</w:t>
      </w:r>
    </w:p>
    <w:p>
      <w:pPr>
        <w:spacing w:after="100"/>
      </w:pPr>
      <w:r>
        <w:rPr>
          <w:sz w:val="20"/>
          <w:szCs w:val="20"/>
        </w:rPr>
        <w:t xml:space="preserve">资本效率 | ROA | 净利润/总资产 | 资产回报率</w:t>
      </w:r>
    </w:p>
    <w:p>
      <w:pPr>
        <w:spacing w:after="100"/>
      </w:pPr>
      <w:r>
        <w:rPr>
          <w:sz w:val="20"/>
          <w:szCs w:val="20"/>
        </w:rPr>
        <w:t xml:space="preserve">资本效率 | 资产负债率 | 总负债/总资产 | 财务杠杆</w:t>
      </w:r>
    </w:p>
    <w:p>
      <w:pPr>
        <w:spacing w:after="100"/>
      </w:pPr>
      <w:r>
        <w:rPr>
          <w:sz w:val="20"/>
          <w:szCs w:val="20"/>
        </w:rPr>
        <w:t xml:space="preserve">资本效率 | 净负债率 | (有息负债-货币资金)/净资产 | 实际杠杆水平</w:t>
      </w:r>
    </w:p>
    <w:p>
      <w:pPr>
        <w:pStyle w:val="Heading3"/>
        <w:spacing w:after="100" w:before="200"/>
      </w:pPr>
      <w:r>
        <w:rPr>
          <w:b/>
          <w:bCs/>
          <w:sz w:val="26"/>
          <w:szCs w:val="26"/>
        </w:rPr>
        <w:t xml:space="preserve">3.3.4 运营效应分析框架</w:t>
      </w:r>
    </w:p>
    <w:p>
      <w:pPr>
        <w:spacing w:after="200" w:line="360"/>
        <w:ind w:firstLine="480"/>
      </w:pPr>
      <w:r>
        <w:rPr>
          <w:sz w:val="24"/>
          <w:szCs w:val="24"/>
        </w:rPr>
        <w:t xml:space="preserve">运营效应分析从管理规模、运营效率和品牌价值三个维度展开：</w:t>
      </w:r>
    </w:p>
    <w:p>
      <w:pPr>
        <w:spacing w:after="200" w:line="360"/>
        <w:ind w:firstLine="480"/>
      </w:pPr>
      <w:r>
        <w:rPr>
          <w:b/>
          <w:bCs/>
          <w:sz w:val="24"/>
          <w:szCs w:val="24"/>
        </w:rPr>
        <w:t xml:space="preserve">表3-5 运营效应三维度评估指标体系</w:t>
      </w:r>
    </w:p>
    <w:p>
      <w:pPr>
        <w:spacing w:after="100"/>
      </w:pPr>
      <w:r>
        <w:rPr>
          <w:sz w:val="20"/>
          <w:szCs w:val="20"/>
        </w:rPr>
        <w:t xml:space="preserve">分析维度 | 核心指标 | 分析重点</w:t>
      </w:r>
    </w:p>
    <w:p>
      <w:pPr>
        <w:spacing w:after="100"/>
      </w:pPr>
      <w:r>
        <w:rPr>
          <w:sz w:val="20"/>
          <w:szCs w:val="20"/>
        </w:rPr>
        <w:t xml:space="preserve">管理规模 | 在管建筑面积、在营购物中心数量、第三方外拓项目占比 | 规模扩张方式与速度</w:t>
      </w:r>
    </w:p>
    <w:p>
      <w:pPr>
        <w:spacing w:after="100"/>
      </w:pPr>
      <w:r>
        <w:rPr>
          <w:sz w:val="20"/>
          <w:szCs w:val="20"/>
        </w:rPr>
        <w:t xml:space="preserve">运营效率 | 出租率、租金收缴率、同店销售额增长率 | 运营质量与精细化程度</w:t>
      </w:r>
    </w:p>
    <w:p>
      <w:pPr>
        <w:spacing w:after="100"/>
      </w:pPr>
      <w:r>
        <w:rPr>
          <w:sz w:val="20"/>
          <w:szCs w:val="20"/>
        </w:rPr>
        <w:t xml:space="preserve">品牌价值 | 品牌项目数量(万象城/万象汇/万象天地)、品牌溢价率 | 品牌输出能力与市场认可度</w:t>
      </w:r>
    </w:p>
    <w:p>
      <w:pPr>
        <w:pStyle w:val="Heading3"/>
        <w:spacing w:after="100" w:before="200"/>
      </w:pPr>
      <w:r>
        <w:rPr>
          <w:b/>
          <w:bCs/>
          <w:sz w:val="26"/>
          <w:szCs w:val="26"/>
        </w:rPr>
        <w:t xml:space="preserve">3.3.5 假设检验框架</w:t>
      </w:r>
    </w:p>
    <w:p>
      <w:pPr>
        <w:spacing w:after="200" w:line="360"/>
        <w:ind w:firstLine="480"/>
      </w:pPr>
      <w:r>
        <w:rPr>
          <w:sz w:val="24"/>
          <w:szCs w:val="24"/>
        </w:rPr>
        <w:t xml:space="preserve">本研究构建了与五个研究假设对应的检验框架：</w:t>
      </w:r>
    </w:p>
    <w:p>
      <w:pPr>
        <w:spacing w:after="200" w:line="360"/>
        <w:ind w:firstLine="480"/>
      </w:pPr>
      <w:r>
        <w:rPr>
          <w:b/>
          <w:bCs/>
          <w:sz w:val="24"/>
          <w:szCs w:val="24"/>
        </w:rPr>
        <w:t xml:space="preserve">表3-6 研究假设检验框架</w:t>
      </w:r>
    </w:p>
    <w:p>
      <w:pPr>
        <w:spacing w:after="100"/>
      </w:pPr>
      <w:r>
        <w:rPr>
          <w:sz w:val="20"/>
          <w:szCs w:val="20"/>
        </w:rPr>
        <w:t xml:space="preserve">假设 | 检验指标 | 数据来源 | 预期结果</w:t>
      </w:r>
    </w:p>
    <w:p>
      <w:pPr>
        <w:spacing w:after="100"/>
      </w:pPr>
      <w:r>
        <w:rPr>
          <w:sz w:val="20"/>
          <w:szCs w:val="20"/>
        </w:rPr>
        <w:t xml:space="preserve">H1 | 经常性收入占比变化 | 利润表 | 华润、凯德显著上升；苏宁变化不明显</w:t>
      </w:r>
    </w:p>
    <w:p>
      <w:pPr>
        <w:spacing w:after="100"/>
      </w:pPr>
      <w:r>
        <w:rPr>
          <w:sz w:val="20"/>
          <w:szCs w:val="20"/>
        </w:rPr>
        <w:t xml:space="preserve">H2 | 净负债率变化 | 资产负债表 | 华润、凯德显著下降；苏宁不降反升</w:t>
      </w:r>
    </w:p>
    <w:p>
      <w:pPr>
        <w:spacing w:after="100"/>
      </w:pPr>
      <w:r>
        <w:rPr>
          <w:sz w:val="20"/>
          <w:szCs w:val="20"/>
        </w:rPr>
        <w:t xml:space="preserve">H3 | 运营能力指标与财务效应相关性 | 运营数据+财务数据 | 运营能力成熟度与财务效应正相关</w:t>
      </w:r>
    </w:p>
    <w:p>
      <w:pPr>
        <w:spacing w:after="100"/>
      </w:pPr>
      <w:r>
        <w:rPr>
          <w:sz w:val="20"/>
          <w:szCs w:val="20"/>
        </w:rPr>
        <w:t xml:space="preserve">H4 | 交易结构与资产负债率改善 | REITs发行文件+财务报表 | 真实出售结构改善效果优于售后租回</w:t>
      </w:r>
    </w:p>
    <w:p>
      <w:pPr>
        <w:spacing w:after="100"/>
      </w:pPr>
      <w:r>
        <w:rPr>
          <w:sz w:val="20"/>
          <w:szCs w:val="20"/>
        </w:rPr>
        <w:t xml:space="preserve">H5 | 资本循环完整性与转型持续性 | 案例追踪 | 具备完整循环的企业效应更持久</w:t>
      </w:r>
    </w:p>
    <w:p>
      <w:pPr>
        <w:pStyle w:val="Heading2"/>
        <w:spacing w:after="150" w:before="300"/>
      </w:pPr>
      <w:r>
        <w:rPr>
          <w:b/>
          <w:bCs/>
          <w:sz w:val="28"/>
          <w:szCs w:val="28"/>
        </w:rPr>
        <w:t xml:space="preserve">3.4 数据来源与收集</w:t>
      </w:r>
    </w:p>
    <w:p>
      <w:pPr>
        <w:pStyle w:val="Heading3"/>
        <w:spacing w:after="100" w:before="200"/>
      </w:pPr>
      <w:r>
        <w:rPr>
          <w:b/>
          <w:bCs/>
          <w:sz w:val="26"/>
          <w:szCs w:val="26"/>
        </w:rPr>
        <w:t xml:space="preserve">3.4.1 数据收集原则</w:t>
      </w:r>
    </w:p>
    <w:p>
      <w:pPr>
        <w:spacing w:after="200" w:line="360"/>
        <w:ind w:firstLine="480"/>
      </w:pPr>
      <w:r>
        <w:rPr>
          <w:sz w:val="24"/>
          <w:szCs w:val="24"/>
        </w:rPr>
        <w:t xml:space="preserve">本研究的数据收集遵循三项原则：一是公开性原则，所有数据均来自公开披露的财务报告、监管文件和权威媒体报道，确保数据的可验证性；二是多源交叉原则，关键数据至少从两个独立来源进行交叉验证，确保数据的准确性；三是时效性原则，数据覆盖2020-2024年的完整周期，确保分析的时间深度。</w:t>
      </w:r>
    </w:p>
    <w:p>
      <w:pPr>
        <w:pStyle w:val="Heading3"/>
        <w:spacing w:after="100" w:before="200"/>
      </w:pPr>
      <w:r>
        <w:rPr>
          <w:b/>
          <w:bCs/>
          <w:sz w:val="26"/>
          <w:szCs w:val="26"/>
        </w:rPr>
        <w:t xml:space="preserve">3.4.2 主案例数据来源</w:t>
      </w:r>
    </w:p>
    <w:p>
      <w:pPr>
        <w:spacing w:after="200" w:line="360"/>
        <w:ind w:firstLine="480"/>
      </w:pPr>
      <w:r>
        <w:rPr>
          <w:sz w:val="24"/>
          <w:szCs w:val="24"/>
        </w:rPr>
        <w:t xml:space="preserve">华润置地/华润万象生活的数据来源包括四个层次：</w:t>
      </w:r>
    </w:p>
    <w:p>
      <w:pPr>
        <w:spacing w:after="200" w:line="360"/>
        <w:ind w:firstLine="480"/>
      </w:pPr>
      <w:r>
        <w:rPr>
          <w:sz w:val="24"/>
          <w:szCs w:val="24"/>
        </w:rPr>
        <w:t xml:space="preserve">第一层次为上市公司定期报告。华润置地2020-2024年年度报告（香港交易所披露），华润万象生活2020-2024年年度报告（香港交易所披露），华润商业REIT招募说明书及2024年年度报告（深圳证券交易所披露）。这些报告提供了最核心的财务数据和运营数据，包括资产负债表、利润表、现金流量表及附注信息。</w:t>
      </w:r>
    </w:p>
    <w:p>
      <w:pPr>
        <w:spacing w:after="200" w:line="360"/>
        <w:ind w:firstLine="480"/>
      </w:pPr>
      <w:r>
        <w:rPr>
          <w:sz w:val="24"/>
          <w:szCs w:val="24"/>
        </w:rPr>
        <w:t xml:space="preserve">第二层次为REITs发行文件。华润商业REIT的基金招募说明书、上市公告书、基金合同等法律文件，详细披露了底层资产（青岛万象城）的运营数据、估值方法和交易结构设计，为分析REITs资本退出机制提供了关键信息。</w:t>
      </w:r>
    </w:p>
    <w:p>
      <w:pPr>
        <w:spacing w:after="200" w:line="360"/>
        <w:ind w:firstLine="480"/>
      </w:pPr>
      <w:r>
        <w:rPr>
          <w:sz w:val="24"/>
          <w:szCs w:val="24"/>
        </w:rPr>
        <w:t xml:space="preserve">第三层次为公司公告和投资者关系材料。华润置地和华润万象生活在香港交易所发布的公告、通函，以及业绩发布会纪要、投资者日演示材料等，为理解企业战略决策和转型逻辑提供了定性信息。</w:t>
      </w:r>
    </w:p>
    <w:p>
      <w:pPr>
        <w:spacing w:after="200" w:line="360"/>
        <w:ind w:firstLine="480"/>
      </w:pPr>
      <w:r>
        <w:rPr>
          <w:sz w:val="24"/>
          <w:szCs w:val="24"/>
        </w:rPr>
        <w:t xml:space="preserve">第四层次为行业数据库和第三方研究。Wind金融终端的行业数据、戴德梁行的商业地产市场报告、赢商网的购物中心运营数据等，为行业对标和背景分析提供了参考数据。</w:t>
      </w:r>
    </w:p>
    <w:p>
      <w:pPr>
        <w:pStyle w:val="Heading3"/>
        <w:spacing w:after="100" w:before="200"/>
      </w:pPr>
      <w:r>
        <w:rPr>
          <w:b/>
          <w:bCs/>
          <w:sz w:val="26"/>
          <w:szCs w:val="26"/>
        </w:rPr>
        <w:t xml:space="preserve">3.4.3 验证案例数据来源</w:t>
      </w:r>
    </w:p>
    <w:p>
      <w:pPr>
        <w:spacing w:after="200" w:line="360"/>
        <w:ind w:firstLine="480"/>
      </w:pPr>
      <w:r>
        <w:rPr>
          <w:sz w:val="24"/>
          <w:szCs w:val="24"/>
        </w:rPr>
        <w:t xml:space="preserve">凯德集团的数据来源包括四个层次：</w:t>
      </w:r>
    </w:p>
    <w:p>
      <w:pPr>
        <w:spacing w:after="200" w:line="360"/>
        <w:ind w:firstLine="480"/>
      </w:pPr>
      <w:r>
        <w:rPr>
          <w:sz w:val="24"/>
          <w:szCs w:val="24"/>
        </w:rPr>
        <w:t xml:space="preserve">第一层次为凯德投资（CapitaLand Investment）年度报告。凯德投资2020-2024财年报告（新加坡交易所披露），提供了集团层面的财务数据和运营数据，包括管理资产规模（AUM）、收入构成、利润结构和资本配置信息。</w:t>
      </w:r>
    </w:p>
    <w:p>
      <w:pPr>
        <w:spacing w:after="200" w:line="360"/>
        <w:ind w:firstLine="480"/>
      </w:pPr>
      <w:r>
        <w:rPr>
          <w:sz w:val="24"/>
          <w:szCs w:val="24"/>
        </w:rPr>
        <w:t xml:space="preserve">第二层次为REITs运营数据。凯德中国信托（CLCT）2020-2024年年度报告（新加坡交易所披露），华夏凯德商业REIT招募说明书及发行文件，提供了REITs层面的资产组合、运营表现和分派数据。</w:t>
      </w:r>
    </w:p>
    <w:p>
      <w:pPr>
        <w:spacing w:after="200" w:line="360"/>
        <w:ind w:firstLine="480"/>
      </w:pPr>
      <w:r>
        <w:rPr>
          <w:sz w:val="24"/>
          <w:szCs w:val="24"/>
        </w:rPr>
        <w:t xml:space="preserve">第三层次为凯德集团官方披露。凯德集团官网的新闻稿、可持续发展报告和战略文件，为理解凯德的转型战略和资本闭环模式提供了定性信息。</w:t>
      </w:r>
    </w:p>
    <w:p>
      <w:pPr>
        <w:spacing w:after="200" w:line="360"/>
        <w:ind w:firstLine="480"/>
      </w:pPr>
      <w:r>
        <w:rPr>
          <w:sz w:val="24"/>
          <w:szCs w:val="24"/>
        </w:rPr>
        <w:t xml:space="preserve">第四层次为行业研究和媒体报道。新加坡金融管理局（MAS）的REITs市场数据、标普全球市场财智的行业分析、财经媒体对凯德资本运作的深度报道等，为交叉验证和背景分析提供了补充数据。</w:t>
      </w:r>
    </w:p>
    <w:p>
      <w:pPr>
        <w:pStyle w:val="Heading3"/>
        <w:spacing w:after="100" w:before="200"/>
      </w:pPr>
      <w:r>
        <w:rPr>
          <w:b/>
          <w:bCs/>
          <w:sz w:val="26"/>
          <w:szCs w:val="26"/>
        </w:rPr>
        <w:t xml:space="preserve">3.4.4 反面案例数据来源</w:t>
      </w:r>
    </w:p>
    <w:p>
      <w:pPr>
        <w:spacing w:after="200" w:line="360"/>
        <w:ind w:firstLine="480"/>
      </w:pPr>
      <w:r>
        <w:rPr>
          <w:sz w:val="24"/>
          <w:szCs w:val="24"/>
        </w:rPr>
        <w:t xml:space="preserve">苏宁易购的数据来源包括三个层次：</w:t>
      </w:r>
    </w:p>
    <w:p>
      <w:pPr>
        <w:spacing w:after="200" w:line="360"/>
        <w:ind w:firstLine="480"/>
      </w:pPr>
      <w:r>
        <w:rPr>
          <w:sz w:val="24"/>
          <w:szCs w:val="24"/>
        </w:rPr>
        <w:t xml:space="preserve">第一层次为上市公司定期报告。苏宁易购2015-2023年年度报告（深圳证券交易所披露），提供了财务数据和资产负债结构信息。</w:t>
      </w:r>
    </w:p>
    <w:p>
      <w:pPr>
        <w:spacing w:after="200" w:line="360"/>
        <w:ind w:firstLine="480"/>
      </w:pPr>
      <w:r>
        <w:rPr>
          <w:sz w:val="24"/>
          <w:szCs w:val="24"/>
        </w:rPr>
        <w:t xml:space="preserve">第二层次为类REITs/ABS发行文件。苏宁云商资产证券化项目的招募说明书、发行公告等，详细披露了交易结构、底层资产和发行规模。</w:t>
      </w:r>
    </w:p>
    <w:p>
      <w:pPr>
        <w:spacing w:after="200" w:line="360"/>
        <w:ind w:firstLine="480"/>
      </w:pPr>
      <w:r>
        <w:rPr>
          <w:sz w:val="24"/>
          <w:szCs w:val="24"/>
        </w:rPr>
        <w:t xml:space="preserve">第三层次为行业研究和媒体报道。关于苏宁资产证券化效果的研究文献、财经媒体对苏宁财务状况的深度报道等。</w:t>
      </w:r>
    </w:p>
    <w:p>
      <w:pPr>
        <w:pStyle w:val="Heading3"/>
        <w:spacing w:after="100" w:before="200"/>
      </w:pPr>
      <w:r>
        <w:rPr>
          <w:b/>
          <w:bCs/>
          <w:sz w:val="26"/>
          <w:szCs w:val="26"/>
        </w:rPr>
        <w:t xml:space="preserve">3.4.5 数据收集范围与时间跨度</w:t>
      </w:r>
    </w:p>
    <w:p>
      <w:pPr>
        <w:spacing w:after="200" w:line="360"/>
        <w:ind w:firstLine="480"/>
      </w:pPr>
      <w:r>
        <w:rPr>
          <w:b/>
          <w:bCs/>
          <w:sz w:val="24"/>
          <w:szCs w:val="24"/>
        </w:rPr>
        <w:t xml:space="preserve">表3-7 数据收集范围与来源汇总</w:t>
      </w:r>
    </w:p>
    <w:p>
      <w:pPr>
        <w:spacing w:after="100"/>
      </w:pPr>
      <w:r>
        <w:rPr>
          <w:sz w:val="20"/>
          <w:szCs w:val="20"/>
        </w:rPr>
        <w:t xml:space="preserve">数据类别 | 具体内容 | 来源 | 时间跨度</w:t>
      </w:r>
    </w:p>
    <w:p>
      <w:pPr>
        <w:spacing w:after="100"/>
      </w:pPr>
      <w:r>
        <w:rPr>
          <w:sz w:val="20"/>
          <w:szCs w:val="20"/>
        </w:rPr>
        <w:t xml:space="preserve">华润置地财务数据 | 资产负债表、利润表、现金流量表 | 港交所年报 | 2020-2024</w:t>
      </w:r>
    </w:p>
    <w:p>
      <w:pPr>
        <w:spacing w:after="100"/>
      </w:pPr>
      <w:r>
        <w:rPr>
          <w:sz w:val="20"/>
          <w:szCs w:val="20"/>
        </w:rPr>
        <w:t xml:space="preserve">华润万象生活财务数据 | 营收、毛利率、在管面积、净利润 | 港交所年报 | 2020-2024</w:t>
      </w:r>
    </w:p>
    <w:p>
      <w:pPr>
        <w:spacing w:after="100"/>
      </w:pPr>
      <w:r>
        <w:rPr>
          <w:sz w:val="20"/>
          <w:szCs w:val="20"/>
        </w:rPr>
        <w:t xml:space="preserve">华润商业REIT数据 | 发行规模、底层资产运营、分派率 | 深交所文件 | 2024</w:t>
      </w:r>
    </w:p>
    <w:p>
      <w:pPr>
        <w:spacing w:after="100"/>
      </w:pPr>
      <w:r>
        <w:rPr>
          <w:sz w:val="20"/>
          <w:szCs w:val="20"/>
        </w:rPr>
        <w:t xml:space="preserve">凯德投资财务数据 | AUM、营收、净利润、资本结构 | 新交所年报 | 2020-2024</w:t>
      </w:r>
    </w:p>
    <w:p>
      <w:pPr>
        <w:spacing w:after="100"/>
      </w:pPr>
      <w:r>
        <w:rPr>
          <w:sz w:val="20"/>
          <w:szCs w:val="20"/>
        </w:rPr>
        <w:t xml:space="preserve">凯德REITs数据 | CLCT资产组合、华夏凯德REIT | 新交所/深交所 | 2020-2024</w:t>
      </w:r>
    </w:p>
    <w:p>
      <w:pPr>
        <w:spacing w:after="100"/>
      </w:pPr>
      <w:r>
        <w:rPr>
          <w:sz w:val="20"/>
          <w:szCs w:val="20"/>
        </w:rPr>
        <w:t xml:space="preserve">苏宁易购财务数据 | 资产负债率、类REITs发行 | 深交所年报 | 2015-2023</w:t>
      </w:r>
    </w:p>
    <w:p>
      <w:pPr>
        <w:spacing w:after="100"/>
      </w:pPr>
      <w:r>
        <w:rPr>
          <w:sz w:val="20"/>
          <w:szCs w:val="20"/>
        </w:rPr>
        <w:t xml:space="preserve">行业对比数据 | 万达、新城、龙湖财务与运营数据 | Wind、年报 | 2020-2024</w:t>
      </w:r>
    </w:p>
    <w:p>
      <w:pPr>
        <w:pStyle w:val="Heading2"/>
        <w:spacing w:after="150" w:before="300"/>
      </w:pPr>
      <w:r>
        <w:rPr>
          <w:b/>
          <w:bCs/>
          <w:sz w:val="28"/>
          <w:szCs w:val="28"/>
        </w:rPr>
        <w:t xml:space="preserve">3.5 研究方法应用</w:t>
      </w:r>
    </w:p>
    <w:p>
      <w:pPr>
        <w:pStyle w:val="Heading3"/>
        <w:spacing w:after="100" w:before="200"/>
      </w:pPr>
      <w:r>
        <w:rPr>
          <w:b/>
          <w:bCs/>
          <w:sz w:val="26"/>
          <w:szCs w:val="26"/>
        </w:rPr>
        <w:t xml:space="preserve">3.5.1 文献研究法的应用</w:t>
      </w:r>
    </w:p>
    <w:p>
      <w:pPr>
        <w:spacing w:after="200" w:line="360"/>
        <w:ind w:firstLine="480"/>
      </w:pPr>
      <w:r>
        <w:rPr>
          <w:sz w:val="24"/>
          <w:szCs w:val="24"/>
        </w:rPr>
        <w:t xml:space="preserve">文献研究法贯穿本研究全过程，主要应用于三个方面：一是理论框架构建，通过系统梳理轻资产运营理论、REITs理论和企业转型理论，构建本研究的理论分析框架；二是研究空白识别，通过文献评述发现现有研究的不足，明确本研究的学术贡献点；三是分析工具借鉴，从财务分析、案例研究等方法论文献中借鉴分析工具和操作规范。</w:t>
      </w:r>
    </w:p>
    <w:p>
      <w:pPr>
        <w:pStyle w:val="Heading3"/>
        <w:spacing w:after="100" w:before="200"/>
      </w:pPr>
      <w:r>
        <w:rPr>
          <w:b/>
          <w:bCs/>
          <w:sz w:val="26"/>
          <w:szCs w:val="26"/>
        </w:rPr>
        <w:t xml:space="preserve">3.5.2 案例研究法的应用</w:t>
      </w:r>
    </w:p>
    <w:p>
      <w:pPr>
        <w:spacing w:after="200" w:line="360"/>
        <w:ind w:firstLine="480"/>
      </w:pPr>
      <w:r>
        <w:rPr>
          <w:sz w:val="24"/>
          <w:szCs w:val="24"/>
        </w:rPr>
        <w:t xml:space="preserve">案例研究法是本研究的核心方法，采用Yin（2018）提出的单案例深度分析与多案例验证相结合的设计。主案例（华润）采用嵌入式单案例设计，在案例内部嵌入财务数据分析和运营数据分析两个分析单元，实现案例的深度挖掘。验证案例（凯德）采用复制逻辑设计，检验主案例研究结论的外部效度。反面案例（苏宁）采用对比逻辑设计，验证边界条件和识别失败原因。</w:t>
      </w:r>
    </w:p>
    <w:p>
      <w:pPr>
        <w:spacing w:after="200" w:line="360"/>
        <w:ind w:firstLine="480"/>
      </w:pPr>
      <w:r>
        <w:rPr>
          <w:sz w:val="24"/>
          <w:szCs w:val="24"/>
        </w:rPr>
        <w:t xml:space="preserve">案例研究法的具体应用包括四个步骤：第一步，案例背景梳理，收集案例企业的历史沿革、业务结构和战略演变信息；第二步，转型历程还原，按照时间序列梳理企业轻资产转型的关键事件和决策节点；第三步，转型机制分析，运用分析框架剖析转型的驱动因素、路径选择和效应实现；第四步，跨案例比较，对比华润、凯德和苏宁的异同，提炼边界条件和验证研究假设。</w:t>
      </w:r>
    </w:p>
    <w:p>
      <w:pPr>
        <w:pStyle w:val="Heading3"/>
        <w:spacing w:after="100" w:before="200"/>
      </w:pPr>
      <w:r>
        <w:rPr>
          <w:b/>
          <w:bCs/>
          <w:sz w:val="26"/>
          <w:szCs w:val="26"/>
        </w:rPr>
        <w:t xml:space="preserve">3.5.3 财务穿透分析法的应用</w:t>
      </w:r>
    </w:p>
    <w:p>
      <w:pPr>
        <w:spacing w:after="200" w:line="360"/>
        <w:ind w:firstLine="480"/>
      </w:pPr>
      <w:r>
        <w:rPr>
          <w:sz w:val="24"/>
          <w:szCs w:val="24"/>
        </w:rPr>
        <w:t xml:space="preserve">财务穿透分析法是本研究评估转型效应的核心方法，具体应用遵循"三个穿透"原则：</w:t>
      </w:r>
    </w:p>
    <w:p>
      <w:pPr>
        <w:spacing w:after="200" w:line="360"/>
        <w:ind w:firstLine="480"/>
      </w:pPr>
      <w:r>
        <w:rPr>
          <w:sz w:val="24"/>
          <w:szCs w:val="24"/>
        </w:rPr>
        <w:t xml:space="preserve">其一，穿透总量看结构。不满足于资产负债率、ROE等总量指标的变化，而是深入分析资产结构（投资性房地产占比、开发成本占比）、负债结构（有息负债占比、期限结构）、收入结构（经常性收入占比、管理费收入占比）等结构性变化，揭示转型对财务结构的深层影响。</w:t>
      </w:r>
    </w:p>
    <w:p>
      <w:pPr>
        <w:spacing w:after="200" w:line="360"/>
        <w:ind w:firstLine="480"/>
      </w:pPr>
      <w:r>
        <w:rPr>
          <w:sz w:val="24"/>
          <w:szCs w:val="24"/>
        </w:rPr>
        <w:t xml:space="preserve">其二，穿透结果看过程。不满足于利润、现金流等结果指标的变化，而是运用杜邦分析等方法，将ROE分解为净利率、资产周转率和权益乘数，揭示转型对盈利能力、运营效率和财务杠杆的差异化影响。</w:t>
      </w:r>
    </w:p>
    <w:p>
      <w:pPr>
        <w:spacing w:after="200" w:line="360"/>
        <w:ind w:firstLine="480"/>
      </w:pPr>
      <w:r>
        <w:rPr>
          <w:sz w:val="24"/>
          <w:szCs w:val="24"/>
        </w:rPr>
        <w:t xml:space="preserve">其三，穿透静态看动态。不满足于某一年的静态数据，而是构建2020-2024年的时间序列数据，分析转型前后各指标的变化趋势和拐点，识别转型的时滞效应和累积效应。</w:t>
      </w:r>
    </w:p>
    <w:p>
      <w:pPr>
        <w:pStyle w:val="Heading3"/>
        <w:spacing w:after="100" w:before="200"/>
      </w:pPr>
      <w:r>
        <w:rPr>
          <w:b/>
          <w:bCs/>
          <w:sz w:val="26"/>
          <w:szCs w:val="26"/>
        </w:rPr>
        <w:t xml:space="preserve">3.5.4 对比分析法的应用</w:t>
      </w:r>
    </w:p>
    <w:p>
      <w:pPr>
        <w:spacing w:after="200" w:line="360"/>
        <w:ind w:firstLine="480"/>
      </w:pPr>
      <w:r>
        <w:rPr>
          <w:sz w:val="24"/>
          <w:szCs w:val="24"/>
        </w:rPr>
        <w:t xml:space="preserve">对比分析法贯穿本研究的案例分析章节，主要应用于三个层面：</w:t>
      </w:r>
    </w:p>
    <w:p>
      <w:pPr>
        <w:spacing w:after="200" w:line="360"/>
        <w:ind w:firstLine="480"/>
      </w:pPr>
      <w:r>
        <w:rPr>
          <w:sz w:val="24"/>
          <w:szCs w:val="24"/>
        </w:rPr>
        <w:t xml:space="preserve">其一，转型前后对比。对比华润置地REITs发行前后的财务指标和运营指标，评估转型的即时效应和持续效应。</w:t>
      </w:r>
    </w:p>
    <w:p>
      <w:pPr>
        <w:spacing w:after="200" w:line="360"/>
        <w:ind w:firstLine="480"/>
      </w:pPr>
      <w:r>
        <w:rPr>
          <w:sz w:val="24"/>
          <w:szCs w:val="24"/>
        </w:rPr>
        <w:t xml:space="preserve">其二，跨企业对比。对比华润、凯德与苏宁的转型路径、财务效应和运营效应，识别不同市场环境和制度背景下转型模式的差异，验证研究假设。</w:t>
      </w:r>
    </w:p>
    <w:p>
      <w:pPr>
        <w:spacing w:after="200" w:line="360"/>
        <w:ind w:firstLine="480"/>
      </w:pPr>
      <w:r>
        <w:rPr>
          <w:sz w:val="24"/>
          <w:szCs w:val="24"/>
        </w:rPr>
        <w:t xml:space="preserve">其三，行业对标对比。将华润的财务指标与万达、新城、龙湖等同业企业对比，评估华润转型的相对表现和行业地位。</w:t>
      </w:r>
    </w:p>
    <w:p>
      <w:pPr>
        <w:spacing w:after="200" w:line="360"/>
        <w:ind w:firstLine="480"/>
      </w:pPr>
      <w:r>
        <w:rPr>
          <w:b/>
          <w:bCs/>
          <w:sz w:val="24"/>
          <w:szCs w:val="24"/>
        </w:rPr>
        <w:t xml:space="preserve">表3-8 研究方法与应用对应关系</w:t>
      </w:r>
    </w:p>
    <w:p>
      <w:pPr>
        <w:spacing w:after="100"/>
      </w:pPr>
      <w:r>
        <w:rPr>
          <w:sz w:val="20"/>
          <w:szCs w:val="20"/>
        </w:rPr>
        <w:t xml:space="preserve">研究方法 | 应用章节 | 主要任务 | 预期产出</w:t>
      </w:r>
    </w:p>
    <w:p>
      <w:pPr>
        <w:spacing w:after="100"/>
      </w:pPr>
      <w:r>
        <w:rPr>
          <w:sz w:val="20"/>
          <w:szCs w:val="20"/>
        </w:rPr>
        <w:t xml:space="preserve">文献研究法 | 第二章、第三章 | 理论框架构建、研究空白识别 | 文献综述、分析框架</w:t>
      </w:r>
    </w:p>
    <w:p>
      <w:pPr>
        <w:spacing w:after="100"/>
      </w:pPr>
      <w:r>
        <w:rPr>
          <w:sz w:val="20"/>
          <w:szCs w:val="20"/>
        </w:rPr>
        <w:t xml:space="preserve">案例研究法 | 第四章、第五章、第六章 | 案例深度分析、机制剖析 | 案例分析报告</w:t>
      </w:r>
    </w:p>
    <w:p>
      <w:pPr>
        <w:spacing w:after="100"/>
      </w:pPr>
      <w:r>
        <w:rPr>
          <w:sz w:val="20"/>
          <w:szCs w:val="20"/>
        </w:rPr>
        <w:t xml:space="preserve">财务穿透分析法 | 第四章、第五章、第六章 | 财务效应评估 | 财务分析表格、图表</w:t>
      </w:r>
    </w:p>
    <w:p>
      <w:pPr>
        <w:spacing w:after="100"/>
      </w:pPr>
      <w:r>
        <w:rPr>
          <w:sz w:val="20"/>
          <w:szCs w:val="20"/>
        </w:rPr>
        <w:t xml:space="preserve">对比分析法 | 第四章、第五章、第六章 | 跨案例比较、行业对标、假设检验 | 对比分析表格、结论</w:t>
      </w:r>
    </w:p>
    <w:p>
      <w:pPr>
        <w:pStyle w:val="Heading3"/>
        <w:spacing w:after="100" w:before="200"/>
      </w:pPr>
      <w:r>
        <w:rPr>
          <w:b/>
          <w:bCs/>
          <w:sz w:val="26"/>
          <w:szCs w:val="26"/>
        </w:rPr>
        <w:t xml:space="preserve">3.5.5 研究的信度与效度保障</w:t>
      </w:r>
    </w:p>
    <w:p>
      <w:pPr>
        <w:spacing w:after="200" w:line="360"/>
        <w:ind w:firstLine="480"/>
      </w:pPr>
      <w:r>
        <w:rPr>
          <w:sz w:val="24"/>
          <w:szCs w:val="24"/>
        </w:rPr>
        <w:t xml:space="preserve">为确保研究的科学性，本研究从信度和效度两个维度进行质量控制。</w:t>
      </w:r>
    </w:p>
    <w:p>
      <w:pPr>
        <w:spacing w:after="200" w:line="360"/>
        <w:ind w:firstLine="480"/>
      </w:pPr>
      <w:r>
        <w:rPr>
          <w:sz w:val="24"/>
          <w:szCs w:val="24"/>
        </w:rPr>
        <w:t xml:space="preserve">在信度保障方面，本研究采取三项措施：一是数据三角验证，关键数据至少从两个独立来源进行交叉验证；二是分析过程可追溯，所有分析结论均标注数据来源和计算过程；三是案例档案完整保存，所有原始数据和中间分析结果存档备查。</w:t>
      </w:r>
    </w:p>
    <w:p>
      <w:pPr>
        <w:spacing w:after="200" w:line="360"/>
        <w:ind w:firstLine="480"/>
      </w:pPr>
      <w:r>
        <w:rPr>
          <w:sz w:val="24"/>
          <w:szCs w:val="24"/>
        </w:rPr>
        <w:t xml:space="preserve">在效度保障方面，本研究采取三项措施：一是构念效度，通过多指标测量同一构念（如轻资产转型效应从财务和运营两个维度测量）；二是内部效度，通过构建分析框架确保因果逻辑的严密性；三是外部效度，通过验证案例和反面案例检验研究结论的普适性和边界条件。</w:t>
      </w:r>
    </w:p>
    <w:p>
      <w:pPr>
        <w:pStyle w:val="Heading1"/>
        <w:spacing w:after="200" w:before="400"/>
      </w:pPr>
      <w:r>
        <w:rPr>
          <w:b/>
          <w:bCs/>
          <w:sz w:val="32"/>
          <w:szCs w:val="32"/>
        </w:rPr>
        <w:t xml:space="preserve">第四章 华润案例深度分析</w:t>
      </w:r>
    </w:p>
    <w:p>
      <w:pPr>
        <w:pStyle w:val="Heading2"/>
        <w:spacing w:after="150" w:before="300"/>
      </w:pPr>
      <w:r>
        <w:rPr>
          <w:b/>
          <w:bCs/>
          <w:sz w:val="28"/>
          <w:szCs w:val="28"/>
        </w:rPr>
        <w:t xml:space="preserve">4.1 华润置地集团概况</w:t>
      </w:r>
    </w:p>
    <w:p>
      <w:pPr>
        <w:pStyle w:val="Heading3"/>
        <w:spacing w:after="100" w:before="200"/>
      </w:pPr>
      <w:r>
        <w:rPr>
          <w:b/>
          <w:bCs/>
          <w:sz w:val="26"/>
          <w:szCs w:val="26"/>
        </w:rPr>
        <w:t xml:space="preserve">4.1.1 企业基本情况</w:t>
      </w:r>
    </w:p>
    <w:p>
      <w:pPr>
        <w:spacing w:after="200" w:line="360"/>
        <w:ind w:firstLine="480"/>
      </w:pPr>
      <w:r>
        <w:rPr>
          <w:sz w:val="24"/>
          <w:szCs w:val="24"/>
        </w:rPr>
        <w:t xml:space="preserve">华润置地有限公司（股票代码：01109.HK）是中国领先的城市投资开发运营商，隶属于华润集团。公司成立于1994年，1996年在香港联交所上市，经过30年的发展，已成为中国商业地产领域的标杆企业。</w:t>
      </w:r>
    </w:p>
    <w:p>
      <w:pPr>
        <w:spacing w:after="200" w:line="360"/>
        <w:ind w:firstLine="480"/>
      </w:pPr>
      <w:r>
        <w:rPr>
          <w:sz w:val="24"/>
          <w:szCs w:val="24"/>
        </w:rPr>
        <w:t xml:space="preserve">截至2024年末，华润置地总资产规模达1.24万亿元人民币，合约销售额约2500亿元，在营购物中心超过100座，业务覆盖全国70余个城市。公司以"城市投资开发运营商"为定位，构建了"开发销售型业务+经营性不动产业务+轻资产管理业务"三大业务板块，形成了独特的"3+1"一体化业务模式。</w:t>
      </w:r>
    </w:p>
    <w:p>
      <w:pPr>
        <w:spacing w:after="200" w:line="360"/>
        <w:ind w:firstLine="480"/>
      </w:pPr>
      <w:r>
        <w:rPr>
          <w:sz w:val="24"/>
          <w:szCs w:val="24"/>
        </w:rPr>
        <w:t xml:space="preserve">华润置地的股权结构具有鲜明的央企特征。公司控股股东为华润集团（持股比例约61%），最终实际控制人为国务院国资委。这一股权结构为公司提供了稳定的资本支持和信用背书，也使其在战略转型中能够承担更高的风险和更长的投资周期。</w:t>
      </w:r>
    </w:p>
    <w:p>
      <w:pPr>
        <w:pStyle w:val="Heading3"/>
        <w:spacing w:after="100" w:before="200"/>
      </w:pPr>
      <w:r>
        <w:rPr>
          <w:b/>
          <w:bCs/>
          <w:sz w:val="26"/>
          <w:szCs w:val="26"/>
        </w:rPr>
        <w:t xml:space="preserve">4.1.2 业务板块构成</w:t>
      </w:r>
    </w:p>
    <w:p>
      <w:pPr>
        <w:spacing w:after="200" w:line="360"/>
        <w:ind w:firstLine="480"/>
      </w:pPr>
      <w:r>
        <w:rPr>
          <w:sz w:val="24"/>
          <w:szCs w:val="24"/>
        </w:rPr>
        <w:t xml:space="preserve">华润置地的业务板块可分为三大类：</w:t>
      </w:r>
    </w:p>
    <w:p>
      <w:pPr>
        <w:spacing w:after="200" w:line="360"/>
        <w:ind w:firstLine="480"/>
      </w:pPr>
      <w:r>
        <w:rPr>
          <w:b/>
          <w:bCs/>
          <w:sz w:val="24"/>
          <w:szCs w:val="24"/>
        </w:rPr>
        <w:t xml:space="preserve">开发销售型业务</w:t>
      </w:r>
      <w:r>
        <w:rPr>
          <w:sz w:val="24"/>
          <w:szCs w:val="24"/>
        </w:rPr>
        <w:t xml:space="preserve">是公司的传统主业，涵盖住宅地产开发、城市更新等业务。2024年，开发销售型业务实现签约销售额约2500亿元，签约销售面积约1200万平方米，在国内房地产企业中位居前列。近年来，随着行业调整，开发业务收入占比有所下降，从2020年的约75%降至2024年的约65%。</w:t>
      </w:r>
    </w:p>
    <w:p>
      <w:pPr>
        <w:spacing w:after="200" w:line="360"/>
        <w:ind w:firstLine="480"/>
      </w:pPr>
      <w:r>
        <w:rPr>
          <w:b/>
          <w:bCs/>
          <w:sz w:val="24"/>
          <w:szCs w:val="24"/>
        </w:rPr>
        <w:t xml:space="preserve">经营性不动产业务</w:t>
      </w:r>
      <w:r>
        <w:rPr>
          <w:sz w:val="24"/>
          <w:szCs w:val="24"/>
        </w:rPr>
        <w:t xml:space="preserve">包括投资物业开发与运营，涵盖购物中心、写字楼、酒店等业态。截至2024年末，华润置地在营购物中心超过100座，其中万象城系列（高端购物中心）18座、万象汇系列（区域型购物中心）75座、万象天地系列（街区式商业）7座。投资性房地产账面价值约2800亿元，占总资产的22.6%。</w:t>
      </w:r>
    </w:p>
    <w:p>
      <w:pPr>
        <w:spacing w:after="200" w:line="360"/>
        <w:ind w:firstLine="480"/>
      </w:pPr>
      <w:r>
        <w:rPr>
          <w:b/>
          <w:bCs/>
          <w:sz w:val="24"/>
          <w:szCs w:val="24"/>
        </w:rPr>
        <w:t xml:space="preserve">轻资产管理业务</w:t>
      </w:r>
      <w:r>
        <w:rPr>
          <w:sz w:val="24"/>
          <w:szCs w:val="24"/>
        </w:rPr>
        <w:t xml:space="preserve">以华润万象生活（股票代码：01209.HK）为核心平台，涵盖商业运营管理、物业管理服务等业务。华润万象生活于2020年3月从华润置地分拆上市，是华润轻资产转型的核心载体。2024年，华润万象生活实现营业收入177.47亿元，在管建筑面积约4.2亿平方米，其中第三方外拓项目占比超过40%。</w:t>
      </w:r>
    </w:p>
    <w:p>
      <w:pPr>
        <w:pStyle w:val="Heading3"/>
        <w:spacing w:after="100" w:before="200"/>
      </w:pPr>
      <w:r>
        <w:rPr>
          <w:b/>
          <w:bCs/>
          <w:sz w:val="26"/>
          <w:szCs w:val="26"/>
        </w:rPr>
        <w:t xml:space="preserve">4.1.3 战略定位与转型方向</w:t>
      </w:r>
    </w:p>
    <w:p>
      <w:pPr>
        <w:spacing w:after="200" w:line="360"/>
        <w:ind w:firstLine="480"/>
      </w:pPr>
      <w:r>
        <w:rPr>
          <w:sz w:val="24"/>
          <w:szCs w:val="24"/>
        </w:rPr>
        <w:t xml:space="preserve">华润置地的战略定位经历了从"综合型地产开发商"到"城市综合投资开发运营商"再到"行业领先的城市投资开发运营商"的演进。这一演进过程反映了公司从重资产开发向轻资产运营的转型方向。</w:t>
      </w:r>
    </w:p>
    <w:p>
      <w:pPr>
        <w:spacing w:after="200" w:line="360"/>
        <w:ind w:firstLine="480"/>
      </w:pPr>
      <w:r>
        <w:rPr>
          <w:sz w:val="24"/>
          <w:szCs w:val="24"/>
        </w:rPr>
        <w:t xml:space="preserve">2020年，华润置地明确提出"双轮驱动"战略，即"开发业务+经营性业务"双轮驱动。2022年，公司进一步升级为"3+1"业务模式，即在开发销售型业务、经营性不动产业务、轻资产管理业务三大板块基础上，增加生态圈要素型业务（如代建、长租、产城等）。</w:t>
      </w:r>
    </w:p>
    <w:p>
      <w:pPr>
        <w:spacing w:after="200" w:line="360"/>
        <w:ind w:firstLine="480"/>
      </w:pPr>
      <w:r>
        <w:rPr>
          <w:sz w:val="24"/>
          <w:szCs w:val="24"/>
        </w:rPr>
        <w:t xml:space="preserve">2024年3月，华润商业REIT在深交所上市，标志着华润的轻资产转型进入新阶段。REITs平台的建立，打通了"投融建管退"的资本闭环，使华润能够通过资产出表实现资本回收，同时通过商管平台继续获取运营管理收入，形成"双平台协同"的独特模式。</w:t>
      </w:r>
    </w:p>
    <w:p>
      <w:pPr>
        <w:pStyle w:val="Heading2"/>
        <w:spacing w:after="150" w:before="300"/>
      </w:pPr>
      <w:r>
        <w:rPr>
          <w:b/>
          <w:bCs/>
          <w:sz w:val="28"/>
          <w:szCs w:val="28"/>
        </w:rPr>
        <w:t xml:space="preserve">4.2 轻资产转型历程</w:t>
      </w:r>
    </w:p>
    <w:p>
      <w:pPr>
        <w:pStyle w:val="Heading3"/>
        <w:spacing w:after="100" w:before="200"/>
      </w:pPr>
      <w:r>
        <w:rPr>
          <w:b/>
          <w:bCs/>
          <w:sz w:val="26"/>
          <w:szCs w:val="26"/>
        </w:rPr>
        <w:t xml:space="preserve">4.2.1 转型背景与动因</w:t>
      </w:r>
    </w:p>
    <w:p>
      <w:pPr>
        <w:spacing w:after="200" w:line="360"/>
        <w:ind w:firstLine="480"/>
      </w:pPr>
      <w:r>
        <w:rPr>
          <w:sz w:val="24"/>
          <w:szCs w:val="24"/>
        </w:rPr>
        <w:t xml:space="preserve">华润置地的轻资产转型是在行业环境巨变和企业战略调整的双重驱动下启动的。</w:t>
      </w:r>
    </w:p>
    <w:p>
      <w:pPr>
        <w:spacing w:after="200" w:line="360"/>
        <w:ind w:firstLine="480"/>
      </w:pPr>
      <w:r>
        <w:rPr>
          <w:sz w:val="24"/>
          <w:szCs w:val="24"/>
        </w:rPr>
        <w:t xml:space="preserve">从行业环境看，中国房地产行业在2020年后进入深度调整期。"三道红线"政策对房企杠杆率形成硬约束，融资环境持续收紧，开发业务毛利率从2019年的约30%降至2024年的约15%。与此同时，商业地产市场分化加剧，优质购物中心资产的价值凸显，而劣质资产则面临空置和贬值风险。这一行业环境变化，迫使房地产企业从"规模扩张"转向"质量提升"，从"开发驱动"转向"运营驱动"。</w:t>
      </w:r>
    </w:p>
    <w:p>
      <w:pPr>
        <w:spacing w:after="200" w:line="360"/>
        <w:ind w:firstLine="480"/>
      </w:pPr>
      <w:r>
        <w:rPr>
          <w:sz w:val="24"/>
          <w:szCs w:val="24"/>
        </w:rPr>
        <w:t xml:space="preserve">从企业战略看，华润置地早在2018年就提出了"两翼业务"（商业和物业）的战略构想，旨在降低对开发业务的依赖，提升盈利的稳定性和可持续性。2020年华润万象生活的分拆上市，正是这一战略构想的落地实施。</w:t>
      </w:r>
    </w:p>
    <w:p>
      <w:pPr>
        <w:spacing w:after="200" w:line="360"/>
        <w:ind w:firstLine="480"/>
      </w:pPr>
      <w:r>
        <w:rPr>
          <w:sz w:val="24"/>
          <w:szCs w:val="24"/>
        </w:rPr>
        <w:t xml:space="preserve">从金融工具创新看，中国公募REITs市场的发展为商业地产企业提供了新的资本退出通道。2020年公募REITs试点启动，2023年消费类REITs扩容，华润商业REIT作为首批消费类REITs之一，于2024年3月成功上市，为华润打通了资本闭环的关键一环。</w:t>
      </w:r>
    </w:p>
    <w:p>
      <w:pPr>
        <w:pStyle w:val="Heading3"/>
        <w:spacing w:after="100" w:before="200"/>
      </w:pPr>
      <w:r>
        <w:rPr>
          <w:b/>
          <w:bCs/>
          <w:sz w:val="26"/>
          <w:szCs w:val="26"/>
        </w:rPr>
        <w:t xml:space="preserve">4.2.2 转型阶段划分</w:t>
      </w:r>
    </w:p>
    <w:p>
      <w:pPr>
        <w:spacing w:after="200" w:line="360"/>
        <w:ind w:firstLine="480"/>
      </w:pPr>
      <w:r>
        <w:rPr>
          <w:sz w:val="24"/>
          <w:szCs w:val="24"/>
        </w:rPr>
        <w:t xml:space="preserve">基于关键事件的时间序列，华润置地的轻资产转型可划分为四个阶段：</w:t>
      </w:r>
    </w:p>
    <w:p>
      <w:pPr>
        <w:spacing w:after="200" w:line="360"/>
        <w:ind w:firstLine="480"/>
      </w:pPr>
      <w:r>
        <w:rPr>
          <w:b/>
          <w:bCs/>
          <w:sz w:val="24"/>
          <w:szCs w:val="24"/>
        </w:rPr>
        <w:t xml:space="preserve">第一阶段（2018-2019年）：战略酝酿期。</w:t>
      </w:r>
      <w:r>
        <w:rPr>
          <w:sz w:val="24"/>
          <w:szCs w:val="24"/>
        </w:rPr>
        <w:t xml:space="preserve"> 公司提出"两翼业务"战略构想，开始系统培育商业运营和物业管理能力，为后续分拆上市奠定基础。这一阶段的核心任务是能力建设和组织准备。</w:t>
      </w:r>
    </w:p>
    <w:p>
      <w:pPr>
        <w:spacing w:after="200" w:line="360"/>
        <w:ind w:firstLine="480"/>
      </w:pPr>
      <w:r>
        <w:rPr>
          <w:b/>
          <w:bCs/>
          <w:sz w:val="24"/>
          <w:szCs w:val="24"/>
        </w:rPr>
        <w:t xml:space="preserve">第二阶段（2020-2022年）：平台分拆期。</w:t>
      </w:r>
      <w:r>
        <w:rPr>
          <w:sz w:val="24"/>
          <w:szCs w:val="24"/>
        </w:rPr>
        <w:t xml:space="preserve"> 2020年3月，华润万象生活在香港联交所上市，标志着轻资产运营平台从开发业务中独立。分拆上市后，华润万象生活加速拓展第三方外拓项目，管理规模从2020年的约1.8亿平方米增至2022年的约3.2亿平方米。这一阶段的核心任务是平台独立和规模扩张。</w:t>
      </w:r>
    </w:p>
    <w:p>
      <w:pPr>
        <w:spacing w:after="200" w:line="360"/>
        <w:ind w:firstLine="480"/>
      </w:pPr>
      <w:r>
        <w:rPr>
          <w:b/>
          <w:bCs/>
          <w:sz w:val="24"/>
          <w:szCs w:val="24"/>
        </w:rPr>
        <w:t xml:space="preserve">第三阶段（2023-2024年）：REITs发行期。</w:t>
      </w:r>
      <w:r>
        <w:rPr>
          <w:sz w:val="24"/>
          <w:szCs w:val="24"/>
        </w:rPr>
        <w:t xml:space="preserve"> 2023年，华润置地启动REITs发行筹备工作，选择青岛万象城作为底层资产。2024年3月，华润商业REIT在深交所上市，发行规模69.227亿元，成为首批消费类基础设施REITs之一。这一阶段的核心任务是资本退出和闭环构建。</w:t>
      </w:r>
    </w:p>
    <w:p>
      <w:pPr>
        <w:spacing w:after="200" w:line="360"/>
        <w:ind w:firstLine="480"/>
      </w:pPr>
      <w:r>
        <w:rPr>
          <w:b/>
          <w:bCs/>
          <w:sz w:val="24"/>
          <w:szCs w:val="24"/>
        </w:rPr>
        <w:t xml:space="preserve">第四阶段（2025年及以后）：双平台协同期。</w:t>
      </w:r>
      <w:r>
        <w:rPr>
          <w:sz w:val="24"/>
          <w:szCs w:val="24"/>
        </w:rPr>
        <w:t xml:space="preserve"> REITs上市后，华润形成"商管平台（华润万象生活）+REITs平台（华润商业REIT）"的双平台协同模式。商管平台继续运营管理REITs底层资产，获取管理费收入；REITs平台为后续资产退出提供通道，形成"培育-成熟-退出-再投资"的资本循环。这一阶段的核心任务是协同效应优化和资本循环效率提升。</w:t>
      </w:r>
    </w:p>
    <w:p>
      <w:pPr>
        <w:spacing w:after="200" w:line="360"/>
        <w:ind w:firstLine="480"/>
      </w:pPr>
      <w:r>
        <w:rPr>
          <w:b/>
          <w:bCs/>
          <w:sz w:val="24"/>
          <w:szCs w:val="24"/>
        </w:rPr>
        <w:t xml:space="preserve">表4-1 华润置地轻资产转型关键事件时间轴</w:t>
      </w:r>
    </w:p>
    <w:p>
      <w:pPr>
        <w:spacing w:after="100"/>
      </w:pPr>
      <w:r>
        <w:rPr>
          <w:sz w:val="20"/>
          <w:szCs w:val="20"/>
        </w:rPr>
        <w:t xml:space="preserve">时间 | 关键事件 | 战略意义</w:t>
      </w:r>
    </w:p>
    <w:p>
      <w:pPr>
        <w:spacing w:after="100"/>
      </w:pPr>
      <w:r>
        <w:rPr>
          <w:sz w:val="20"/>
          <w:szCs w:val="20"/>
        </w:rPr>
        <w:t xml:space="preserve">2018年 | 提出"两翼业务"战略 | 轻资产转型战略启动</w:t>
      </w:r>
    </w:p>
    <w:p>
      <w:pPr>
        <w:spacing w:after="100"/>
      </w:pPr>
      <w:r>
        <w:rPr>
          <w:sz w:val="20"/>
          <w:szCs w:val="20"/>
        </w:rPr>
        <w:t xml:space="preserve">2020年3月 | 华润万象生活分拆上市 | 轻资产运营平台独立</w:t>
      </w:r>
    </w:p>
    <w:p>
      <w:pPr>
        <w:spacing w:after="100"/>
      </w:pPr>
      <w:r>
        <w:rPr>
          <w:sz w:val="20"/>
          <w:szCs w:val="20"/>
        </w:rPr>
        <w:t xml:space="preserve">2020-2022年 | 华润万象生活加速外拓 | 管理规模快速扩张</w:t>
      </w:r>
    </w:p>
    <w:p>
      <w:pPr>
        <w:spacing w:after="100"/>
      </w:pPr>
      <w:r>
        <w:rPr>
          <w:sz w:val="20"/>
          <w:szCs w:val="20"/>
        </w:rPr>
        <w:t xml:space="preserve">2023年 | 启动REITs发行筹备 | 资本退出通道构建</w:t>
      </w:r>
    </w:p>
    <w:p>
      <w:pPr>
        <w:spacing w:after="100"/>
      </w:pPr>
      <w:r>
        <w:rPr>
          <w:sz w:val="20"/>
          <w:szCs w:val="20"/>
        </w:rPr>
        <w:t xml:space="preserve">2024年3月 | 华润商业REIT上市 | 资本闭环打通</w:t>
      </w:r>
    </w:p>
    <w:p>
      <w:pPr>
        <w:spacing w:after="100"/>
      </w:pPr>
      <w:r>
        <w:rPr>
          <w:sz w:val="20"/>
          <w:szCs w:val="20"/>
        </w:rPr>
        <w:t xml:space="preserve">2024年后 | 双平台协同运营 | 转型进入深化期</w:t>
      </w:r>
    </w:p>
    <w:p>
      <w:pPr>
        <w:pStyle w:val="Heading3"/>
        <w:spacing w:after="100" w:before="200"/>
      </w:pPr>
      <w:r>
        <w:rPr>
          <w:b/>
          <w:bCs/>
          <w:sz w:val="26"/>
          <w:szCs w:val="26"/>
        </w:rPr>
        <w:t xml:space="preserve">4.2.3 转型路径特征</w:t>
      </w:r>
    </w:p>
    <w:p>
      <w:pPr>
        <w:spacing w:after="200" w:line="360"/>
        <w:ind w:firstLine="480"/>
      </w:pPr>
      <w:r>
        <w:rPr>
          <w:sz w:val="24"/>
          <w:szCs w:val="24"/>
        </w:rPr>
        <w:t xml:space="preserve">华润置地的轻资产转型路径具有三个鲜明特征：</w:t>
      </w:r>
    </w:p>
    <w:p>
      <w:pPr>
        <w:spacing w:after="200" w:line="360"/>
        <w:ind w:firstLine="480"/>
      </w:pPr>
      <w:r>
        <w:rPr>
          <w:sz w:val="24"/>
          <w:szCs w:val="24"/>
        </w:rPr>
        <w:t xml:space="preserve">其一，"先分拆、后REITs"的路径选择。华润选择先将商管业务分拆上市，建立独立的轻资产运营平台，再通过REITs实现资本退出。这一路径与万达"先REITs、后分拆"的路径形成对比，体现了华润对运营能力建设的重视。</w:t>
      </w:r>
    </w:p>
    <w:p>
      <w:pPr>
        <w:spacing w:after="200" w:line="360"/>
        <w:ind w:firstLine="480"/>
      </w:pPr>
      <w:r>
        <w:rPr>
          <w:sz w:val="24"/>
          <w:szCs w:val="24"/>
        </w:rPr>
        <w:t xml:space="preserve">其二，"双平台协同"的组织架构。华润构建了商管平台和REITs平台的双平台架构，两个平台通过关联交易形成协同：商管平台为REITs底层资产提供运营管理服务，REITs平台为商管平台培育的成熟资产提供退出通道。这一架构实现了"资产出表、管理留存"的转型目标。</w:t>
      </w:r>
    </w:p>
    <w:p>
      <w:pPr>
        <w:spacing w:after="200" w:line="360"/>
        <w:ind w:firstLine="480"/>
      </w:pPr>
      <w:r>
        <w:rPr>
          <w:sz w:val="24"/>
          <w:szCs w:val="24"/>
        </w:rPr>
        <w:t xml:space="preserve">其三，"央企背景+市场化运营"的混合特征。华润置地作为央企，拥有稳定的资本支持和信用背书，能够承担更长的投资周期和更高的转型成本；同时，华润万象生活采用市场化激励机制，吸引和保留专业人才，确保运营效率。这一混合特征是华润转型成功的重要保障。</w:t>
      </w:r>
    </w:p>
    <w:p>
      <w:pPr>
        <w:pStyle w:val="Heading2"/>
        <w:spacing w:after="150" w:before="300"/>
      </w:pPr>
      <w:r>
        <w:rPr>
          <w:b/>
          <w:bCs/>
          <w:sz w:val="28"/>
          <w:szCs w:val="28"/>
        </w:rPr>
        <w:t xml:space="preserve">4.3 华润万象生活：商管平台分析</w:t>
      </w:r>
    </w:p>
    <w:p>
      <w:pPr>
        <w:pStyle w:val="Heading3"/>
        <w:spacing w:after="100" w:before="200"/>
      </w:pPr>
      <w:r>
        <w:rPr>
          <w:b/>
          <w:bCs/>
          <w:sz w:val="26"/>
          <w:szCs w:val="26"/>
        </w:rPr>
        <w:t xml:space="preserve">4.3.1 平台定位与业务构成</w:t>
      </w:r>
    </w:p>
    <w:p>
      <w:pPr>
        <w:spacing w:after="200" w:line="360"/>
        <w:ind w:firstLine="480"/>
      </w:pPr>
      <w:r>
        <w:rPr>
          <w:sz w:val="24"/>
          <w:szCs w:val="24"/>
        </w:rPr>
        <w:t xml:space="preserve">华润万象生活是华润置地轻资产转型的核心载体，定位为"中国领先的商业运营服务商"。公司于2020年3月从华润置地分拆上市，上市时发行价22.30港元，募集资金约120亿港元。</w:t>
      </w:r>
    </w:p>
    <w:p>
      <w:pPr>
        <w:spacing w:after="200" w:line="360"/>
        <w:ind w:firstLine="480"/>
      </w:pPr>
      <w:r>
        <w:rPr>
          <w:sz w:val="24"/>
          <w:szCs w:val="24"/>
        </w:rPr>
        <w:t xml:space="preserve">华润万象生活的业务可分为两大板块：一是商业运营服务，涵盖购物中心的运营管理、品牌输出、租户管理等业务；二是物业管理服务，涵盖住宅、写字楼、产业园等业态的物业管理业务。2024年，商业运营服务收入约75亿元，占比42%；物业管理服务收入约102亿元，占比58%。</w:t>
      </w:r>
    </w:p>
    <w:p>
      <w:pPr>
        <w:spacing w:after="200" w:line="360"/>
        <w:ind w:firstLine="480"/>
      </w:pPr>
      <w:r>
        <w:rPr>
          <w:sz w:val="24"/>
          <w:szCs w:val="24"/>
        </w:rPr>
        <w:t xml:space="preserve">商业运营服务是华润万象生活的核心业务，也是轻资产转型的关键。该业务采用"全委托管理"模式，即华润万象生活作为商业运营服务商，接受业主委托，对购物中心进行全流程运营管理，包括招商、运营、推广、物业管理等环节。管理费收入通常由基础管理费（按营业收入的一定比例提取）和超额分成（超出业绩目标后的分成）两部分构成。</w:t>
      </w:r>
    </w:p>
    <w:p>
      <w:pPr>
        <w:pStyle w:val="Heading3"/>
        <w:spacing w:after="100" w:before="200"/>
      </w:pPr>
      <w:r>
        <w:rPr>
          <w:b/>
          <w:bCs/>
          <w:sz w:val="26"/>
          <w:szCs w:val="26"/>
        </w:rPr>
        <w:t xml:space="preserve">4.3.2 管理规模与增长</w:t>
      </w:r>
    </w:p>
    <w:p>
      <w:pPr>
        <w:spacing w:after="200" w:line="360"/>
        <w:ind w:firstLine="480"/>
      </w:pPr>
      <w:r>
        <w:rPr>
          <w:sz w:val="24"/>
          <w:szCs w:val="24"/>
        </w:rPr>
        <w:t xml:space="preserve">华润万象生活的管理规模在分拆上市后实现快速增长。截至2024年末，公司在管建筑面积约4.2亿平方米，其中商业运营在管面积约3200万平方米，物业管理在管面积约3.9亿平方米。</w:t>
      </w:r>
    </w:p>
    <w:p>
      <w:pPr>
        <w:spacing w:after="200" w:line="360"/>
        <w:ind w:firstLine="480"/>
      </w:pPr>
      <w:r>
        <w:rPr>
          <w:b/>
          <w:bCs/>
          <w:sz w:val="24"/>
          <w:szCs w:val="24"/>
        </w:rPr>
        <w:t xml:space="preserve">表4-2 华润万象生活管理规模变化（2020-2024年）</w:t>
      </w:r>
    </w:p>
    <w:p>
      <w:pPr>
        <w:spacing w:after="100"/>
      </w:pPr>
      <w:r>
        <w:rPr>
          <w:sz w:val="20"/>
          <w:szCs w:val="20"/>
        </w:rPr>
        <w:t xml:space="preserve">年份 | 在管建筑面积(亿㎡) | 商业运营在管面积(万㎡) | 在营购物中心(座) | 第三方外拓占比(%)</w:t>
      </w:r>
    </w:p>
    <w:p>
      <w:pPr>
        <w:spacing w:after="100"/>
      </w:pPr>
      <w:r>
        <w:rPr>
          <w:sz w:val="20"/>
          <w:szCs w:val="20"/>
        </w:rPr>
        <w:t xml:space="preserve">2020 | 1.8 | 1,200 | 58 | 25</w:t>
      </w:r>
    </w:p>
    <w:p>
      <w:pPr>
        <w:spacing w:after="100"/>
      </w:pPr>
      <w:r>
        <w:rPr>
          <w:sz w:val="20"/>
          <w:szCs w:val="20"/>
        </w:rPr>
        <w:t xml:space="preserve">2021 | 2.4 | 1,800 | 72 | 32</w:t>
      </w:r>
    </w:p>
    <w:p>
      <w:pPr>
        <w:spacing w:after="100"/>
      </w:pPr>
      <w:r>
        <w:rPr>
          <w:sz w:val="20"/>
          <w:szCs w:val="20"/>
        </w:rPr>
        <w:t xml:space="preserve">2022 | 3.2 | 2,400 | 85 | 38</w:t>
      </w:r>
    </w:p>
    <w:p>
      <w:pPr>
        <w:spacing w:after="100"/>
      </w:pPr>
      <w:r>
        <w:rPr>
          <w:sz w:val="20"/>
          <w:szCs w:val="20"/>
        </w:rPr>
        <w:t xml:space="preserve">2023 | 3.8 | 2,900 | 95 | 41</w:t>
      </w:r>
    </w:p>
    <w:p>
      <w:pPr>
        <w:spacing w:after="100"/>
      </w:pPr>
      <w:r>
        <w:rPr>
          <w:sz w:val="20"/>
          <w:szCs w:val="20"/>
        </w:rPr>
        <w:t xml:space="preserve">2024 | 4.2 | 3,200 | 102 | 43</w:t>
      </w:r>
    </w:p>
    <w:p>
      <w:pPr>
        <w:spacing w:after="200" w:line="360"/>
        <w:ind w:firstLine="480"/>
      </w:pPr>
      <w:r>
        <w:rPr>
          <w:sz w:val="24"/>
          <w:szCs w:val="24"/>
        </w:rPr>
        <w:t xml:space="preserve">数据来源：华润万象生活年度报告（2020-2024年）</w:t>
      </w:r>
    </w:p>
    <w:p>
      <w:pPr>
        <w:spacing w:after="200" w:line="360"/>
        <w:ind w:firstLine="480"/>
      </w:pPr>
      <w:r>
        <w:rPr>
          <w:sz w:val="24"/>
          <w:szCs w:val="24"/>
        </w:rPr>
        <w:t xml:space="preserve">从表4-2可以看出，华润万象生活的管理规模呈现三个增长特征：一是总量快速增长，在管建筑面积从2020年的1.8亿平方米增至2024年的4.2亿平方米，年均复合增长率达23.6%；二是商业运营业务占比提升，商业运营在管面积从2020年的1200万平方米增至2024年的3200万平方米，占比从6.7%提升至7.6%；三是第三方外拓成为增长主力，第三方外拓项目占比从2020年的25%提升至2024年的43%，表明市场化拓展能力显著增强。</w:t>
      </w:r>
    </w:p>
    <w:p>
      <w:pPr>
        <w:pStyle w:val="Heading3"/>
        <w:spacing w:after="100" w:before="200"/>
      </w:pPr>
      <w:r>
        <w:rPr>
          <w:b/>
          <w:bCs/>
          <w:sz w:val="26"/>
          <w:szCs w:val="26"/>
        </w:rPr>
        <w:t xml:space="preserve">4.3.3 财务表现分析</w:t>
      </w:r>
    </w:p>
    <w:p>
      <w:pPr>
        <w:spacing w:after="200" w:line="360"/>
        <w:ind w:firstLine="480"/>
      </w:pPr>
      <w:r>
        <w:rPr>
          <w:sz w:val="24"/>
          <w:szCs w:val="24"/>
        </w:rPr>
        <w:t xml:space="preserve">华润万象生活在分拆上市后实现了营收和利润的快速增长，财务表现呈现轻资产运营的典型特征。</w:t>
      </w:r>
    </w:p>
    <w:p>
      <w:pPr>
        <w:spacing w:after="200" w:line="360"/>
        <w:ind w:firstLine="480"/>
      </w:pPr>
      <w:r>
        <w:rPr>
          <w:b/>
          <w:bCs/>
          <w:sz w:val="24"/>
          <w:szCs w:val="24"/>
        </w:rPr>
        <w:t xml:space="preserve">表4-3 华润万象生活财务数据（2020-2024年）</w:t>
      </w:r>
    </w:p>
    <w:p>
      <w:pPr>
        <w:spacing w:after="100"/>
      </w:pPr>
      <w:r>
        <w:rPr>
          <w:sz w:val="20"/>
          <w:szCs w:val="20"/>
        </w:rPr>
        <w:t xml:space="preserve">指标 | 2020年 | 2021年 | 2022年 | 2023年 | 2024年</w:t>
      </w:r>
    </w:p>
    <w:p>
      <w:pPr>
        <w:spacing w:after="100"/>
      </w:pPr>
      <w:r>
        <w:rPr>
          <w:sz w:val="20"/>
          <w:szCs w:val="20"/>
        </w:rPr>
        <w:t xml:space="preserve">营业收入(亿元) | 67.9 | 88.5 | 120.3 | 147.2 | 177.5</w:t>
      </w:r>
    </w:p>
    <w:p>
      <w:pPr>
        <w:spacing w:after="100"/>
      </w:pPr>
      <w:r>
        <w:rPr>
          <w:sz w:val="20"/>
          <w:szCs w:val="20"/>
        </w:rPr>
        <w:t xml:space="preserve">同比增长率(%) | - | 30.3 | 35.8 | 22.4 | 20.5</w:t>
      </w:r>
    </w:p>
    <w:p>
      <w:pPr>
        <w:spacing w:after="100"/>
      </w:pPr>
      <w:r>
        <w:rPr>
          <w:sz w:val="20"/>
          <w:szCs w:val="20"/>
        </w:rPr>
        <w:t xml:space="preserve">毛利润(亿元) | 20.4 | 28.3 | 40.5 | 51.2 | 60.5</w:t>
      </w:r>
    </w:p>
    <w:p>
      <w:pPr>
        <w:spacing w:after="100"/>
      </w:pPr>
      <w:r>
        <w:rPr>
          <w:sz w:val="20"/>
          <w:szCs w:val="20"/>
        </w:rPr>
        <w:t xml:space="preserve">毛利率(%) | 30.0 | 32.0 | 33.7 | 34.8 | 34.1</w:t>
      </w:r>
    </w:p>
    <w:p>
      <w:pPr>
        <w:spacing w:after="100"/>
      </w:pPr>
      <w:r>
        <w:rPr>
          <w:sz w:val="20"/>
          <w:szCs w:val="20"/>
        </w:rPr>
        <w:t xml:space="preserve">净利润(亿元) | 8.6 | 13.2 | 19.8 | 28.5 | 36.3</w:t>
      </w:r>
    </w:p>
    <w:p>
      <w:pPr>
        <w:spacing w:after="100"/>
      </w:pPr>
      <w:r>
        <w:rPr>
          <w:sz w:val="20"/>
          <w:szCs w:val="20"/>
        </w:rPr>
        <w:t xml:space="preserve">净利率(%) | 12.7 | 14.9 | 16.5 | 19.4 | 20.5</w:t>
      </w:r>
    </w:p>
    <w:p>
      <w:pPr>
        <w:spacing w:after="100"/>
      </w:pPr>
      <w:r>
        <w:rPr>
          <w:sz w:val="20"/>
          <w:szCs w:val="20"/>
        </w:rPr>
        <w:t xml:space="preserve">ROE(%) | 18.5 | 22.3 | 25.8 | 28.6 | 31.2</w:t>
      </w:r>
    </w:p>
    <w:p>
      <w:pPr>
        <w:spacing w:after="200" w:line="360"/>
        <w:ind w:firstLine="480"/>
      </w:pPr>
      <w:r>
        <w:rPr>
          <w:sz w:val="24"/>
          <w:szCs w:val="24"/>
        </w:rPr>
        <w:t xml:space="preserve">数据来源：华润万象生活年度报告（2020-2024年）</w:t>
      </w:r>
    </w:p>
    <w:p>
      <w:pPr>
        <w:spacing w:after="200" w:line="360"/>
        <w:ind w:firstLine="480"/>
      </w:pPr>
      <w:r>
        <w:rPr>
          <w:sz w:val="24"/>
          <w:szCs w:val="24"/>
        </w:rPr>
        <w:t xml:space="preserve">从表4-3可以看出，华润万象生活的财务表现呈现四个特征：</w:t>
      </w:r>
    </w:p>
    <w:p>
      <w:pPr>
        <w:spacing w:after="200" w:line="360"/>
        <w:ind w:firstLine="480"/>
      </w:pPr>
      <w:r>
        <w:rPr>
          <w:sz w:val="24"/>
          <w:szCs w:val="24"/>
        </w:rPr>
        <w:t xml:space="preserve">其一，营收持续高增长。2020-2024年，营业收入从67.9亿元增至177.5亿元，年均复合增长率达27.2%，显著高于同期房地产开发企业的营收增速。这一增长主要来自管理规模的扩张和管理费收入的提升。</w:t>
      </w:r>
    </w:p>
    <w:p>
      <w:pPr>
        <w:spacing w:after="200" w:line="360"/>
        <w:ind w:firstLine="480"/>
      </w:pPr>
      <w:r>
        <w:rPr>
          <w:sz w:val="24"/>
          <w:szCs w:val="24"/>
        </w:rPr>
        <w:t xml:space="preserve">其二，毛利率稳步提升。毛利率从2020年的30.0%提升至2024年的34.1%，提升4.1个百分点。毛利率提升的原因包括：规模效应带来的成本摊薄、商业运营业务占比提升（商业运营毛利率高于物业管理）、运营效率提升等。</w:t>
      </w:r>
    </w:p>
    <w:p>
      <w:pPr>
        <w:spacing w:after="200" w:line="360"/>
        <w:ind w:firstLine="480"/>
      </w:pPr>
      <w:r>
        <w:rPr>
          <w:sz w:val="24"/>
          <w:szCs w:val="24"/>
        </w:rPr>
        <w:t xml:space="preserve">其三，净利率快速提升。净利率从2020年的12.7%提升至2024年的20.5%，提升7.8个百分点。净利率提升幅度大于毛利率，主要得益于费用控制能力的提升和规模效应的显现。</w:t>
      </w:r>
    </w:p>
    <w:p>
      <w:pPr>
        <w:spacing w:after="200" w:line="360"/>
        <w:ind w:firstLine="480"/>
      </w:pPr>
      <w:r>
        <w:rPr>
          <w:sz w:val="24"/>
          <w:szCs w:val="24"/>
        </w:rPr>
        <w:t xml:space="preserve">其四，ROE保持高位。ROE从2020年的18.5%提升至2024年的31.2%，远高于同期房地产开发企业的ROE水平。高ROE是轻资产运营模式的典型特征，反映了资本使用效率的优势。</w:t>
      </w:r>
    </w:p>
    <w:p>
      <w:pPr>
        <w:pStyle w:val="Heading2"/>
        <w:spacing w:after="150" w:before="300"/>
      </w:pPr>
      <w:r>
        <w:rPr>
          <w:b/>
          <w:bCs/>
          <w:sz w:val="28"/>
          <w:szCs w:val="28"/>
        </w:rPr>
        <w:t xml:space="preserve">4.4 华润商业REIT：资本退出分析</w:t>
      </w:r>
    </w:p>
    <w:p>
      <w:pPr>
        <w:pStyle w:val="Heading3"/>
        <w:spacing w:after="100" w:before="200"/>
      </w:pPr>
      <w:r>
        <w:rPr>
          <w:b/>
          <w:bCs/>
          <w:sz w:val="26"/>
          <w:szCs w:val="26"/>
        </w:rPr>
        <w:t xml:space="preserve">4.4.1 REITs发行概况</w:t>
      </w:r>
    </w:p>
    <w:p>
      <w:pPr>
        <w:spacing w:after="200" w:line="360"/>
        <w:ind w:firstLine="480"/>
      </w:pPr>
      <w:r>
        <w:rPr>
          <w:sz w:val="24"/>
          <w:szCs w:val="24"/>
        </w:rPr>
        <w:t xml:space="preserve">华润商业REIT（基金代码：508068）于2024年3月1日在深交所上市，是首批消费类基础设施公募REITs之一。基金管理人为华夏基金管理有限公司，专项计划管理人为中信证券股份有限公司。</w:t>
      </w:r>
    </w:p>
    <w:p>
      <w:pPr>
        <w:spacing w:after="200" w:line="360"/>
        <w:ind w:firstLine="480"/>
      </w:pPr>
      <w:r>
        <w:rPr>
          <w:b/>
          <w:bCs/>
          <w:sz w:val="24"/>
          <w:szCs w:val="24"/>
        </w:rPr>
        <w:t xml:space="preserve">表4-4 华润商业REIT发行概况</w:t>
      </w:r>
    </w:p>
    <w:p>
      <w:pPr>
        <w:spacing w:after="100"/>
      </w:pPr>
      <w:r>
        <w:rPr>
          <w:sz w:val="20"/>
          <w:szCs w:val="20"/>
        </w:rPr>
        <w:t xml:space="preserve">项目 | 内容</w:t>
      </w:r>
    </w:p>
    <w:p>
      <w:pPr>
        <w:spacing w:after="100"/>
      </w:pPr>
      <w:r>
        <w:rPr>
          <w:sz w:val="20"/>
          <w:szCs w:val="20"/>
        </w:rPr>
        <w:t xml:space="preserve">基金名称 | 华夏华润商业资产封闭式基础设施证券投资基金</w:t>
      </w:r>
    </w:p>
    <w:p>
      <w:pPr>
        <w:spacing w:after="100"/>
      </w:pPr>
      <w:r>
        <w:rPr>
          <w:sz w:val="20"/>
          <w:szCs w:val="20"/>
        </w:rPr>
        <w:t xml:space="preserve">基金代码 | 508068.SH</w:t>
      </w:r>
    </w:p>
    <w:p>
      <w:pPr>
        <w:spacing w:after="100"/>
      </w:pPr>
      <w:r>
        <w:rPr>
          <w:sz w:val="20"/>
          <w:szCs w:val="20"/>
        </w:rPr>
        <w:t xml:space="preserve">上市日期 | 2024年3月1日</w:t>
      </w:r>
    </w:p>
    <w:p>
      <w:pPr>
        <w:spacing w:after="100"/>
      </w:pPr>
      <w:r>
        <w:rPr>
          <w:sz w:val="20"/>
          <w:szCs w:val="20"/>
        </w:rPr>
        <w:t xml:space="preserve">基金规模 | 69.227亿元</w:t>
      </w:r>
    </w:p>
    <w:p>
      <w:pPr>
        <w:spacing w:after="100"/>
      </w:pPr>
      <w:r>
        <w:rPr>
          <w:sz w:val="20"/>
          <w:szCs w:val="20"/>
        </w:rPr>
        <w:t xml:space="preserve">基金份额 | 10亿份</w:t>
      </w:r>
    </w:p>
    <w:p>
      <w:pPr>
        <w:spacing w:after="100"/>
      </w:pPr>
      <w:r>
        <w:rPr>
          <w:sz w:val="20"/>
          <w:szCs w:val="20"/>
        </w:rPr>
        <w:t xml:space="preserve">发行价格 | 6.9227元/份</w:t>
      </w:r>
    </w:p>
    <w:p>
      <w:pPr>
        <w:spacing w:after="100"/>
      </w:pPr>
      <w:r>
        <w:rPr>
          <w:sz w:val="20"/>
          <w:szCs w:val="20"/>
        </w:rPr>
        <w:t xml:space="preserve">底层资产 | 青岛万象城</w:t>
      </w:r>
    </w:p>
    <w:p>
      <w:pPr>
        <w:spacing w:after="100"/>
      </w:pPr>
      <w:r>
        <w:rPr>
          <w:sz w:val="20"/>
          <w:szCs w:val="20"/>
        </w:rPr>
        <w:t xml:space="preserve">资产估值 | 71.28亿元</w:t>
      </w:r>
    </w:p>
    <w:p>
      <w:pPr>
        <w:spacing w:after="100"/>
      </w:pPr>
      <w:r>
        <w:rPr>
          <w:sz w:val="20"/>
          <w:szCs w:val="20"/>
        </w:rPr>
        <w:t xml:space="preserve">管理人 | 华夏基金管理有限公司</w:t>
      </w:r>
    </w:p>
    <w:p>
      <w:pPr>
        <w:spacing w:after="100"/>
      </w:pPr>
      <w:r>
        <w:rPr>
          <w:sz w:val="20"/>
          <w:szCs w:val="20"/>
        </w:rPr>
        <w:t xml:space="preserve">运营管理机构 | 华润万象生活有限公司</w:t>
      </w:r>
    </w:p>
    <w:p>
      <w:pPr>
        <w:spacing w:after="200" w:line="360"/>
        <w:ind w:firstLine="480"/>
      </w:pPr>
      <w:r>
        <w:rPr>
          <w:sz w:val="24"/>
          <w:szCs w:val="24"/>
        </w:rPr>
        <w:t xml:space="preserve">数据来源：华润商业REIT招募说明书</w:t>
      </w:r>
    </w:p>
    <w:p>
      <w:pPr>
        <w:spacing w:after="200" w:line="360"/>
        <w:ind w:firstLine="480"/>
      </w:pPr>
      <w:r>
        <w:rPr>
          <w:sz w:val="24"/>
          <w:szCs w:val="24"/>
        </w:rPr>
        <w:t xml:space="preserve">华润商业REIT的发行具有三重战略意义：一是打通了华润置地商业资产的资本退出通道，实现了"投融建管退"的资本闭环；二是为华润万象生活提供了持续的管理费收入来源，强化了商管平台的盈利基础；三是为后续资产的持续注入和扩募奠定了制度基础，形成了"资产培育-REITs退出-资金回笼-再投资"的循环机制。</w:t>
      </w:r>
    </w:p>
    <w:p>
      <w:pPr>
        <w:pStyle w:val="Heading3"/>
        <w:spacing w:after="100" w:before="200"/>
      </w:pPr>
      <w:r>
        <w:rPr>
          <w:b/>
          <w:bCs/>
          <w:sz w:val="26"/>
          <w:szCs w:val="26"/>
        </w:rPr>
        <w:t xml:space="preserve">4.4.2 底层资产分析</w:t>
      </w:r>
    </w:p>
    <w:p>
      <w:pPr>
        <w:spacing w:after="200" w:line="360"/>
        <w:ind w:firstLine="480"/>
      </w:pPr>
      <w:r>
        <w:rPr>
          <w:sz w:val="24"/>
          <w:szCs w:val="24"/>
        </w:rPr>
        <w:t xml:space="preserve">华润商业REIT的底层资产为青岛万象城，位于青岛市市南区山东路6号，是青岛市核心商圈的标志性商业综合体。</w:t>
      </w:r>
    </w:p>
    <w:p>
      <w:pPr>
        <w:spacing w:after="200" w:line="360"/>
        <w:ind w:firstLine="480"/>
      </w:pPr>
      <w:r>
        <w:rPr>
          <w:b/>
          <w:bCs/>
          <w:sz w:val="24"/>
          <w:szCs w:val="24"/>
        </w:rPr>
        <w:t xml:space="preserve">表4-5 青岛万象城运营数据</w:t>
      </w:r>
    </w:p>
    <w:p>
      <w:pPr>
        <w:spacing w:after="100"/>
      </w:pPr>
      <w:r>
        <w:rPr>
          <w:sz w:val="20"/>
          <w:szCs w:val="20"/>
        </w:rPr>
        <w:t xml:space="preserve">指标 | 2022年 | 2023年 | 2024年</w:t>
      </w:r>
    </w:p>
    <w:p>
      <w:pPr>
        <w:spacing w:after="100"/>
      </w:pPr>
      <w:r>
        <w:rPr>
          <w:sz w:val="20"/>
          <w:szCs w:val="20"/>
        </w:rPr>
        <w:t xml:space="preserve">可租面积(万㎡) | 14.5 | 14.5 | 14.5</w:t>
      </w:r>
    </w:p>
    <w:p>
      <w:pPr>
        <w:spacing w:after="100"/>
      </w:pPr>
      <w:r>
        <w:rPr>
          <w:sz w:val="20"/>
          <w:szCs w:val="20"/>
        </w:rPr>
        <w:t xml:space="preserve">出租率(%) | 97.2 | 98.5 | 99.0</w:t>
      </w:r>
    </w:p>
    <w:p>
      <w:pPr>
        <w:spacing w:after="100"/>
      </w:pPr>
      <w:r>
        <w:rPr>
          <w:sz w:val="20"/>
          <w:szCs w:val="20"/>
        </w:rPr>
        <w:t xml:space="preserve">租金收入(亿元) | 4.82 | 5.16 | 5.38</w:t>
      </w:r>
    </w:p>
    <w:p>
      <w:pPr>
        <w:spacing w:after="100"/>
      </w:pPr>
      <w:r>
        <w:rPr>
          <w:sz w:val="20"/>
          <w:szCs w:val="20"/>
        </w:rPr>
        <w:t xml:space="preserve">租金收缴率(%) | 99.1 | 99.3 | 99.5</w:t>
      </w:r>
    </w:p>
    <w:p>
      <w:pPr>
        <w:spacing w:after="100"/>
      </w:pPr>
      <w:r>
        <w:rPr>
          <w:sz w:val="20"/>
          <w:szCs w:val="20"/>
        </w:rPr>
        <w:t xml:space="preserve">客户数量(家) | 380 | 395 | 410</w:t>
      </w:r>
    </w:p>
    <w:p>
      <w:pPr>
        <w:spacing w:after="100"/>
      </w:pPr>
      <w:r>
        <w:rPr>
          <w:sz w:val="20"/>
          <w:szCs w:val="20"/>
        </w:rPr>
        <w:t xml:space="preserve">年化分派率(%) | - | - | 5.08</w:t>
      </w:r>
    </w:p>
    <w:p>
      <w:pPr>
        <w:spacing w:after="200" w:line="360"/>
        <w:ind w:firstLine="480"/>
      </w:pPr>
      <w:r>
        <w:rPr>
          <w:sz w:val="24"/>
          <w:szCs w:val="24"/>
        </w:rPr>
        <w:t xml:space="preserve">数据来源：华润商业REIT年度报告（2024年）</w:t>
      </w:r>
    </w:p>
    <w:p>
      <w:pPr>
        <w:spacing w:after="200" w:line="360"/>
        <w:ind w:firstLine="480"/>
      </w:pPr>
      <w:r>
        <w:rPr>
          <w:sz w:val="24"/>
          <w:szCs w:val="24"/>
        </w:rPr>
        <w:t xml:space="preserve">青岛万象城作为底层资产具有三个特征：一是区位优势显著，位于青岛市核心商圈，交通便利，辐射能力强；二是运营质量优异，出租率持续提升至99%，租金收缴率维持在99%以上，反映底层资产的高品质和运营管理的高效率；三是现金流稳定，租金收入从2022年的4.82亿元增至2024年的5.38亿元，年均增长率约5.7%，为REITs投资者提供了稳定的现金回报。</w:t>
      </w:r>
    </w:p>
    <w:p>
      <w:pPr>
        <w:pStyle w:val="Heading3"/>
        <w:spacing w:after="100" w:before="200"/>
      </w:pPr>
      <w:r>
        <w:rPr>
          <w:b/>
          <w:bCs/>
          <w:sz w:val="26"/>
          <w:szCs w:val="26"/>
        </w:rPr>
        <w:t xml:space="preserve">4.4.3 交易结构与出表分析</w:t>
      </w:r>
    </w:p>
    <w:p>
      <w:pPr>
        <w:spacing w:after="200" w:line="360"/>
        <w:ind w:firstLine="480"/>
      </w:pPr>
      <w:r>
        <w:rPr>
          <w:sz w:val="24"/>
          <w:szCs w:val="24"/>
        </w:rPr>
        <w:t xml:space="preserve">华润商业REIT的交易结构设计是理解REITs驱动轻资产转型的关键。REITs发行涉及原始权益人（华润置地）、基金管理人（华夏基金）、专项计划管理人（中信证券）和运营管理机构（华润万象生活）四个主体。</w:t>
      </w:r>
    </w:p>
    <w:p>
      <w:pPr>
        <w:spacing w:after="200" w:line="360"/>
        <w:ind w:firstLine="480"/>
      </w:pPr>
      <w:r>
        <w:rPr>
          <w:sz w:val="24"/>
          <w:szCs w:val="24"/>
        </w:rPr>
        <w:t xml:space="preserve">从出表效果看，华润商业REIT采用了"真实出售"的交易结构。华润置地将青岛万象城的项目公司股权转让给REITs，实现了资产的真实出表。这一交易结构的选择，确保了REITs发行对华润置地资产负债表的改善效果，避免了售后租回模式下租赁负债上表抵消资产负债率改善的问题。</w:t>
      </w:r>
    </w:p>
    <w:p>
      <w:pPr>
        <w:spacing w:after="200" w:line="360"/>
        <w:ind w:firstLine="480"/>
      </w:pPr>
      <w:r>
        <w:rPr>
          <w:sz w:val="24"/>
          <w:szCs w:val="24"/>
        </w:rPr>
        <w:t xml:space="preserve">从控制权安排看，华润置地通过持有REITs基金份额约30%的方式，保持了对底层资产的一定影响力，但不再拥有控制权。这一安排既满足了REITs出表的会计要求，又确保了华润万象生活作为运营管理机构的持续参与。</w:t>
      </w:r>
    </w:p>
    <w:p>
      <w:pPr>
        <w:spacing w:after="200" w:line="360"/>
        <w:ind w:firstLine="480"/>
      </w:pPr>
      <w:r>
        <w:rPr>
          <w:sz w:val="24"/>
          <w:szCs w:val="24"/>
        </w:rPr>
        <w:t xml:space="preserve">从利益分配看，华润万象生活作为运营管理机构，按底层资产营业收入的一定比例提取管理费，2024年管理费收入约0.54亿元。这一安排确保了商管平台在资产出表后仍能获取持续的运营管理收入，实现了"资产出表、管理留存"的转型目标。</w:t>
      </w:r>
    </w:p>
    <w:p>
      <w:pPr>
        <w:pStyle w:val="Heading3"/>
        <w:spacing w:after="100" w:before="200"/>
      </w:pPr>
      <w:r>
        <w:rPr>
          <w:b/>
          <w:bCs/>
          <w:sz w:val="26"/>
          <w:szCs w:val="26"/>
        </w:rPr>
        <w:t xml:space="preserve">4.4.4 REITs发行的资金效应</w:t>
      </w:r>
    </w:p>
    <w:p>
      <w:pPr>
        <w:spacing w:after="200" w:line="360"/>
        <w:ind w:firstLine="480"/>
      </w:pPr>
      <w:r>
        <w:rPr>
          <w:sz w:val="24"/>
          <w:szCs w:val="24"/>
        </w:rPr>
        <w:t xml:space="preserve">华润商业REIT发行规模69.227亿元，扣除发行费用后，华润置地实际回笼资金约66亿元。这一资金回笼对华润置地的财务状况产生了三重效应：</w:t>
      </w:r>
    </w:p>
    <w:p>
      <w:pPr>
        <w:spacing w:after="200" w:line="360"/>
        <w:ind w:firstLine="480"/>
      </w:pPr>
      <w:r>
        <w:rPr>
          <w:sz w:val="24"/>
          <w:szCs w:val="24"/>
        </w:rPr>
        <w:t xml:space="preserve">其一，资产负债表改善。资产出表后，华润置地总资产减少约71亿元（青岛万象城估值），同时货币资金增加约66亿元。由于资产减少幅度与资金增加幅度基本相当，资产负债率改善约0.5个百分点。虽然改善幅度有限，但REITs打通了资本退出通道，为后续更大规模的资产出表奠定了基础。</w:t>
      </w:r>
    </w:p>
    <w:p>
      <w:pPr>
        <w:spacing w:after="200" w:line="360"/>
        <w:ind w:firstLine="480"/>
      </w:pPr>
      <w:r>
        <w:rPr>
          <w:sz w:val="24"/>
          <w:szCs w:val="24"/>
        </w:rPr>
        <w:t xml:space="preserve">其二，利润结构优化。资产出表后，华润置地不再确认青岛万象城的租金收入和公允价值变动损益，但通过华润万象生活继续获取管理费收入。管理费收入的利润率高于租金收入，因此REITs发行有助于优化利润结构，提升盈利质量。</w:t>
      </w:r>
    </w:p>
    <w:p>
      <w:pPr>
        <w:spacing w:after="200" w:line="360"/>
        <w:ind w:firstLine="480"/>
      </w:pPr>
      <w:r>
        <w:rPr>
          <w:sz w:val="24"/>
          <w:szCs w:val="24"/>
        </w:rPr>
        <w:t xml:space="preserve">其三，资本循环启动。回笼的66亿元资金可用于新项目的获取和培育，形成"培育-成熟-退出-再投资"的资本循环。这一循环机制使华润置地能够在不增加负债的情况下实现业务扩张，是轻资产转型的核心价值所在。</w:t>
      </w:r>
    </w:p>
    <w:p>
      <w:pPr>
        <w:pStyle w:val="Heading2"/>
        <w:spacing w:after="150" w:before="300"/>
      </w:pPr>
      <w:r>
        <w:rPr>
          <w:b/>
          <w:bCs/>
          <w:sz w:val="28"/>
          <w:szCs w:val="28"/>
        </w:rPr>
        <w:t xml:space="preserve">4.5 轻资产转型的财务效应</w:t>
      </w:r>
    </w:p>
    <w:p>
      <w:pPr>
        <w:pStyle w:val="Heading3"/>
        <w:spacing w:after="100" w:before="200"/>
      </w:pPr>
      <w:r>
        <w:rPr>
          <w:b/>
          <w:bCs/>
          <w:sz w:val="26"/>
          <w:szCs w:val="26"/>
        </w:rPr>
        <w:t xml:space="preserve">4.5.1 维度一：资产轻量化</w:t>
      </w:r>
    </w:p>
    <w:p>
      <w:pPr>
        <w:spacing w:after="200" w:line="360"/>
        <w:ind w:firstLine="480"/>
      </w:pPr>
      <w:r>
        <w:rPr>
          <w:sz w:val="24"/>
          <w:szCs w:val="24"/>
        </w:rPr>
        <w:t xml:space="preserve">资产轻量化是轻资产转型最直观的财务效应。本维度从总资产增速、投资性房地产占比和资产周转率三个指标进行分析。</w:t>
      </w:r>
    </w:p>
    <w:p>
      <w:pPr>
        <w:spacing w:after="200" w:line="360"/>
        <w:ind w:firstLine="480"/>
      </w:pPr>
      <w:r>
        <w:rPr>
          <w:b/>
          <w:bCs/>
          <w:sz w:val="24"/>
          <w:szCs w:val="24"/>
        </w:rPr>
        <w:t xml:space="preserve">表4-6 华润置地资产轻量化指标变化（2020-2024年）</w:t>
      </w:r>
    </w:p>
    <w:p>
      <w:pPr>
        <w:spacing w:after="100"/>
      </w:pPr>
      <w:r>
        <w:rPr>
          <w:sz w:val="20"/>
          <w:szCs w:val="20"/>
        </w:rPr>
        <w:t xml:space="preserve">指标 | 2020年 | 2021年 | 2022年 | 2023年 | 2024年 | 变化趋势</w:t>
      </w:r>
    </w:p>
    <w:p>
      <w:pPr>
        <w:spacing w:after="100"/>
      </w:pPr>
      <w:r>
        <w:rPr>
          <w:sz w:val="20"/>
          <w:szCs w:val="20"/>
        </w:rPr>
        <w:t xml:space="preserve">总资产(亿元) | 9,682 | 10,847 | 11,523 | 12,018 | 12,396 | 增速放缓</w:t>
      </w:r>
    </w:p>
    <w:p>
      <w:pPr>
        <w:spacing w:after="100"/>
      </w:pPr>
      <w:r>
        <w:rPr>
          <w:sz w:val="20"/>
          <w:szCs w:val="20"/>
        </w:rPr>
        <w:t xml:space="preserve">总资产增速(%) | 14.2 | 12.0 | 6.2 | 4.3 | 3.1 | 持续下降</w:t>
      </w:r>
    </w:p>
    <w:p>
      <w:pPr>
        <w:spacing w:after="100"/>
      </w:pPr>
      <w:r>
        <w:rPr>
          <w:sz w:val="20"/>
          <w:szCs w:val="20"/>
        </w:rPr>
        <w:t xml:space="preserve">投资性房地产(亿元) | 1,890 | 2,156 | 2,485 | 2,680 | 2,800 | 占比先升后稳</w:t>
      </w:r>
    </w:p>
    <w:p>
      <w:pPr>
        <w:spacing w:after="100"/>
      </w:pPr>
      <w:r>
        <w:rPr>
          <w:sz w:val="20"/>
          <w:szCs w:val="20"/>
        </w:rPr>
        <w:t xml:space="preserve">投资性房地产占比(%) | 19.5 | 19.9 | 21.6 | 22.3 | 22.6 | 缓慢上升</w:t>
      </w:r>
    </w:p>
    <w:p>
      <w:pPr>
        <w:spacing w:after="100"/>
      </w:pPr>
      <w:r>
        <w:rPr>
          <w:sz w:val="20"/>
          <w:szCs w:val="20"/>
        </w:rPr>
        <w:t xml:space="preserve">开发成本(亿元) | 3,856 | 3,920 | 3,412 | 3,056 | 2,780 | 持续下降</w:t>
      </w:r>
    </w:p>
    <w:p>
      <w:pPr>
        <w:spacing w:after="100"/>
      </w:pPr>
      <w:r>
        <w:rPr>
          <w:sz w:val="20"/>
          <w:szCs w:val="20"/>
        </w:rPr>
        <w:t xml:space="preserve">开发成本占比(%) | 39.8 | 36.1 | 29.6 | 25.4 | 22.4 | 显著下降</w:t>
      </w:r>
    </w:p>
    <w:p>
      <w:pPr>
        <w:spacing w:after="100"/>
      </w:pPr>
      <w:r>
        <w:rPr>
          <w:sz w:val="20"/>
          <w:szCs w:val="20"/>
        </w:rPr>
        <w:t xml:space="preserve">资产周转率(次) | 0.22 | 0.25 | 0.23 | 0.21 | 0.20 | 基本稳定</w:t>
      </w:r>
    </w:p>
    <w:p>
      <w:pPr>
        <w:spacing w:after="200" w:line="360"/>
        <w:ind w:firstLine="480"/>
      </w:pPr>
      <w:r>
        <w:rPr>
          <w:sz w:val="24"/>
          <w:szCs w:val="24"/>
        </w:rPr>
        <w:t xml:space="preserve">数据来源：华润置地年度报告（2020-2024年）</w:t>
      </w:r>
    </w:p>
    <w:p>
      <w:pPr>
        <w:spacing w:after="200" w:line="360"/>
        <w:ind w:firstLine="480"/>
      </w:pPr>
      <w:r>
        <w:rPr>
          <w:sz w:val="24"/>
          <w:szCs w:val="24"/>
        </w:rPr>
        <w:t xml:space="preserve">从表4-6可以看出，华润置地的资产轻量化呈现三个特征：</w:t>
      </w:r>
    </w:p>
    <w:p>
      <w:pPr>
        <w:spacing w:after="200" w:line="360"/>
        <w:ind w:firstLine="480"/>
      </w:pPr>
      <w:r>
        <w:rPr>
          <w:sz w:val="24"/>
          <w:szCs w:val="24"/>
        </w:rPr>
        <w:t xml:space="preserve">其一，总资产增速显著放缓。总资产增速从2020年的14.2%降至2024年的3.1%，表明企业已从规模扩张转向质量提升。这一变化与轻资产转型的方向一致——轻资产模式不需要持续增加资产规模，而是通过管理输出来实现增长。</w:t>
      </w:r>
    </w:p>
    <w:p>
      <w:pPr>
        <w:spacing w:after="200" w:line="360"/>
        <w:ind w:firstLine="480"/>
      </w:pPr>
      <w:r>
        <w:rPr>
          <w:sz w:val="24"/>
          <w:szCs w:val="24"/>
        </w:rPr>
        <w:t xml:space="preserve">其二，资产结构发生显著变化。开发成本占比从2020年的39.8%降至2024年的22.4%，下降17.4个百分点；投资性房地产占比从19.5%升至22.6%，上升3.1个百分点。资产结构从"开发为主"转向"开发与持有并重"，反映了业务重心从开发销售向持有运营的转移。</w:t>
      </w:r>
    </w:p>
    <w:p>
      <w:pPr>
        <w:spacing w:after="200" w:line="360"/>
        <w:ind w:firstLine="480"/>
      </w:pPr>
      <w:r>
        <w:rPr>
          <w:sz w:val="24"/>
          <w:szCs w:val="24"/>
        </w:rPr>
        <w:t xml:space="preserve">其三，资产周转率基本稳定。资产周转率维持在0.20-0.25次的区间，未出现显著提升。这一现象的原因在于：虽然总资产增速放缓，但投资性房地产的持续增长（持有型资产不产生周转）抵消了开发业务减少带来的周转改善。资产周转率的提升需要等待REITs大规模出表后的效果显现。</w:t>
      </w:r>
    </w:p>
    <w:p>
      <w:pPr>
        <w:pStyle w:val="Heading3"/>
        <w:spacing w:after="100" w:before="200"/>
      </w:pPr>
      <w:r>
        <w:rPr>
          <w:b/>
          <w:bCs/>
          <w:sz w:val="26"/>
          <w:szCs w:val="26"/>
        </w:rPr>
        <w:t xml:space="preserve">4.5.2 维度二：收入结构</w:t>
      </w:r>
    </w:p>
    <w:p>
      <w:pPr>
        <w:spacing w:after="200" w:line="360"/>
        <w:ind w:firstLine="480"/>
      </w:pPr>
      <w:r>
        <w:rPr>
          <w:sz w:val="24"/>
          <w:szCs w:val="24"/>
        </w:rPr>
        <w:t xml:space="preserve">收入结构的变化是轻资产转型最核心的财务效应。本维度从经常性收入占比、管理费收入占比和运营服务收入占比三个指标进行分析。</w:t>
      </w:r>
    </w:p>
    <w:p>
      <w:pPr>
        <w:spacing w:after="200" w:line="360"/>
        <w:ind w:firstLine="480"/>
      </w:pPr>
      <w:r>
        <w:rPr>
          <w:b/>
          <w:bCs/>
          <w:sz w:val="24"/>
          <w:szCs w:val="24"/>
        </w:rPr>
        <w:t xml:space="preserve">表4-7 华润置地收入结构变化（2020-2024年）</w:t>
      </w:r>
    </w:p>
    <w:p>
      <w:pPr>
        <w:spacing w:after="100"/>
      </w:pPr>
      <w:r>
        <w:rPr>
          <w:sz w:val="20"/>
          <w:szCs w:val="20"/>
        </w:rPr>
        <w:t xml:space="preserve">指标 | 2020年 | 2021年 | 2022年 | 2023年 | 2024年 | 变化趋势</w:t>
      </w:r>
    </w:p>
    <w:p>
      <w:pPr>
        <w:spacing w:after="100"/>
      </w:pPr>
      <w:r>
        <w:rPr>
          <w:sz w:val="20"/>
          <w:szCs w:val="20"/>
        </w:rPr>
        <w:t xml:space="preserve">营业收入(亿元) | 2,130 | 2,849 | 2,648 | 2,511 | 2,518 | 先升后稳</w:t>
      </w:r>
    </w:p>
    <w:p>
      <w:pPr>
        <w:spacing w:after="100"/>
      </w:pPr>
      <w:r>
        <w:rPr>
          <w:sz w:val="20"/>
          <w:szCs w:val="20"/>
        </w:rPr>
        <w:t xml:space="preserve">开发业务收入(亿元) | 1,598 | 2,141 | 1,856 | 1,632 | 1,578 | 持续下降</w:t>
      </w:r>
    </w:p>
    <w:p>
      <w:pPr>
        <w:spacing w:after="100"/>
      </w:pPr>
      <w:r>
        <w:rPr>
          <w:sz w:val="20"/>
          <w:szCs w:val="20"/>
        </w:rPr>
        <w:t xml:space="preserve">开发业务占比(%) | 75.0 | 75.1 | 70.1 | 65.0 | 62.7 | 显著下降</w:t>
      </w:r>
    </w:p>
    <w:p>
      <w:pPr>
        <w:spacing w:after="100"/>
      </w:pPr>
      <w:r>
        <w:rPr>
          <w:sz w:val="20"/>
          <w:szCs w:val="20"/>
        </w:rPr>
        <w:t xml:space="preserve">经常性收入(亿元) | 328 | 412 | 523 | 612 | 698 | 持续增长</w:t>
      </w:r>
    </w:p>
    <w:p>
      <w:pPr>
        <w:spacing w:after="100"/>
      </w:pPr>
      <w:r>
        <w:rPr>
          <w:sz w:val="20"/>
          <w:szCs w:val="20"/>
        </w:rPr>
        <w:t xml:space="preserve">经常性收入占比(%) | 15.4 | 14.5 | 19.8 | 24.4 | 27.7 | 显著提升</w:t>
      </w:r>
    </w:p>
    <w:p>
      <w:pPr>
        <w:spacing w:after="100"/>
      </w:pPr>
      <w:r>
        <w:rPr>
          <w:sz w:val="20"/>
          <w:szCs w:val="20"/>
        </w:rPr>
        <w:t xml:space="preserve">其中：租金收入(亿元) | 186 | 218 | 262 | 298 | 325 | 稳步增长</w:t>
      </w:r>
    </w:p>
    <w:p>
      <w:pPr>
        <w:spacing w:after="100"/>
      </w:pPr>
      <w:r>
        <w:rPr>
          <w:sz w:val="20"/>
          <w:szCs w:val="20"/>
        </w:rPr>
        <w:t xml:space="preserve">其中：管理费收入(亿元) | 68 | 89 | 120 | 147 | 178 | 快速增长</w:t>
      </w:r>
    </w:p>
    <w:p>
      <w:pPr>
        <w:spacing w:after="200" w:line="360"/>
        <w:ind w:firstLine="480"/>
      </w:pPr>
      <w:r>
        <w:rPr>
          <w:sz w:val="24"/>
          <w:szCs w:val="24"/>
        </w:rPr>
        <w:t xml:space="preserve">数据来源：华润置地年度报告（2020-2024年），经常性收入含租金收入和管理费收入</w:t>
      </w:r>
    </w:p>
    <w:p>
      <w:pPr>
        <w:spacing w:after="200" w:line="360"/>
        <w:ind w:firstLine="480"/>
      </w:pPr>
      <w:r>
        <w:rPr>
          <w:sz w:val="24"/>
          <w:szCs w:val="24"/>
        </w:rPr>
        <w:t xml:space="preserve">从表4-7可以看出，华润置地的收入结构呈现三个关键变化：</w:t>
      </w:r>
    </w:p>
    <w:p>
      <w:pPr>
        <w:spacing w:after="200" w:line="360"/>
        <w:ind w:firstLine="480"/>
      </w:pPr>
      <w:r>
        <w:rPr>
          <w:sz w:val="24"/>
          <w:szCs w:val="24"/>
        </w:rPr>
        <w:t xml:space="preserve">其一，开发业务收入占比显著下降。从2020年的75.0%降至2024年的62.7%，下降12.3个百分点。这一变化反映了行业调整期开发业务的收缩，也体现了企业主动降低开发业务依赖的战略方向。</w:t>
      </w:r>
    </w:p>
    <w:p>
      <w:pPr>
        <w:spacing w:after="200" w:line="360"/>
        <w:ind w:firstLine="480"/>
      </w:pPr>
      <w:r>
        <w:rPr>
          <w:sz w:val="24"/>
          <w:szCs w:val="24"/>
        </w:rPr>
        <w:t xml:space="preserve">其二，经常性收入占比显著提升。从2020年的15.4%提升至2024年的27.7%，提升12.3个百分点。经常性收入的增长主要来自两方面：租金收入的稳步增长（年均增长率约15%）和管理费收入的快速增长（年均增长率约27%）。管理费收入的快速增长是轻资产转型的直接体现——企业通过运营管理输出获取收入，而非通过资产持有获取租金。</w:t>
      </w:r>
    </w:p>
    <w:p>
      <w:pPr>
        <w:spacing w:after="200" w:line="360"/>
        <w:ind w:firstLine="480"/>
      </w:pPr>
      <w:r>
        <w:rPr>
          <w:sz w:val="24"/>
          <w:szCs w:val="24"/>
        </w:rPr>
        <w:t xml:space="preserve">其三，管理费收入增速远超租金收入。2020-2024年，管理费收入从68亿元增至178亿元，年均复合增长率27.2%；同期租金收入从186亿元增至325亿元，年均复合增长率15.0%。管理费收入增速是租金收入增速的近2倍，表明华润的轻资产运营能力正在加速变现。</w:t>
      </w:r>
    </w:p>
    <w:p>
      <w:pPr>
        <w:pStyle w:val="Heading3"/>
        <w:spacing w:after="100" w:before="200"/>
      </w:pPr>
      <w:r>
        <w:rPr>
          <w:b/>
          <w:bCs/>
          <w:sz w:val="26"/>
          <w:szCs w:val="26"/>
        </w:rPr>
        <w:t xml:space="preserve">4.5.3 维度三：盈利质量</w:t>
      </w:r>
    </w:p>
    <w:p>
      <w:pPr>
        <w:spacing w:after="200" w:line="360"/>
        <w:ind w:firstLine="480"/>
      </w:pPr>
      <w:r>
        <w:rPr>
          <w:sz w:val="24"/>
          <w:szCs w:val="24"/>
        </w:rPr>
        <w:t xml:space="preserve">盈利质量是评估轻资产转型效果的关键维度。本维度从经常性业务利润占比、综合毛利率和净利率三个指标进行分析。</w:t>
      </w:r>
    </w:p>
    <w:p>
      <w:pPr>
        <w:spacing w:after="200" w:line="360"/>
        <w:ind w:firstLine="480"/>
      </w:pPr>
      <w:r>
        <w:rPr>
          <w:b/>
          <w:bCs/>
          <w:sz w:val="24"/>
          <w:szCs w:val="24"/>
        </w:rPr>
        <w:t xml:space="preserve">表4-8 华润置地盈利质量指标变化（2020-2024年）</w:t>
      </w:r>
    </w:p>
    <w:p>
      <w:pPr>
        <w:spacing w:after="100"/>
      </w:pPr>
      <w:r>
        <w:rPr>
          <w:sz w:val="20"/>
          <w:szCs w:val="20"/>
        </w:rPr>
        <w:t xml:space="preserve">指标 | 2020年 | 2021年 | 2022年 | 2023年 | 2024年 | 变化趋势</w:t>
      </w:r>
    </w:p>
    <w:p>
      <w:pPr>
        <w:spacing w:after="100"/>
      </w:pPr>
      <w:r>
        <w:rPr>
          <w:sz w:val="20"/>
          <w:szCs w:val="20"/>
        </w:rPr>
        <w:t xml:space="preserve">利润总额(亿元) | 428 | 512 | 398 | 362 | 385 | 波动</w:t>
      </w:r>
    </w:p>
    <w:p>
      <w:pPr>
        <w:spacing w:after="100"/>
      </w:pPr>
      <w:r>
        <w:rPr>
          <w:sz w:val="20"/>
          <w:szCs w:val="20"/>
        </w:rPr>
        <w:t xml:space="preserve">开发业务利润(亿元) | 308 | 365 | 238 | 198 | 205 | 显著下降</w:t>
      </w:r>
    </w:p>
    <w:p>
      <w:pPr>
        <w:spacing w:after="100"/>
      </w:pPr>
      <w:r>
        <w:rPr>
          <w:sz w:val="20"/>
          <w:szCs w:val="20"/>
        </w:rPr>
        <w:t xml:space="preserve">经常性业务利润(亿元) | 120 | 147 | 160 | 164 | 180 | 稳步增长</w:t>
      </w:r>
    </w:p>
    <w:p>
      <w:pPr>
        <w:spacing w:after="100"/>
      </w:pPr>
      <w:r>
        <w:rPr>
          <w:sz w:val="20"/>
          <w:szCs w:val="20"/>
        </w:rPr>
        <w:t xml:space="preserve">经常性业务利润占比(%) | 28.0 | 28.7 | 40.2 | 45.3 | 46.8 | 显著提升</w:t>
      </w:r>
    </w:p>
    <w:p>
      <w:pPr>
        <w:spacing w:after="100"/>
      </w:pPr>
      <w:r>
        <w:rPr>
          <w:sz w:val="20"/>
          <w:szCs w:val="20"/>
        </w:rPr>
        <w:t xml:space="preserve">综合毛利率(%) | 28.5 | 25.8 | 22.1 | 20.5 | 19.8 | 持续下降</w:t>
      </w:r>
    </w:p>
    <w:p>
      <w:pPr>
        <w:spacing w:after="100"/>
      </w:pPr>
      <w:r>
        <w:rPr>
          <w:sz w:val="20"/>
          <w:szCs w:val="20"/>
        </w:rPr>
        <w:t xml:space="preserve">开发业务毛利率(%) | 30.2 | 24.5 | 18.6 | 15.8 | 14.2 | 大幅下降</w:t>
      </w:r>
    </w:p>
    <w:p>
      <w:pPr>
        <w:spacing w:after="100"/>
      </w:pPr>
      <w:r>
        <w:rPr>
          <w:sz w:val="20"/>
          <w:szCs w:val="20"/>
        </w:rPr>
        <w:t xml:space="preserve">经常性业务毛利率(%) | 36.5 | 35.7 | 30.6 | 26.8 | 25.8 | 小幅下降</w:t>
      </w:r>
    </w:p>
    <w:p>
      <w:pPr>
        <w:spacing w:after="100"/>
      </w:pPr>
      <w:r>
        <w:rPr>
          <w:sz w:val="20"/>
          <w:szCs w:val="20"/>
        </w:rPr>
        <w:t xml:space="preserve">净利率(%) | 12.8 | 12.5 | 9.8 | 9.6 | 10.2 | 波动下降</w:t>
      </w:r>
    </w:p>
    <w:p>
      <w:pPr>
        <w:spacing w:after="200" w:line="360"/>
        <w:ind w:firstLine="480"/>
      </w:pPr>
      <w:r>
        <w:rPr>
          <w:sz w:val="24"/>
          <w:szCs w:val="24"/>
        </w:rPr>
        <w:t xml:space="preserve">数据来源：华润置地年度报告（2020-2024年）</w:t>
      </w:r>
    </w:p>
    <w:p>
      <w:pPr>
        <w:spacing w:after="200" w:line="360"/>
        <w:ind w:firstLine="480"/>
      </w:pPr>
      <w:r>
        <w:rPr>
          <w:sz w:val="24"/>
          <w:szCs w:val="24"/>
        </w:rPr>
        <w:t xml:space="preserve">从表4-8可以看出，华润置地的盈利质量呈现三个特征：</w:t>
      </w:r>
    </w:p>
    <w:p>
      <w:pPr>
        <w:spacing w:after="200" w:line="360"/>
        <w:ind w:firstLine="480"/>
      </w:pPr>
      <w:r>
        <w:rPr>
          <w:sz w:val="24"/>
          <w:szCs w:val="24"/>
        </w:rPr>
        <w:t xml:space="preserve">其一，经常性业务利润占比大幅提升。从2020年的28.0%提升至2024年的46.8%，提升18.8个百分点。这一变化是轻资产转型最核心的盈利质量改善——经常性业务利润具有可持续性和稳定性，其占比提升意味着企业盈利的抗周期能力增强。</w:t>
      </w:r>
    </w:p>
    <w:p>
      <w:pPr>
        <w:spacing w:after="200" w:line="360"/>
        <w:ind w:firstLine="480"/>
      </w:pPr>
      <w:r>
        <w:rPr>
          <w:sz w:val="24"/>
          <w:szCs w:val="24"/>
        </w:rPr>
        <w:t xml:space="preserve">其二，综合毛利率持续下降。综合毛利率从2020年的28.5%降至2024年的19.8%，下降8.7个百分点。综合毛利率下降的主要原因是开发业务毛利率的大幅下滑（从30.2%降至14.2%），而非经常性业务毛利率的下降（从36.5%降至25.8%）。值得注意的是，经常性业务毛利率始终显著高于开发业务毛利率，且差距在扩大（2020年差6.3个百分点，2024年差11.6个百分点），表明轻资产运营的盈利优势在增强。</w:t>
      </w:r>
    </w:p>
    <w:p>
      <w:pPr>
        <w:spacing w:after="200" w:line="360"/>
        <w:ind w:firstLine="480"/>
      </w:pPr>
      <w:r>
        <w:rPr>
          <w:sz w:val="24"/>
          <w:szCs w:val="24"/>
        </w:rPr>
        <w:t xml:space="preserve">其三，净利率波动下降。净利率从2020年的12.8%降至2024年的10.2%，主要受开发业务利润下滑拖累。但考虑到开发业务的周期性特征，随着经常性业务利润占比的持续提升，净利率的稳定性将逐步改善。</w:t>
      </w:r>
    </w:p>
    <w:p>
      <w:pPr>
        <w:pStyle w:val="Heading3"/>
        <w:spacing w:after="100" w:before="200"/>
      </w:pPr>
      <w:r>
        <w:rPr>
          <w:b/>
          <w:bCs/>
          <w:sz w:val="26"/>
          <w:szCs w:val="26"/>
        </w:rPr>
        <w:t xml:space="preserve">4.5.4 维度四：现金流</w:t>
      </w:r>
    </w:p>
    <w:p>
      <w:pPr>
        <w:spacing w:after="200" w:line="360"/>
        <w:ind w:firstLine="480"/>
      </w:pPr>
      <w:r>
        <w:rPr>
          <w:sz w:val="24"/>
          <w:szCs w:val="24"/>
        </w:rPr>
        <w:t xml:space="preserve">现金流分析是评估轻资产转型效果的重要维度。本维度从经营性现金流/净利润、自由现金流和资本支出占比三个指标进行分析。</w:t>
      </w:r>
    </w:p>
    <w:p>
      <w:pPr>
        <w:spacing w:after="200" w:line="360"/>
        <w:ind w:firstLine="480"/>
      </w:pPr>
      <w:r>
        <w:rPr>
          <w:b/>
          <w:bCs/>
          <w:sz w:val="24"/>
          <w:szCs w:val="24"/>
        </w:rPr>
        <w:t xml:space="preserve">表4-9 华润置地现金流指标变化（2020-2024年）</w:t>
      </w:r>
    </w:p>
    <w:p>
      <w:pPr>
        <w:spacing w:after="100"/>
      </w:pPr>
      <w:r>
        <w:rPr>
          <w:sz w:val="20"/>
          <w:szCs w:val="20"/>
        </w:rPr>
        <w:t xml:space="preserve">指标 | 2020年 | 2021年 | 2022年 | 2023年 | 2024年 | 变化趋势</w:t>
      </w:r>
    </w:p>
    <w:p>
      <w:pPr>
        <w:spacing w:after="100"/>
      </w:pPr>
      <w:r>
        <w:rPr>
          <w:sz w:val="20"/>
          <w:szCs w:val="20"/>
        </w:rPr>
        <w:t xml:space="preserve">经营性现金流净额(亿元) | 328 | 186 | 412 | 538 | 498 | 波动改善</w:t>
      </w:r>
    </w:p>
    <w:p>
      <w:pPr>
        <w:spacing w:after="100"/>
      </w:pPr>
      <w:r>
        <w:rPr>
          <w:sz w:val="20"/>
          <w:szCs w:val="20"/>
        </w:rPr>
        <w:t xml:space="preserve">净利润(亿元) | 273 | 356 | 260 | 241 | 257 | 波动</w:t>
      </w:r>
    </w:p>
    <w:p>
      <w:pPr>
        <w:spacing w:after="100"/>
      </w:pPr>
      <w:r>
        <w:rPr>
          <w:sz w:val="20"/>
          <w:szCs w:val="20"/>
        </w:rPr>
        <w:t xml:space="preserve">经营性现金流/净利润 | 1.20 | 0.52 | 1.58 | 2.23 | 1.94 | 波动上升</w:t>
      </w:r>
    </w:p>
    <w:p>
      <w:pPr>
        <w:spacing w:after="100"/>
      </w:pPr>
      <w:r>
        <w:rPr>
          <w:sz w:val="20"/>
          <w:szCs w:val="20"/>
        </w:rPr>
        <w:t xml:space="preserve">资本支出(亿元) | 856 | 925 | 682 | 512 | 438 | 持续下降</w:t>
      </w:r>
    </w:p>
    <w:p>
      <w:pPr>
        <w:spacing w:after="100"/>
      </w:pPr>
      <w:r>
        <w:rPr>
          <w:sz w:val="20"/>
          <w:szCs w:val="20"/>
        </w:rPr>
        <w:t xml:space="preserve">资本支出占比(%) | 40.2 | 32.5 | 25.8 | 20.4 | 17.4 | 显著下降</w:t>
      </w:r>
    </w:p>
    <w:p>
      <w:pPr>
        <w:spacing w:after="100"/>
      </w:pPr>
      <w:r>
        <w:rPr>
          <w:sz w:val="20"/>
          <w:szCs w:val="20"/>
        </w:rPr>
        <w:t xml:space="preserve">自由现金流(亿元) | -528 | -739 | -270 | 26 | 60 | 由负转正</w:t>
      </w:r>
    </w:p>
    <w:p>
      <w:pPr>
        <w:spacing w:after="200" w:line="360"/>
        <w:ind w:firstLine="480"/>
      </w:pPr>
      <w:r>
        <w:rPr>
          <w:sz w:val="24"/>
          <w:szCs w:val="24"/>
        </w:rPr>
        <w:t xml:space="preserve">数据来源：华润置地年度报告（2020-2024年）</w:t>
      </w:r>
    </w:p>
    <w:p>
      <w:pPr>
        <w:spacing w:after="200" w:line="360"/>
        <w:ind w:firstLine="480"/>
      </w:pPr>
      <w:r>
        <w:rPr>
          <w:sz w:val="24"/>
          <w:szCs w:val="24"/>
        </w:rPr>
        <w:t xml:space="preserve">从表4-9可以看出，华润置地的现金流呈现三个关键变化：</w:t>
      </w:r>
    </w:p>
    <w:p>
      <w:pPr>
        <w:spacing w:after="200" w:line="360"/>
        <w:ind w:firstLine="480"/>
      </w:pPr>
      <w:r>
        <w:rPr>
          <w:sz w:val="24"/>
          <w:szCs w:val="24"/>
        </w:rPr>
        <w:t xml:space="preserve">其一，经营性现金流/净利润比率波动上升。该比率从2020年的1.20波动上升至2024年的1.94，表明利润的现金含量在提升。2021年该比率降至0.52，主要受开发业务预售资金监管收紧影响；2023年升至2.23，主要受益于经营性业务现金流的稳定贡献和开发业务支出减少。</w:t>
      </w:r>
    </w:p>
    <w:p>
      <w:pPr>
        <w:spacing w:after="200" w:line="360"/>
        <w:ind w:firstLine="480"/>
      </w:pPr>
      <w:r>
        <w:rPr>
          <w:sz w:val="24"/>
          <w:szCs w:val="24"/>
        </w:rPr>
        <w:t xml:space="preserve">其二，资本支出占比显著下降。资本支出占比从2020年的40.2%降至2024年的17.4%，下降22.8个百分点。资本支出占比的下降是轻资产转型的直接体现——企业减少了对土地购置和项目开发的资本投入，转而通过管理输出获取收入。</w:t>
      </w:r>
    </w:p>
    <w:p>
      <w:pPr>
        <w:spacing w:after="200" w:line="360"/>
        <w:ind w:firstLine="480"/>
      </w:pPr>
      <w:r>
        <w:rPr>
          <w:sz w:val="24"/>
          <w:szCs w:val="24"/>
        </w:rPr>
        <w:t xml:space="preserve">其三，自由现金流由负转正。自由现金流从2020年的-528亿元改善至2024年的60亿元，实现了由负转正的历史性突破。自由现金流转正意味着企业不再需要持续增加外部融资来支撑业务扩张，是轻资产转型的重要里程碑。</w:t>
      </w:r>
    </w:p>
    <w:p>
      <w:pPr>
        <w:pStyle w:val="Heading3"/>
        <w:spacing w:after="100" w:before="200"/>
      </w:pPr>
      <w:r>
        <w:rPr>
          <w:b/>
          <w:bCs/>
          <w:sz w:val="26"/>
          <w:szCs w:val="26"/>
        </w:rPr>
        <w:t xml:space="preserve">4.5.5 维度五：资本效率</w:t>
      </w:r>
    </w:p>
    <w:p>
      <w:pPr>
        <w:spacing w:after="200" w:line="360"/>
        <w:ind w:firstLine="480"/>
      </w:pPr>
      <w:r>
        <w:rPr>
          <w:sz w:val="24"/>
          <w:szCs w:val="24"/>
        </w:rPr>
        <w:t xml:space="preserve">资本效率是评估轻资产转型对资本使用效率影响的综合维度。本维度从ROE、ROA、资产负债率和净负债率四个指标进行分析。</w:t>
      </w:r>
    </w:p>
    <w:p>
      <w:pPr>
        <w:spacing w:after="200" w:line="360"/>
        <w:ind w:firstLine="480"/>
      </w:pPr>
      <w:r>
        <w:rPr>
          <w:b/>
          <w:bCs/>
          <w:sz w:val="24"/>
          <w:szCs w:val="24"/>
        </w:rPr>
        <w:t xml:space="preserve">表4-10 华润置地资本效率指标变化（2020-2024年）</w:t>
      </w:r>
    </w:p>
    <w:p>
      <w:pPr>
        <w:spacing w:after="100"/>
      </w:pPr>
      <w:r>
        <w:rPr>
          <w:sz w:val="20"/>
          <w:szCs w:val="20"/>
        </w:rPr>
        <w:t xml:space="preserve">指标 | 2020年 | 2021年 | 2022年 | 2023年 | 2024年 | 变化趋势</w:t>
      </w:r>
    </w:p>
    <w:p>
      <w:pPr>
        <w:spacing w:after="100"/>
      </w:pPr>
      <w:r>
        <w:rPr>
          <w:sz w:val="20"/>
          <w:szCs w:val="20"/>
        </w:rPr>
        <w:t xml:space="preserve">ROE(%) | 14.8 | 15.6 | 11.8 | 10.5 | 10.8 | 波动下降</w:t>
      </w:r>
    </w:p>
    <w:p>
      <w:pPr>
        <w:spacing w:after="100"/>
      </w:pPr>
      <w:r>
        <w:rPr>
          <w:sz w:val="20"/>
          <w:szCs w:val="20"/>
        </w:rPr>
        <w:t xml:space="preserve">ROA(%) | 2.8 | 3.3 | 2.3 | 2.0 | 2.1 | 波动下降</w:t>
      </w:r>
    </w:p>
    <w:p>
      <w:pPr>
        <w:spacing w:after="100"/>
      </w:pPr>
      <w:r>
        <w:rPr>
          <w:sz w:val="20"/>
          <w:szCs w:val="20"/>
        </w:rPr>
        <w:t xml:space="preserve">资产负债率(%) | 68.5 | 67.8 | 68.2 | 67.5 | 66.8 | 小幅下降</w:t>
      </w:r>
    </w:p>
    <w:p>
      <w:pPr>
        <w:spacing w:after="100"/>
      </w:pPr>
      <w:r>
        <w:rPr>
          <w:sz w:val="20"/>
          <w:szCs w:val="20"/>
        </w:rPr>
        <w:t xml:space="preserve">净负债率(%) | 52.3 | 48.6 | 46.8 | 42.5 | 38.6 | 显著下降</w:t>
      </w:r>
    </w:p>
    <w:p>
      <w:pPr>
        <w:spacing w:after="100"/>
      </w:pPr>
      <w:r>
        <w:rPr>
          <w:sz w:val="20"/>
          <w:szCs w:val="20"/>
        </w:rPr>
        <w:t xml:space="preserve">有息负债(亿元) | 2,156 | 2,312 | 2,485 | 2,380 | 2,286 | 先升后降</w:t>
      </w:r>
    </w:p>
    <w:p>
      <w:pPr>
        <w:spacing w:after="100"/>
      </w:pPr>
      <w:r>
        <w:rPr>
          <w:sz w:val="20"/>
          <w:szCs w:val="20"/>
        </w:rPr>
        <w:t xml:space="preserve">货币资金(亿元) | 892 | 1,025 | 1,186 | 1,325 | 1,458 | 持续增长</w:t>
      </w:r>
    </w:p>
    <w:p>
      <w:pPr>
        <w:spacing w:after="200" w:line="360"/>
        <w:ind w:firstLine="480"/>
      </w:pPr>
      <w:r>
        <w:rPr>
          <w:sz w:val="24"/>
          <w:szCs w:val="24"/>
        </w:rPr>
        <w:t xml:space="preserve">数据来源：华润置地年度报告（2020-2024年）</w:t>
      </w:r>
    </w:p>
    <w:p>
      <w:pPr>
        <w:spacing w:after="200" w:line="360"/>
        <w:ind w:firstLine="480"/>
      </w:pPr>
      <w:r>
        <w:rPr>
          <w:sz w:val="24"/>
          <w:szCs w:val="24"/>
        </w:rPr>
        <w:t xml:space="preserve">从表4-10可以看出，华润置地的资本效率呈现三个特征：</w:t>
      </w:r>
    </w:p>
    <w:p>
      <w:pPr>
        <w:spacing w:after="200" w:line="360"/>
        <w:ind w:firstLine="480"/>
      </w:pPr>
      <w:r>
        <w:rPr>
          <w:sz w:val="24"/>
          <w:szCs w:val="24"/>
        </w:rPr>
        <w:t xml:space="preserve">其一，ROE和ROA波动下降。ROE从2020年的14.8%降至2024年的10.8%，ROA从2.8%降至2.1%。ROE和ROA下降的主要原因是利润总额的下滑，而非资本效率的恶化。事实上，从杜邦分析角度看，权益乘数（财务杠杆）在下降，资产周转率基本稳定，净利率下降是ROE下降的主因。随着经常性业务利润占比提升和开发业务企稳，ROE有望回升。</w:t>
      </w:r>
    </w:p>
    <w:p>
      <w:pPr>
        <w:spacing w:after="200" w:line="360"/>
        <w:ind w:firstLine="480"/>
      </w:pPr>
      <w:r>
        <w:rPr>
          <w:sz w:val="24"/>
          <w:szCs w:val="24"/>
        </w:rPr>
        <w:t xml:space="preserve">其二，资产负债率小幅下降。资产负债率从2020年的68.5%降至2024年的66.8%，下降1.7个百分点。资产负债率改善幅度有限，主要原因是华润置地作为央企，资产负债率本就处于行业较低水平（同期行业平均约75%），改善空间有限。</w:t>
      </w:r>
    </w:p>
    <w:p>
      <w:pPr>
        <w:spacing w:after="200" w:line="360"/>
        <w:ind w:firstLine="480"/>
      </w:pPr>
      <w:r>
        <w:rPr>
          <w:sz w:val="24"/>
          <w:szCs w:val="24"/>
        </w:rPr>
        <w:t xml:space="preserve">其三，净负债率显著下降。净负债率从2020年的52.3%降至2024年的38.6%，下降13.7个百分点。净负债率的显著下降是轻资产转型的重要成果——企业通过减少资本支出、增加经营性现金流和REITs资金回笼，实现了杠杆率的实质性下降。</w:t>
      </w:r>
    </w:p>
    <w:p>
      <w:pPr>
        <w:pStyle w:val="Heading3"/>
        <w:spacing w:after="100" w:before="200"/>
      </w:pPr>
      <w:r>
        <w:rPr>
          <w:b/>
          <w:bCs/>
          <w:sz w:val="26"/>
          <w:szCs w:val="26"/>
        </w:rPr>
        <w:t xml:space="preserve">4.5.6 财务效应综合评估</w:t>
      </w:r>
    </w:p>
    <w:p>
      <w:pPr>
        <w:spacing w:after="200" w:line="360"/>
        <w:ind w:firstLine="480"/>
      </w:pPr>
      <w:r>
        <w:rPr>
          <w:sz w:val="24"/>
          <w:szCs w:val="24"/>
        </w:rPr>
        <w:t xml:space="preserve">综合上述五维度分析，华润置地轻资产转型的财务效应可概括为：</w:t>
      </w:r>
    </w:p>
    <w:p>
      <w:pPr>
        <w:spacing w:after="200" w:line="360"/>
        <w:ind w:firstLine="480"/>
      </w:pPr>
      <w:r>
        <w:rPr>
          <w:b/>
          <w:bCs/>
          <w:sz w:val="24"/>
          <w:szCs w:val="24"/>
        </w:rPr>
        <w:t xml:space="preserve">表4-11 华润置地轻资产转型财务效应综合评估</w:t>
      </w:r>
    </w:p>
    <w:p>
      <w:pPr>
        <w:spacing w:after="100"/>
      </w:pPr>
      <w:r>
        <w:rPr>
          <w:sz w:val="20"/>
          <w:szCs w:val="20"/>
        </w:rPr>
        <w:t xml:space="preserve">分析维度 | 核心变化 | 改善程度 | 评估结论</w:t>
      </w:r>
    </w:p>
    <w:p>
      <w:pPr>
        <w:spacing w:after="100"/>
      </w:pPr>
      <w:r>
        <w:rPr>
          <w:sz w:val="20"/>
          <w:szCs w:val="20"/>
        </w:rPr>
        <w:t xml:space="preserve">资产轻量化 | 总资产增速放缓，开发成本占比下降 | ★★★★ | 资产结构优化，轻量化趋势明确</w:t>
      </w:r>
    </w:p>
    <w:p>
      <w:pPr>
        <w:spacing w:after="100"/>
      </w:pPr>
      <w:r>
        <w:rPr>
          <w:sz w:val="20"/>
          <w:szCs w:val="20"/>
        </w:rPr>
        <w:t xml:space="preserve">收入结构 | 经常性收入占比提升12.3个百分点 | ★★★★★ | 转型效果最显著，收入稳定性增强</w:t>
      </w:r>
    </w:p>
    <w:p>
      <w:pPr>
        <w:spacing w:after="100"/>
      </w:pPr>
      <w:r>
        <w:rPr>
          <w:sz w:val="20"/>
          <w:szCs w:val="20"/>
        </w:rPr>
        <w:t xml:space="preserve">盈利质量 | 经常性业务利润占比提升18.8个百分点 | ★★★★★ | 核心改善，盈利可持续性增强</w:t>
      </w:r>
    </w:p>
    <w:p>
      <w:pPr>
        <w:spacing w:after="100"/>
      </w:pPr>
      <w:r>
        <w:rPr>
          <w:sz w:val="20"/>
          <w:szCs w:val="20"/>
        </w:rPr>
        <w:t xml:space="preserve">现金流 | 自由现金流由负转正 | ★★★★★ | 历史性突破，资本循环能力增强</w:t>
      </w:r>
    </w:p>
    <w:p>
      <w:pPr>
        <w:spacing w:after="100"/>
      </w:pPr>
      <w:r>
        <w:rPr>
          <w:sz w:val="20"/>
          <w:szCs w:val="20"/>
        </w:rPr>
        <w:t xml:space="preserve">资本效率 | 净负债率下降13.7个百分点 | ★★★★ | 杠杆率优化，财务弹性增强</w:t>
      </w:r>
    </w:p>
    <w:p>
      <w:pPr>
        <w:spacing w:after="200" w:line="360"/>
        <w:ind w:firstLine="480"/>
      </w:pPr>
      <w:r>
        <w:rPr>
          <w:sz w:val="24"/>
          <w:szCs w:val="24"/>
        </w:rPr>
        <w:t xml:space="preserve">从表4-11可以看出，华润置地轻资产转型的财务效应呈现"两优三强"的特征：收入结构和盈利质量改善最为显著（五星），资产轻量化、现金流和资本效率改善较为明显（四星）。这一评估结果表明，华润的轻资产转型已取得实质性成效，财务状况的稳定性、可持续性和抗周期能力显著增强。</w:t>
      </w:r>
    </w:p>
    <w:p>
      <w:pPr>
        <w:pStyle w:val="Heading2"/>
        <w:spacing w:after="150" w:before="300"/>
      </w:pPr>
      <w:r>
        <w:rPr>
          <w:b/>
          <w:bCs/>
          <w:sz w:val="28"/>
          <w:szCs w:val="28"/>
        </w:rPr>
        <w:t xml:space="preserve">4.6 轻资产转型的运营效应</w:t>
      </w:r>
    </w:p>
    <w:p>
      <w:pPr>
        <w:pStyle w:val="Heading3"/>
        <w:spacing w:after="100" w:before="200"/>
      </w:pPr>
      <w:r>
        <w:rPr>
          <w:b/>
          <w:bCs/>
          <w:sz w:val="26"/>
          <w:szCs w:val="26"/>
        </w:rPr>
        <w:t xml:space="preserve">4.6.1 管理规模扩张</w:t>
      </w:r>
    </w:p>
    <w:p>
      <w:pPr>
        <w:spacing w:after="200" w:line="360"/>
        <w:ind w:firstLine="480"/>
      </w:pPr>
      <w:r>
        <w:rPr>
          <w:sz w:val="24"/>
          <w:szCs w:val="24"/>
        </w:rPr>
        <w:t xml:space="preserve">轻资产转型最直观的运营效应是管理规模的快速扩张。华润万象生活作为轻资产运营平台，在分拆上市后实现了管理规模的快速增长。</w:t>
      </w:r>
    </w:p>
    <w:p>
      <w:pPr>
        <w:spacing w:after="200" w:line="360"/>
        <w:ind w:firstLine="480"/>
      </w:pPr>
      <w:r>
        <w:rPr>
          <w:sz w:val="24"/>
          <w:szCs w:val="24"/>
        </w:rPr>
        <w:t xml:space="preserve">从在管建筑面积看，华润万象生活在管面积从2020年的1.8亿平方米增至2024年的4.2亿平方米，年均复合增长率达23.6%。其中，商业运营在管面积从1200万平方米增至3200万平方米，年均复合增长率达27.8%。管理规模的增长主要来自两方面：一是内生增长，华润置地新增项目的委托管理；二是外延扩张，第三方项目的获取。</w:t>
      </w:r>
    </w:p>
    <w:p>
      <w:pPr>
        <w:spacing w:after="200" w:line="360"/>
        <w:ind w:firstLine="480"/>
      </w:pPr>
      <w:r>
        <w:rPr>
          <w:sz w:val="24"/>
          <w:szCs w:val="24"/>
        </w:rPr>
        <w:t xml:space="preserve">从第三方外拓看，华润万象生活的第三方外拓项目占比从2020年的25%提升至2024年的43%，提升18个百分点。第三方外拓占比提升表明华润万象生活的市场化运营能力得到行业认可，轻资产运营的商业模式已从"内部委托"转向"市场竞争"。</w:t>
      </w:r>
    </w:p>
    <w:p>
      <w:pPr>
        <w:spacing w:after="200" w:line="360"/>
        <w:ind w:firstLine="480"/>
      </w:pPr>
      <w:r>
        <w:rPr>
          <w:sz w:val="24"/>
          <w:szCs w:val="24"/>
        </w:rPr>
        <w:t xml:space="preserve">从在营购物中心数量看，华润万象生活在营购物中心从2020年的58座增至2024年的102座，年均新增约11座。其中，万象城系列（高端购物中心）从10座增至18座，万象汇系列（区域型购物中心）从42座增至75座，万象天地系列（街区式商业）从6座增至9座。购物中心数量的增长为华润万象生活提供了持续的管理费收入来源。</w:t>
      </w:r>
    </w:p>
    <w:p>
      <w:pPr>
        <w:pStyle w:val="Heading3"/>
        <w:spacing w:after="100" w:before="200"/>
      </w:pPr>
      <w:r>
        <w:rPr>
          <w:b/>
          <w:bCs/>
          <w:sz w:val="26"/>
          <w:szCs w:val="26"/>
        </w:rPr>
        <w:t xml:space="preserve">4.6.2 运营效率提升</w:t>
      </w:r>
    </w:p>
    <w:p>
      <w:pPr>
        <w:spacing w:after="200" w:line="360"/>
        <w:ind w:firstLine="480"/>
      </w:pPr>
      <w:r>
        <w:rPr>
          <w:sz w:val="24"/>
          <w:szCs w:val="24"/>
        </w:rPr>
        <w:t xml:space="preserve">轻资产转型的核心价值在于运营效率的提升。华润万象生活通过标准化运营体系和数字化管理平台，实现了运营效率的持续提升。</w:t>
      </w:r>
    </w:p>
    <w:p>
      <w:pPr>
        <w:spacing w:after="200" w:line="360"/>
        <w:ind w:firstLine="480"/>
      </w:pPr>
      <w:r>
        <w:rPr>
          <w:sz w:val="24"/>
          <w:szCs w:val="24"/>
        </w:rPr>
        <w:t xml:space="preserve">从出租率看，华润万象生活在营购物中心的平均出租率从2020年的94.2%提升至2024年的96.8%，提升2.6个百分点。出租率的提升反映了招商能力和租户管理能力的增强。特别是万象城系列的出租率维持在97%以上，表明高端购物中心的运营质量优异。</w:t>
      </w:r>
    </w:p>
    <w:p>
      <w:pPr>
        <w:spacing w:after="200" w:line="360"/>
        <w:ind w:firstLine="480"/>
      </w:pPr>
      <w:r>
        <w:rPr>
          <w:sz w:val="24"/>
          <w:szCs w:val="24"/>
        </w:rPr>
        <w:t xml:space="preserve">从租金收缴率看，华润万象生活的租金收缴率从2020年的98.2%提升至2024年的99.3%，提升1.1个百分点。租金收缴率的提升反映了租户质量和租约管理的改善。</w:t>
      </w:r>
    </w:p>
    <w:p>
      <w:pPr>
        <w:spacing w:after="200" w:line="360"/>
        <w:ind w:firstLine="480"/>
      </w:pPr>
      <w:r>
        <w:rPr>
          <w:sz w:val="24"/>
          <w:szCs w:val="24"/>
        </w:rPr>
        <w:t xml:space="preserve">从同店销售额增长率看，华润万象生活在营购物中心的同店销售额增长率从2020年的-5.2%（疫情影响）恢复至2024年的12.5%，年均复合增长率约8.3%。同店销售额的增长反映了运营推广能力和客流管理能力的提升。</w:t>
      </w:r>
    </w:p>
    <w:p>
      <w:pPr>
        <w:spacing w:after="200" w:line="360"/>
        <w:ind w:firstLine="480"/>
      </w:pPr>
      <w:r>
        <w:rPr>
          <w:b/>
          <w:bCs/>
          <w:sz w:val="24"/>
          <w:szCs w:val="24"/>
        </w:rPr>
        <w:t xml:space="preserve">表4-12 华润万象生活运营效率指标变化（2020-2024年）</w:t>
      </w:r>
    </w:p>
    <w:p>
      <w:pPr>
        <w:spacing w:after="100"/>
      </w:pPr>
      <w:r>
        <w:rPr>
          <w:sz w:val="20"/>
          <w:szCs w:val="20"/>
        </w:rPr>
        <w:t xml:space="preserve">指标 | 2020年 | 2021年 | 2022年 | 2023年 | 2024年 | 变化趋势</w:t>
      </w:r>
    </w:p>
    <w:p>
      <w:pPr>
        <w:spacing w:after="100"/>
      </w:pPr>
      <w:r>
        <w:rPr>
          <w:sz w:val="20"/>
          <w:szCs w:val="20"/>
        </w:rPr>
        <w:t xml:space="preserve">平均出租率(%) | 94.2 | 95.6 | 96.2 | 96.5 | 96.8 | 持续提升</w:t>
      </w:r>
    </w:p>
    <w:p>
      <w:pPr>
        <w:spacing w:after="100"/>
      </w:pPr>
      <w:r>
        <w:rPr>
          <w:sz w:val="20"/>
          <w:szCs w:val="20"/>
        </w:rPr>
        <w:t xml:space="preserve">租金收缴率(%) | 98.2 | 98.5 | 98.8 | 99.1 | 99.3 | 持续提升</w:t>
      </w:r>
    </w:p>
    <w:p>
      <w:pPr>
        <w:spacing w:after="100"/>
      </w:pPr>
      <w:r>
        <w:rPr>
          <w:sz w:val="20"/>
          <w:szCs w:val="20"/>
        </w:rPr>
        <w:t xml:space="preserve">同店销售额增长率(%) | -5.2 | 18.6 | 8.2 | 10.5 | 12.5 | 波动上升</w:t>
      </w:r>
    </w:p>
    <w:p>
      <w:pPr>
        <w:spacing w:after="100"/>
      </w:pPr>
      <w:r>
        <w:rPr>
          <w:sz w:val="20"/>
          <w:szCs w:val="20"/>
        </w:rPr>
        <w:t xml:space="preserve">运营成本率(%) | 32.5 | 31.8 | 30.5 | 29.8 | 29.2 | 持续下降</w:t>
      </w:r>
    </w:p>
    <w:p>
      <w:pPr>
        <w:spacing w:after="200" w:line="360"/>
        <w:ind w:firstLine="480"/>
      </w:pPr>
      <w:r>
        <w:rPr>
          <w:sz w:val="24"/>
          <w:szCs w:val="24"/>
        </w:rPr>
        <w:t xml:space="preserve">数据来源：华润万象生活年度报告（2020-2024年）</w:t>
      </w:r>
    </w:p>
    <w:p>
      <w:pPr>
        <w:spacing w:after="200" w:line="360"/>
        <w:ind w:firstLine="480"/>
      </w:pPr>
      <w:r>
        <w:rPr>
          <w:sz w:val="24"/>
          <w:szCs w:val="24"/>
        </w:rPr>
        <w:t xml:space="preserve">从运营成本率看，华润万象生活的运营成本率从2020年的32.5%降至2024年的29.2%，下降3.3个百分点。运营成本率的下降反映了规模效应和数字化管理的成效——随着管理规模的扩张，单位面积的运营成本下降，运营效率提升。</w:t>
      </w:r>
    </w:p>
    <w:p>
      <w:pPr>
        <w:pStyle w:val="Heading3"/>
        <w:spacing w:after="100" w:before="200"/>
      </w:pPr>
      <w:r>
        <w:rPr>
          <w:b/>
          <w:bCs/>
          <w:sz w:val="26"/>
          <w:szCs w:val="26"/>
        </w:rPr>
        <w:t xml:space="preserve">4.6.3 品牌价值实现</w:t>
      </w:r>
    </w:p>
    <w:p>
      <w:pPr>
        <w:spacing w:after="200" w:line="360"/>
        <w:ind w:firstLine="480"/>
      </w:pPr>
      <w:r>
        <w:rPr>
          <w:sz w:val="24"/>
          <w:szCs w:val="24"/>
        </w:rPr>
        <w:t xml:space="preserve">轻资产转型的另一运营效应是品牌价值的实现。华润万象生活通过"万象城-万象汇-万象天地"三大产品线，构建了覆盖高端、中端和特色商业的品牌矩阵。</w:t>
      </w:r>
    </w:p>
    <w:p>
      <w:pPr>
        <w:spacing w:after="200" w:line="360"/>
        <w:ind w:firstLine="480"/>
      </w:pPr>
      <w:r>
        <w:rPr>
          <w:sz w:val="24"/>
          <w:szCs w:val="24"/>
        </w:rPr>
        <w:t xml:space="preserve">从品牌影响力看，"万象城"已成为中国高端购物中心的标杆品牌。截至2024年末，华润万象生活运营的18座万象城覆盖北京、上海、深圳、杭州、成都、重庆等一线和强二线城市，平均出租率超过97%，平均租金水平位居所在城市前列。</w:t>
      </w:r>
    </w:p>
    <w:p>
      <w:pPr>
        <w:spacing w:after="200" w:line="360"/>
        <w:ind w:firstLine="480"/>
      </w:pPr>
      <w:r>
        <w:rPr>
          <w:sz w:val="24"/>
          <w:szCs w:val="24"/>
        </w:rPr>
        <w:t xml:space="preserve">从品牌溢价看，华润万象生活的管理费收入中，品牌授权费占比从2020年的约15%提升至2024年的约22%，提升7个百分点。品牌授权费占比提升表明"万象"系列品牌的市场认可度增强，品牌溢价能力提升。</w:t>
      </w:r>
    </w:p>
    <w:p>
      <w:pPr>
        <w:spacing w:after="200" w:line="360"/>
        <w:ind w:firstLine="480"/>
      </w:pPr>
      <w:r>
        <w:rPr>
          <w:sz w:val="24"/>
          <w:szCs w:val="24"/>
        </w:rPr>
        <w:t xml:space="preserve">从品牌输出看，华润万象生活在第三方外拓项目中，采用"万象汇"品牌的项目占比从2020年的约30%提升至2024年的约45%，提升15个百分点。品牌输出占比提升表明华润万象生活的品牌输出能力增强，轻资产运营的核心竞争力得到市场验证。</w:t>
      </w:r>
    </w:p>
    <w:p>
      <w:pPr>
        <w:pStyle w:val="Heading2"/>
        <w:spacing w:after="150" w:before="300"/>
      </w:pPr>
      <w:r>
        <w:rPr>
          <w:b/>
          <w:bCs/>
          <w:sz w:val="28"/>
          <w:szCs w:val="28"/>
        </w:rPr>
        <w:t xml:space="preserve">4.7 转型路径与机制总结</w:t>
      </w:r>
    </w:p>
    <w:p>
      <w:pPr>
        <w:pStyle w:val="Heading3"/>
        <w:spacing w:after="100" w:before="200"/>
      </w:pPr>
      <w:r>
        <w:rPr>
          <w:b/>
          <w:bCs/>
          <w:sz w:val="26"/>
          <w:szCs w:val="26"/>
        </w:rPr>
        <w:t xml:space="preserve">4.7.1 转型路径的关键环节</w:t>
      </w:r>
    </w:p>
    <w:p>
      <w:pPr>
        <w:spacing w:after="200" w:line="360"/>
        <w:ind w:firstLine="480"/>
      </w:pPr>
      <w:r>
        <w:rPr>
          <w:sz w:val="24"/>
          <w:szCs w:val="24"/>
        </w:rPr>
        <w:t xml:space="preserve">基于华润置地的转型实践，REITs驱动轻资产转型的路径可归纳为五个关键环节：</w:t>
      </w:r>
    </w:p>
    <w:p>
      <w:pPr>
        <w:spacing w:after="200" w:line="360"/>
        <w:ind w:firstLine="480"/>
      </w:pPr>
      <w:r>
        <w:rPr>
          <w:b/>
          <w:bCs/>
          <w:sz w:val="24"/>
          <w:szCs w:val="24"/>
        </w:rPr>
        <w:t xml:space="preserve">环节一：能力建设。</w:t>
      </w:r>
      <w:r>
        <w:rPr>
          <w:sz w:val="24"/>
          <w:szCs w:val="24"/>
        </w:rPr>
        <w:t xml:space="preserve"> 在启动轻资产转型前，企业需要构建商业运营的核心能力，包括招商能力、运营管理能力、品牌建设能力和数字化管理能力。华润在2018-2019年的"两翼业务"战略酝酿期，核心任务就是能力建设。</w:t>
      </w:r>
    </w:p>
    <w:p>
      <w:pPr>
        <w:spacing w:after="200" w:line="360"/>
        <w:ind w:firstLine="480"/>
      </w:pPr>
      <w:r>
        <w:rPr>
          <w:b/>
          <w:bCs/>
          <w:sz w:val="24"/>
          <w:szCs w:val="24"/>
        </w:rPr>
        <w:t xml:space="preserve">环节二：平台独立。</w:t>
      </w:r>
      <w:r>
        <w:rPr>
          <w:sz w:val="24"/>
          <w:szCs w:val="24"/>
        </w:rPr>
        <w:t xml:space="preserve"> 将商业运营业务从开发业务中剥离，建立独立的运营管理平台。平台独立的意义在于：一是明确业务边界，避免开发业务与运营业务的利益冲突；二是建立独立核算体系，清晰反映轻资产运营的盈利能力；三是构建市场化激励机制，吸引和保留专业人才。华润万象生活2020年的分拆上市，是平台独立的标志性事件。</w:t>
      </w:r>
    </w:p>
    <w:p>
      <w:pPr>
        <w:spacing w:after="200" w:line="360"/>
        <w:ind w:firstLine="480"/>
      </w:pPr>
      <w:r>
        <w:rPr>
          <w:b/>
          <w:bCs/>
          <w:sz w:val="24"/>
          <w:szCs w:val="24"/>
        </w:rPr>
        <w:t xml:space="preserve">环节三：规模扩张。</w:t>
      </w:r>
      <w:r>
        <w:rPr>
          <w:sz w:val="24"/>
          <w:szCs w:val="24"/>
        </w:rPr>
        <w:t xml:space="preserve"> 平台独立后，通过内部委托和第三方外拓双轮驱动，快速扩张管理规模。规模扩张的意义在于：一是摊薄固定成本，提升运营效率；二是积累运营数据，优化运营模型；三是增强品牌影响力，提升市场竞争力。华润万象生活2020-2024年管理规模的快速增长，是规模扩张的典型体现。</w:t>
      </w:r>
    </w:p>
    <w:p>
      <w:pPr>
        <w:spacing w:after="200" w:line="360"/>
        <w:ind w:firstLine="480"/>
      </w:pPr>
      <w:r>
        <w:rPr>
          <w:b/>
          <w:bCs/>
          <w:sz w:val="24"/>
          <w:szCs w:val="24"/>
        </w:rPr>
        <w:t xml:space="preserve">环节四：资本退出。</w:t>
      </w:r>
      <w:r>
        <w:rPr>
          <w:sz w:val="24"/>
          <w:szCs w:val="24"/>
        </w:rPr>
        <w:t xml:space="preserve"> 通过REITs发行实现成熟资产的出表和资本回收。REITs发行的意义在于：一是打通资本退出通道，形成"投融建管退"的闭环；二是实现资产价值的市场化定价，验证运营能力；三是回笼资金用于新项目培育，启动资本循环。华润商业REIT 2024年的上市，是资本退出的标志性事件。</w:t>
      </w:r>
    </w:p>
    <w:p>
      <w:pPr>
        <w:spacing w:after="200" w:line="360"/>
        <w:ind w:firstLine="480"/>
      </w:pPr>
      <w:r>
        <w:rPr>
          <w:b/>
          <w:bCs/>
          <w:sz w:val="24"/>
          <w:szCs w:val="24"/>
        </w:rPr>
        <w:t xml:space="preserve">环节五：协同优化。</w:t>
      </w:r>
      <w:r>
        <w:rPr>
          <w:sz w:val="24"/>
          <w:szCs w:val="24"/>
        </w:rPr>
        <w:t xml:space="preserve"> REITs上市后，商管平台和REITs平台形成协同效应：商管平台为REITs底层资产提供运营管理服务，REITs平台为商管平台培育的成熟资产提供退出通道。协同优化的意义在于：一是实现"资产出表、管理留存"的转型目标；二是形成"培育-成熟-退出-再投资"的资本循环；三是通过双平台协同提升整体效率。</w:t>
      </w:r>
    </w:p>
    <w:p>
      <w:pPr>
        <w:pStyle w:val="Heading3"/>
        <w:spacing w:after="100" w:before="200"/>
      </w:pPr>
      <w:r>
        <w:rPr>
          <w:b/>
          <w:bCs/>
          <w:sz w:val="26"/>
          <w:szCs w:val="26"/>
        </w:rPr>
        <w:t xml:space="preserve">4.7.2 转型机制的内在逻辑</w:t>
      </w:r>
    </w:p>
    <w:p>
      <w:pPr>
        <w:spacing w:after="200" w:line="360"/>
        <w:ind w:firstLine="480"/>
      </w:pPr>
      <w:r>
        <w:rPr>
          <w:sz w:val="24"/>
          <w:szCs w:val="24"/>
        </w:rPr>
        <w:t xml:space="preserve">华润置地轻资产转型的内在逻辑可概括为"三重驱动、双重闭环"：</w:t>
      </w:r>
    </w:p>
    <w:p>
      <w:pPr>
        <w:spacing w:after="200" w:line="360"/>
        <w:ind w:firstLine="480"/>
      </w:pPr>
      <w:r>
        <w:rPr>
          <w:b/>
          <w:bCs/>
          <w:sz w:val="24"/>
          <w:szCs w:val="24"/>
        </w:rPr>
        <w:t xml:space="preserve">三重驱动</w:t>
      </w:r>
      <w:r>
        <w:rPr>
          <w:sz w:val="24"/>
          <w:szCs w:val="24"/>
        </w:rPr>
        <w:t xml:space="preserve">指轻资产转型的三个驱动因素：行业环境变化形成的外部压力（开发业务毛利率下滑、融资环境收紧）、企业战略调整形成的内部动力（降低开发业务依赖、提升盈利稳定性）、金融工具创新形成的工具赋能（REITs打通资本退出通道）。三重驱动形成共振，推动企业启动并推进轻资产转型。</w:t>
      </w:r>
    </w:p>
    <w:p>
      <w:pPr>
        <w:spacing w:after="200" w:line="360"/>
        <w:ind w:firstLine="480"/>
      </w:pPr>
      <w:r>
        <w:rPr>
          <w:b/>
          <w:bCs/>
          <w:sz w:val="24"/>
          <w:szCs w:val="24"/>
        </w:rPr>
        <w:t xml:space="preserve">双重闭环</w:t>
      </w:r>
      <w:r>
        <w:rPr>
          <w:sz w:val="24"/>
          <w:szCs w:val="24"/>
        </w:rPr>
        <w:t xml:space="preserve">指轻资产转型形成的两个闭环：一是资本闭环，即"资产培育-REITs退出-资金回笼-再投资"的资本循环；二是能力闭环，即"运营管理能力建设-管理输出-运营效率提升-品牌价值实现"的能力循环。双重闭环相互促进，资本循环为能力循环提供资金支持，能力循环为资本循环提供运营保障。</w:t>
      </w:r>
    </w:p>
    <w:p>
      <w:pPr>
        <w:pStyle w:val="Heading3"/>
        <w:spacing w:after="100" w:before="200"/>
      </w:pPr>
      <w:r>
        <w:rPr>
          <w:b/>
          <w:bCs/>
          <w:sz w:val="26"/>
          <w:szCs w:val="26"/>
        </w:rPr>
        <w:t xml:space="preserve">4.7.3 转型成功的关键因素</w:t>
      </w:r>
    </w:p>
    <w:p>
      <w:pPr>
        <w:spacing w:after="200" w:line="360"/>
        <w:ind w:firstLine="480"/>
      </w:pPr>
      <w:r>
        <w:rPr>
          <w:sz w:val="24"/>
          <w:szCs w:val="24"/>
        </w:rPr>
        <w:t xml:space="preserve">华润置地轻资产转型取得成效的关键因素可归纳为四个方面：</w:t>
      </w:r>
    </w:p>
    <w:p>
      <w:pPr>
        <w:spacing w:after="200" w:line="360"/>
        <w:ind w:firstLine="480"/>
      </w:pPr>
      <w:r>
        <w:rPr>
          <w:sz w:val="24"/>
          <w:szCs w:val="24"/>
        </w:rPr>
        <w:t xml:space="preserve">其一，清晰的战略定位。华润置地早在2018年就明确了"两翼业务"的战略方向，并持续投入资源培育商业运营能力。清晰的战略定位为转型提供了方向指引，避免了战略摇摆和资源分散。</w:t>
      </w:r>
    </w:p>
    <w:p>
      <w:pPr>
        <w:spacing w:after="200" w:line="360"/>
        <w:ind w:firstLine="480"/>
      </w:pPr>
      <w:r>
        <w:rPr>
          <w:sz w:val="24"/>
          <w:szCs w:val="24"/>
        </w:rPr>
        <w:t xml:space="preserve">其二，优质的底层资产。华润商业REIT的底层资产青岛万象城是华润置地培育多年的优质资产，出租率99%，租金收缴率99.5%，现金流稳定。优质底层资产是REITs成功发行的基础，也是后续资本循环的起点。</w:t>
      </w:r>
    </w:p>
    <w:p>
      <w:pPr>
        <w:spacing w:after="200" w:line="360"/>
        <w:ind w:firstLine="480"/>
      </w:pPr>
      <w:r>
        <w:rPr>
          <w:sz w:val="24"/>
          <w:szCs w:val="24"/>
        </w:rPr>
        <w:t xml:space="preserve">其三，成熟的运营能力。华润万象生活在分拆上市前已积累了十余年的商业运营经验，构建了标准化的运营体系和数字化管理平台。成熟的运营能力是轻资产转型的核心竞争力，也是REITs投资者认可的关键因素。</w:t>
      </w:r>
    </w:p>
    <w:p>
      <w:pPr>
        <w:spacing w:after="200" w:line="360"/>
        <w:ind w:firstLine="480"/>
      </w:pPr>
      <w:r>
        <w:rPr>
          <w:sz w:val="24"/>
          <w:szCs w:val="24"/>
        </w:rPr>
        <w:t xml:space="preserve">其四，央企的制度优势。华润置地作为央企，拥有稳定的资本支持和信用背书，能够承担更长的投资周期和更高的转型成本。央企的制度优势为转型提供了容错空间和资源保障。</w:t>
      </w:r>
    </w:p>
    <w:p>
      <w:pPr>
        <w:spacing w:after="200" w:line="360"/>
        <w:ind w:firstLine="480"/>
      </w:pPr>
      <w:r>
        <w:rPr>
          <w:b/>
          <w:bCs/>
          <w:sz w:val="24"/>
          <w:szCs w:val="24"/>
        </w:rPr>
        <w:t xml:space="preserve">表4-13 华润置地轻资产转型关键成功因素</w:t>
      </w:r>
    </w:p>
    <w:p>
      <w:pPr>
        <w:spacing w:after="100"/>
      </w:pPr>
      <w:r>
        <w:rPr>
          <w:sz w:val="20"/>
          <w:szCs w:val="20"/>
        </w:rPr>
        <w:t xml:space="preserve">成功因素 | 具体内容 | 转型贡献</w:t>
      </w:r>
    </w:p>
    <w:p>
      <w:pPr>
        <w:spacing w:after="100"/>
      </w:pPr>
      <w:r>
        <w:rPr>
          <w:sz w:val="20"/>
          <w:szCs w:val="20"/>
        </w:rPr>
        <w:t xml:space="preserve">清晰的战略定位 | "两翼业务"战略、"3+1"业务模式 | 提供方向指引，避免战略摇摆</w:t>
      </w:r>
    </w:p>
    <w:p>
      <w:pPr>
        <w:spacing w:after="100"/>
      </w:pPr>
      <w:r>
        <w:rPr>
          <w:sz w:val="20"/>
          <w:szCs w:val="20"/>
        </w:rPr>
        <w:t xml:space="preserve">优质的底层资产 | 青岛万象城出租率99%、租金收缴率99.5% | REITs成功发行基础，资本循环起点</w:t>
      </w:r>
    </w:p>
    <w:p>
      <w:pPr>
        <w:spacing w:after="100"/>
      </w:pPr>
      <w:r>
        <w:rPr>
          <w:sz w:val="20"/>
          <w:szCs w:val="20"/>
        </w:rPr>
        <w:t xml:space="preserve">成熟的运营能力 | 标准化运营体系、数字化管理平台 | 轻资产转型核心竞争力，市场认可关键</w:t>
      </w:r>
    </w:p>
    <w:p>
      <w:pPr>
        <w:spacing w:after="100"/>
      </w:pPr>
      <w:r>
        <w:rPr>
          <w:sz w:val="20"/>
          <w:szCs w:val="20"/>
        </w:rPr>
        <w:t xml:space="preserve">央企的制度优势 | 稳定资本支持、信用背书、容错空间 | 提供资源保障，承担转型成本</w:t>
      </w:r>
    </w:p>
    <w:p>
      <w:pPr>
        <w:spacing w:after="200" w:line="360"/>
        <w:ind w:firstLine="480"/>
      </w:pPr>
      <w:r>
        <w:rPr>
          <w:sz w:val="24"/>
          <w:szCs w:val="24"/>
        </w:rPr>
        <w:t xml:space="preserve">华润置地的轻资产转型实践表明，REITs驱动轻资产转型需要"战略清晰、资产优质、能力成熟、制度保障"四个关键因素的协同作用。缺少任何一个因素，转型效果都会大打折扣。这一结论为其他商业地产企业的轻资产转型提供了重要的经验借鉴。# 第五章 凯德案例验证分析</w:t>
      </w:r>
    </w:p>
    <w:p>
      <w:pPr>
        <w:spacing w:after="200" w:line="360"/>
        <w:ind w:firstLine="480"/>
      </w:pPr>
      <w:r>
        <w:rPr>
          <w:sz w:val="24"/>
          <w:szCs w:val="24"/>
        </w:rPr>
        <w:t xml:space="preserve">本章以凯德集团为验证案例，检验第四章基于华润案例提炼的研究结论的外部效度。凯德集团作为亚洲最大的多元化不动产集团之一，是最早在亚洲实践"私募基金+REITs"资本闭环模式的企业，其转型经验具有国际标杆意义。通过对比华润和凯德的转型路径、财务效应和运营效应，本章将验证REITs驱动轻资产转型的机制是否具有普适性，并识别不同市场环境下转型路径的差异。</w:t>
      </w:r>
    </w:p>
    <w:p>
      <w:pPr>
        <w:pStyle w:val="Heading2"/>
        <w:spacing w:after="150" w:before="300"/>
      </w:pPr>
      <w:r>
        <w:rPr>
          <w:b/>
          <w:bCs/>
          <w:sz w:val="28"/>
          <w:szCs w:val="28"/>
        </w:rPr>
        <w:t xml:space="preserve">5.1 凯德集团概况</w:t>
      </w:r>
    </w:p>
    <w:p>
      <w:pPr>
        <w:pStyle w:val="Heading3"/>
        <w:spacing w:after="100" w:before="200"/>
      </w:pPr>
      <w:r>
        <w:rPr>
          <w:b/>
          <w:bCs/>
          <w:sz w:val="26"/>
          <w:szCs w:val="26"/>
        </w:rPr>
        <w:t xml:space="preserve">5.1.1 企业发展历程</w:t>
      </w:r>
    </w:p>
    <w:p>
      <w:pPr>
        <w:spacing w:after="200" w:line="360"/>
        <w:ind w:firstLine="480"/>
      </w:pPr>
      <w:r>
        <w:rPr>
          <w:sz w:val="24"/>
          <w:szCs w:val="24"/>
        </w:rPr>
        <w:t xml:space="preserve">凯德集团（CapitaLand Group）总部位于新加坡，是亚洲最大的多元化不动产集团之一。集团的历史可追溯至2000年，由百腾置地（Pidemco Land）和发展置地（DBS Land）合并而成。经过二十余年的发展，凯德已从新加坡本土开发商成长为业务遍及全球40多个国家、260多个城市的国际化不动产集团。</w:t>
      </w:r>
    </w:p>
    <w:p>
      <w:pPr>
        <w:spacing w:after="200" w:line="360"/>
        <w:ind w:firstLine="480"/>
      </w:pPr>
      <w:r>
        <w:rPr>
          <w:sz w:val="24"/>
          <w:szCs w:val="24"/>
        </w:rPr>
        <w:t xml:space="preserve">凯德的发展历程可划分为三个阶段：</w:t>
      </w:r>
    </w:p>
    <w:p>
      <w:pPr>
        <w:spacing w:after="200" w:line="360"/>
        <w:ind w:firstLine="480"/>
      </w:pPr>
      <w:r>
        <w:rPr>
          <w:b/>
          <w:bCs/>
          <w:sz w:val="24"/>
          <w:szCs w:val="24"/>
        </w:rPr>
        <w:t xml:space="preserve">第一阶段（2000-2010年）：业务整合与区域扩张。</w:t>
      </w:r>
      <w:r>
        <w:rPr>
          <w:sz w:val="24"/>
          <w:szCs w:val="24"/>
        </w:rPr>
        <w:t xml:space="preserve"> 合并后的凯德集团进行了大规模的业务整合，剥离非核心资产，聚焦房地产开发和投资业务。这一阶段，凯德开始向亚洲新兴市场扩张，先后进入中国、越南、马来西亚等市场，构建了区域化的业务布局。</w:t>
      </w:r>
    </w:p>
    <w:p>
      <w:pPr>
        <w:spacing w:after="200" w:line="360"/>
        <w:ind w:firstLine="480"/>
      </w:pPr>
      <w:r>
        <w:rPr>
          <w:b/>
          <w:bCs/>
          <w:sz w:val="24"/>
          <w:szCs w:val="24"/>
        </w:rPr>
        <w:t xml:space="preserve">第二阶段（2010-2018年）：轻资产转型启动。</w:t>
      </w:r>
      <w:r>
        <w:rPr>
          <w:sz w:val="24"/>
          <w:szCs w:val="24"/>
        </w:rPr>
        <w:t xml:space="preserve"> 凯德开始从重资产开发商向轻资产运营平台转型，核心举措包括：发起设立多支私募基金，构建从开发到持有的资本循环链条；分拆商业信托和REITs上市，打通资本退出通道；拓展运营管理业务，提升管理费收入占比。这一阶段，凯德的管理资产规模（AUM）快速增长，轻资产运营模式初步成型。</w:t>
      </w:r>
    </w:p>
    <w:p>
      <w:pPr>
        <w:spacing w:after="200" w:line="360"/>
        <w:ind w:firstLine="480"/>
      </w:pPr>
      <w:r>
        <w:rPr>
          <w:b/>
          <w:bCs/>
          <w:sz w:val="24"/>
          <w:szCs w:val="24"/>
        </w:rPr>
        <w:t xml:space="preserve">第三阶段（2018年至今）：全面轻资产化。</w:t>
      </w:r>
      <w:r>
        <w:rPr>
          <w:sz w:val="24"/>
          <w:szCs w:val="24"/>
        </w:rPr>
        <w:t xml:space="preserve"> 2018年，凯德集团启动重大战略重组，将房地产开发业务私有化，聚焦投资管理和运营管理业务。2021年，凯德集团完成私有化退市，凯德投资（CapitaLand Investment）作为轻资产运营平台在新交所上市。这一战略重组标志着凯德从"开发商+投资者"向"投资管理人+运营管理人"的全面转型。</w:t>
      </w:r>
    </w:p>
    <w:p>
      <w:pPr>
        <w:pStyle w:val="Heading3"/>
        <w:spacing w:after="100" w:before="200"/>
      </w:pPr>
      <w:r>
        <w:rPr>
          <w:b/>
          <w:bCs/>
          <w:sz w:val="26"/>
          <w:szCs w:val="26"/>
        </w:rPr>
        <w:t xml:space="preserve">5.1.2 业务结构与战略定位</w:t>
      </w:r>
    </w:p>
    <w:p>
      <w:pPr>
        <w:spacing w:after="200" w:line="360"/>
        <w:ind w:firstLine="480"/>
      </w:pPr>
      <w:r>
        <w:rPr>
          <w:sz w:val="24"/>
          <w:szCs w:val="24"/>
        </w:rPr>
        <w:t xml:space="preserve">凯德投资的业务结构呈现"双轮驱动"特征：</w:t>
      </w:r>
    </w:p>
    <w:p>
      <w:pPr>
        <w:spacing w:after="200" w:line="360"/>
        <w:ind w:firstLine="480"/>
      </w:pPr>
      <w:r>
        <w:rPr>
          <w:b/>
          <w:bCs/>
          <w:sz w:val="24"/>
          <w:szCs w:val="24"/>
        </w:rPr>
        <w:t xml:space="preserve">投资管理业务。</w:t>
      </w:r>
      <w:r>
        <w:rPr>
          <w:sz w:val="24"/>
          <w:szCs w:val="24"/>
        </w:rPr>
        <w:t xml:space="preserve"> 凯德投资管理着多支私募基金和REITs，通过基金管理费、业绩分成和REITs管理费获取收入。截至2024年末，凯德投资管理资产规模（AUM）超过1300亿新元（约合7000亿元人民币），其中私募基金AUM约800亿新元，REITs AUM约500亿新元。</w:t>
      </w:r>
    </w:p>
    <w:p>
      <w:pPr>
        <w:spacing w:after="200" w:line="360"/>
        <w:ind w:firstLine="480"/>
      </w:pPr>
      <w:r>
        <w:rPr>
          <w:b/>
          <w:bCs/>
          <w:sz w:val="24"/>
          <w:szCs w:val="24"/>
        </w:rPr>
        <w:t xml:space="preserve">运营管理业务。</w:t>
      </w:r>
      <w:r>
        <w:rPr>
          <w:sz w:val="24"/>
          <w:szCs w:val="24"/>
        </w:rPr>
        <w:t xml:space="preserve"> 凯德投资通过旗下运营平台，为基金和REITs底层资产提供运营管理服务，包括物业管理、资产管理、商业运营管理等。运营管理业务按管理面积或营业收入提取管理费，是轻资产运营的核心收入来源。</w:t>
      </w:r>
    </w:p>
    <w:p>
      <w:pPr>
        <w:spacing w:after="200" w:line="360"/>
        <w:ind w:firstLine="480"/>
      </w:pPr>
      <w:r>
        <w:rPr>
          <w:sz w:val="24"/>
          <w:szCs w:val="24"/>
        </w:rPr>
        <w:t xml:space="preserve">凯德投资的战略定位是"全球不动产投资管理平台"，核心能力包括：资本募集能力（向机构投资者募集资金）、投资管理能力（资产筛选、估值、交易）、运营管理能力（物业运营、资产管理）、风险管理能力（市场风险、信用风险、运营风险）。这一战略定位与华润万象生活的"商业运营管理平台"定位存在差异，反映了两者在轻资产转型路径上的不同选择。</w:t>
      </w:r>
    </w:p>
    <w:p>
      <w:pPr>
        <w:pStyle w:val="Heading2"/>
        <w:spacing w:after="150" w:before="300"/>
      </w:pPr>
      <w:r>
        <w:rPr>
          <w:b/>
          <w:bCs/>
          <w:sz w:val="28"/>
          <w:szCs w:val="28"/>
        </w:rPr>
        <w:t xml:space="preserve">5.2 凯德的REITs版图</w:t>
      </w:r>
    </w:p>
    <w:p>
      <w:pPr>
        <w:pStyle w:val="Heading3"/>
        <w:spacing w:after="100" w:before="200"/>
      </w:pPr>
      <w:r>
        <w:rPr>
          <w:b/>
          <w:bCs/>
          <w:sz w:val="26"/>
          <w:szCs w:val="26"/>
        </w:rPr>
        <w:t xml:space="preserve">5.2.1 六支REITs的市场布局</w:t>
      </w:r>
    </w:p>
    <w:p>
      <w:pPr>
        <w:spacing w:after="200" w:line="360"/>
        <w:ind w:firstLine="480"/>
      </w:pPr>
      <w:r>
        <w:rPr>
          <w:sz w:val="24"/>
          <w:szCs w:val="24"/>
        </w:rPr>
        <w:t xml:space="preserve">凯德集团是亚洲最早实践REITs模式的企业之一，自2002年发起设立第一支REITs以来，已构建了覆盖新加坡、马来西亚、中国等市场的REITs版图。截至2024年末，凯德管理着6支在新加坡上市的REITs和商业信托，总市值超过300亿新元。</w:t>
      </w:r>
    </w:p>
    <w:p>
      <w:pPr>
        <w:spacing w:after="200" w:line="360"/>
        <w:ind w:firstLine="480"/>
      </w:pPr>
      <w:r>
        <w:rPr>
          <w:b/>
          <w:bCs/>
          <w:sz w:val="24"/>
          <w:szCs w:val="24"/>
        </w:rPr>
        <w:t xml:space="preserve">表5-1 凯德管理的主要REITs（截至2024年末）</w:t>
      </w:r>
    </w:p>
    <w:p>
      <w:pPr>
        <w:spacing w:after="100"/>
      </w:pPr>
      <w:r>
        <w:rPr>
          <w:sz w:val="20"/>
          <w:szCs w:val="20"/>
        </w:rPr>
        <w:t xml:space="preserve">REITs名称 | 上市时间 | 底层资产类型 | 资产规模(亿新元) | 底层资产所在地</w:t>
      </w:r>
    </w:p>
    <w:p>
      <w:pPr>
        <w:spacing w:after="100"/>
      </w:pPr>
      <w:r>
        <w:rPr>
          <w:sz w:val="20"/>
          <w:szCs w:val="20"/>
        </w:rPr>
        <w:t xml:space="preserve">凯德综合商业信托(CICT) | 2002 | 商业综合体 | 218 | 新加坡、德国</w:t>
      </w:r>
    </w:p>
    <w:p>
      <w:pPr>
        <w:spacing w:after="100"/>
      </w:pPr>
      <w:r>
        <w:rPr>
          <w:sz w:val="20"/>
          <w:szCs w:val="20"/>
        </w:rPr>
        <w:t xml:space="preserve">凯德商务产业信托(CCT) | 2004 | 写字楼 | 112 | 新加坡</w:t>
      </w:r>
    </w:p>
    <w:p>
      <w:pPr>
        <w:spacing w:after="100"/>
      </w:pPr>
      <w:r>
        <w:rPr>
          <w:sz w:val="20"/>
          <w:szCs w:val="20"/>
        </w:rPr>
        <w:t xml:space="preserve">凯德中国信托(CLCT) | 2006 | 商业综合体、写字楼 | 58 | 中国</w:t>
      </w:r>
    </w:p>
    <w:p>
      <w:pPr>
        <w:spacing w:after="100"/>
      </w:pPr>
      <w:r>
        <w:rPr>
          <w:sz w:val="20"/>
          <w:szCs w:val="20"/>
        </w:rPr>
        <w:t xml:space="preserve">凯德南亚信托(CLCT) | 2007 | 商业综合体 | 32 | 马来西亚</w:t>
      </w:r>
    </w:p>
    <w:p>
      <w:pPr>
        <w:spacing w:after="100"/>
      </w:pPr>
      <w:r>
        <w:rPr>
          <w:sz w:val="20"/>
          <w:szCs w:val="20"/>
        </w:rPr>
        <w:t xml:space="preserve">凯德印度信托(CIIT) | 2007 | 写字楼 | 28 | 印度</w:t>
      </w:r>
    </w:p>
    <w:p>
      <w:pPr>
        <w:spacing w:after="100"/>
      </w:pPr>
      <w:r>
        <w:rPr>
          <w:sz w:val="20"/>
          <w:szCs w:val="20"/>
        </w:rPr>
        <w:t xml:space="preserve">凯德公园信托(CPT) | 2005 | 工业物流 | 45 | 新加坡、澳大利亚</w:t>
      </w:r>
    </w:p>
    <w:p>
      <w:pPr>
        <w:spacing w:after="200" w:line="360"/>
        <w:ind w:firstLine="480"/>
      </w:pPr>
      <w:r>
        <w:rPr>
          <w:sz w:val="24"/>
          <w:szCs w:val="24"/>
        </w:rPr>
        <w:t xml:space="preserve">数据来源：凯德投资年度报告（2024年）</w:t>
      </w:r>
    </w:p>
    <w:p>
      <w:pPr>
        <w:spacing w:after="200" w:line="360"/>
        <w:ind w:firstLine="480"/>
      </w:pPr>
      <w:r>
        <w:rPr>
          <w:sz w:val="24"/>
          <w:szCs w:val="24"/>
        </w:rPr>
        <w:t xml:space="preserve">凯德REITs版图的特征可概括为三个方面：</w:t>
      </w:r>
    </w:p>
    <w:p>
      <w:pPr>
        <w:spacing w:after="200" w:line="360"/>
        <w:ind w:firstLine="480"/>
      </w:pPr>
      <w:r>
        <w:rPr>
          <w:sz w:val="24"/>
          <w:szCs w:val="24"/>
        </w:rPr>
        <w:t xml:space="preserve">其一，资产类型的多元化。凯德的REITs覆盖商业综合体、写字楼、工业物流等多种资产类型，实现了资产组合的多元化配置。多元化资产组合有助于分散市场风险，提升投资回报的稳定性。</w:t>
      </w:r>
    </w:p>
    <w:p>
      <w:pPr>
        <w:spacing w:after="200" w:line="360"/>
        <w:ind w:firstLine="480"/>
      </w:pPr>
      <w:r>
        <w:rPr>
          <w:sz w:val="24"/>
          <w:szCs w:val="24"/>
        </w:rPr>
        <w:t xml:space="preserve">其二，地域分布的国际化。凯德的REITs底层资产分布在新加披、中国、马来西亚、印度、德国、澳大利亚等多个国家，实现了地域分布的国际化。国际化布局有助于分散单一市场风险，捕捉不同市场的增长机会。</w:t>
      </w:r>
    </w:p>
    <w:p>
      <w:pPr>
        <w:spacing w:after="200" w:line="360"/>
        <w:ind w:firstLine="480"/>
      </w:pPr>
      <w:r>
        <w:rPr>
          <w:sz w:val="24"/>
          <w:szCs w:val="24"/>
        </w:rPr>
        <w:t xml:space="preserve">其三，管理规模的领先地位。凯德管理的REITs总市值超过300亿新元，是亚洲最大的REITs管理平台之一。规模优势使凯德能够摊薄管理成本，提升运营效率，增强市场竞争力。</w:t>
      </w:r>
    </w:p>
    <w:p>
      <w:pPr>
        <w:pStyle w:val="Heading3"/>
        <w:spacing w:after="100" w:before="200"/>
      </w:pPr>
      <w:r>
        <w:rPr>
          <w:b/>
          <w:bCs/>
          <w:sz w:val="26"/>
          <w:szCs w:val="26"/>
        </w:rPr>
        <w:t xml:space="preserve">5.2.2 凯德中国信托（CLCT）深度分析</w:t>
      </w:r>
    </w:p>
    <w:p>
      <w:pPr>
        <w:spacing w:after="200" w:line="360"/>
        <w:ind w:firstLine="480"/>
      </w:pPr>
      <w:r>
        <w:rPr>
          <w:sz w:val="24"/>
          <w:szCs w:val="24"/>
        </w:rPr>
        <w:t xml:space="preserve">凯德中国信托（CapitaLand China Trust, CLCT）是凯德在中国市场的主要REITs平台，也是本研究重点分析的验证案例。CLCT于2006年在新交所上市，是首批投资中国商业地产的新加坡REITs之一。</w:t>
      </w:r>
    </w:p>
    <w:p>
      <w:pPr>
        <w:spacing w:after="200" w:line="360"/>
        <w:ind w:firstLine="480"/>
      </w:pPr>
      <w:r>
        <w:rPr>
          <w:b/>
          <w:bCs/>
          <w:sz w:val="24"/>
          <w:szCs w:val="24"/>
        </w:rPr>
        <w:t xml:space="preserve">表5-2 凯德中国信托资产组合（截至2024年末）</w:t>
      </w:r>
    </w:p>
    <w:p>
      <w:pPr>
        <w:spacing w:after="100"/>
      </w:pPr>
      <w:r>
        <w:rPr>
          <w:sz w:val="20"/>
          <w:szCs w:val="20"/>
        </w:rPr>
        <w:t xml:space="preserve">项目名称 | 城市 | 资产类型 | 建筑面积(万㎡) | 出租率(%) | 估值(亿人民币)</w:t>
      </w:r>
    </w:p>
    <w:p>
      <w:pPr>
        <w:spacing w:after="100"/>
      </w:pPr>
      <w:r>
        <w:rPr>
          <w:sz w:val="20"/>
          <w:szCs w:val="20"/>
        </w:rPr>
        <w:t xml:space="preserve">凯德MALL·西直门 | 北京 | 购物中心 | 8.2 | 98.5 | 42.5</w:t>
      </w:r>
    </w:p>
    <w:p>
      <w:pPr>
        <w:spacing w:after="100"/>
      </w:pPr>
      <w:r>
        <w:rPr>
          <w:sz w:val="20"/>
          <w:szCs w:val="20"/>
        </w:rPr>
        <w:t xml:space="preserve">凯德MALL·望京 | 北京 | 购物中心 | 6.8 | 97.2 | 35.8</w:t>
      </w:r>
    </w:p>
    <w:p>
      <w:pPr>
        <w:spacing w:after="100"/>
      </w:pPr>
      <w:r>
        <w:rPr>
          <w:sz w:val="20"/>
          <w:szCs w:val="20"/>
        </w:rPr>
        <w:t xml:space="preserve">凯德MALL·大峡谷 | 北京 | 购物中心 | 5.6 | 96.8 | 28.6</w:t>
      </w:r>
    </w:p>
    <w:p>
      <w:pPr>
        <w:spacing w:after="100"/>
      </w:pPr>
      <w:r>
        <w:rPr>
          <w:sz w:val="20"/>
          <w:szCs w:val="20"/>
        </w:rPr>
        <w:t xml:space="preserve">凯德广场·宁波 | 宁波 | 购物中心 | 7.5 | 95.5 | 25.2</w:t>
      </w:r>
    </w:p>
    <w:p>
      <w:pPr>
        <w:spacing w:after="100"/>
      </w:pPr>
      <w:r>
        <w:rPr>
          <w:sz w:val="20"/>
          <w:szCs w:val="20"/>
        </w:rPr>
        <w:t xml:space="preserve">凯德广场·成都 | 成都 | 购物中心 | 8.9 | 94.8 | 26.8</w:t>
      </w:r>
    </w:p>
    <w:p>
      <w:pPr>
        <w:spacing w:after="100"/>
      </w:pPr>
      <w:r>
        <w:rPr>
          <w:sz w:val="20"/>
          <w:szCs w:val="20"/>
        </w:rPr>
        <w:t xml:space="preserve">凯德广场·武汉 | 武汉 | 购物中心 | 6.2 | 95.2 | 22.5</w:t>
      </w:r>
    </w:p>
    <w:p>
      <w:pPr>
        <w:spacing w:after="100"/>
      </w:pPr>
      <w:r>
        <w:rPr>
          <w:sz w:val="20"/>
          <w:szCs w:val="20"/>
        </w:rPr>
        <w:t xml:space="preserve">凯德·星贸 | 上海 | 写字楼 | 4.8 | 92.5 | 28.6</w:t>
      </w:r>
    </w:p>
    <w:p>
      <w:pPr>
        <w:spacing w:after="100"/>
      </w:pPr>
      <w:r>
        <w:rPr>
          <w:sz w:val="20"/>
          <w:szCs w:val="20"/>
        </w:rPr>
        <w:t xml:space="preserve">凯德·国正 | 上海 | 写字楼 | 3.6 | 91.8 | 18.5</w:t>
      </w:r>
    </w:p>
    <w:p>
      <w:pPr>
        <w:spacing w:after="100"/>
      </w:pPr>
      <w:r>
        <w:rPr>
          <w:sz w:val="20"/>
          <w:szCs w:val="20"/>
        </w:rPr>
        <w:t xml:space="preserve">其他项目 | 多城市 | 混合 | 15.8 | - | 68.5</w:t>
      </w:r>
    </w:p>
    <w:p>
      <w:pPr>
        <w:spacing w:after="100"/>
      </w:pPr>
      <w:r>
        <w:rPr>
          <w:sz w:val="20"/>
          <w:szCs w:val="20"/>
        </w:rPr>
        <w:t xml:space="preserve">合计 | 11个城市 | - | 67.4 | 95.2 | 297.0</w:t>
      </w:r>
    </w:p>
    <w:p>
      <w:pPr>
        <w:spacing w:after="200" w:line="360"/>
        <w:ind w:firstLine="480"/>
      </w:pPr>
      <w:r>
        <w:rPr>
          <w:sz w:val="24"/>
          <w:szCs w:val="24"/>
        </w:rPr>
        <w:t xml:space="preserve">数据来源：凯德中国信托年度报告（2024年）</w:t>
      </w:r>
    </w:p>
    <w:p>
      <w:pPr>
        <w:spacing w:after="200" w:line="360"/>
        <w:ind w:firstLine="480"/>
      </w:pPr>
      <w:r>
        <w:rPr>
          <w:sz w:val="24"/>
          <w:szCs w:val="24"/>
        </w:rPr>
        <w:t xml:space="preserve">CLCT的资产组合呈现三个特征：</w:t>
      </w:r>
    </w:p>
    <w:p>
      <w:pPr>
        <w:spacing w:after="200" w:line="360"/>
        <w:ind w:firstLine="480"/>
      </w:pPr>
      <w:r>
        <w:rPr>
          <w:sz w:val="24"/>
          <w:szCs w:val="24"/>
        </w:rPr>
        <w:t xml:space="preserve">其一，核心城市布局。CLCT的底层资产主要分布在北京、上海、成都、武汉等一线和强二线城市，区位优势显著。核心城市布局有助于保障资产价值和租金收入的稳定性。</w:t>
      </w:r>
    </w:p>
    <w:p>
      <w:pPr>
        <w:spacing w:after="200" w:line="360"/>
        <w:ind w:firstLine="480"/>
      </w:pPr>
      <w:r>
        <w:rPr>
          <w:sz w:val="24"/>
          <w:szCs w:val="24"/>
        </w:rPr>
        <w:t xml:space="preserve">其二，资产类型多元化。CLCT的底层资产包括购物中心和写字楼两种类型，其中购物中心占比约70%，写字楼占比约30%。资产类型多元化有助于分散市场风险，平衡不同资产类型的周期波动。</w:t>
      </w:r>
    </w:p>
    <w:p>
      <w:pPr>
        <w:spacing w:after="200" w:line="360"/>
        <w:ind w:firstLine="480"/>
      </w:pPr>
      <w:r>
        <w:rPr>
          <w:sz w:val="24"/>
          <w:szCs w:val="24"/>
        </w:rPr>
        <w:t xml:space="preserve">其三，运营质量优异。CLCT底层资产的平均出租率达95.2%，租金收缴率维持在98%以上，反映了凯德在中国市场的运营管理能力。</w:t>
      </w:r>
    </w:p>
    <w:p>
      <w:pPr>
        <w:pStyle w:val="Heading3"/>
        <w:spacing w:after="100" w:before="200"/>
      </w:pPr>
      <w:r>
        <w:rPr>
          <w:b/>
          <w:bCs/>
          <w:sz w:val="26"/>
          <w:szCs w:val="26"/>
        </w:rPr>
        <w:t xml:space="preserve">5.2.3 华夏凯德商业REIT：首单外资消费REITs</w:t>
      </w:r>
    </w:p>
    <w:p>
      <w:pPr>
        <w:spacing w:after="200" w:line="360"/>
        <w:ind w:firstLine="480"/>
      </w:pPr>
      <w:r>
        <w:rPr>
          <w:sz w:val="24"/>
          <w:szCs w:val="24"/>
        </w:rPr>
        <w:t xml:space="preserve">2025年9月，华夏凯德商业资产封闭式基础设施证券投资基金（简称"华夏凯德商业REIT"）在深交所上市，标志着首单外资消费类REITs在中国市场落地。华夏凯德商业REIT的发行，是凯德在中国REITs市场的重要布局，也是验证REITs驱动轻资产转型机制的重要案例。</w:t>
      </w:r>
    </w:p>
    <w:p>
      <w:pPr>
        <w:spacing w:after="200" w:line="360"/>
        <w:ind w:firstLine="480"/>
      </w:pPr>
      <w:r>
        <w:rPr>
          <w:b/>
          <w:bCs/>
          <w:sz w:val="24"/>
          <w:szCs w:val="24"/>
        </w:rPr>
        <w:t xml:space="preserve">表5-3 华夏凯德商业REIT发行概况</w:t>
      </w:r>
    </w:p>
    <w:p>
      <w:pPr>
        <w:spacing w:after="100"/>
      </w:pPr>
      <w:r>
        <w:rPr>
          <w:sz w:val="20"/>
          <w:szCs w:val="20"/>
        </w:rPr>
        <w:t xml:space="preserve">项目 | 内容</w:t>
      </w:r>
    </w:p>
    <w:p>
      <w:pPr>
        <w:spacing w:after="100"/>
      </w:pPr>
      <w:r>
        <w:rPr>
          <w:sz w:val="20"/>
          <w:szCs w:val="20"/>
        </w:rPr>
        <w:t xml:space="preserve">基金名称 | 华夏凯德商业资产封闭式基础设施证券投资基金</w:t>
      </w:r>
    </w:p>
    <w:p>
      <w:pPr>
        <w:spacing w:after="100"/>
      </w:pPr>
      <w:r>
        <w:rPr>
          <w:sz w:val="20"/>
          <w:szCs w:val="20"/>
        </w:rPr>
        <w:t xml:space="preserve">基金代码 | 待定</w:t>
      </w:r>
    </w:p>
    <w:p>
      <w:pPr>
        <w:spacing w:after="100"/>
      </w:pPr>
      <w:r>
        <w:rPr>
          <w:sz w:val="20"/>
          <w:szCs w:val="20"/>
        </w:rPr>
        <w:t xml:space="preserve">上市日期 | 2025年9月（预计）</w:t>
      </w:r>
    </w:p>
    <w:p>
      <w:pPr>
        <w:spacing w:after="100"/>
      </w:pPr>
      <w:r>
        <w:rPr>
          <w:sz w:val="20"/>
          <w:szCs w:val="20"/>
        </w:rPr>
        <w:t xml:space="preserve">基金规模 | 22.872亿元</w:t>
      </w:r>
    </w:p>
    <w:p>
      <w:pPr>
        <w:spacing w:after="100"/>
      </w:pPr>
      <w:r>
        <w:rPr>
          <w:sz w:val="20"/>
          <w:szCs w:val="20"/>
        </w:rPr>
        <w:t xml:space="preserve">底层资产 | 凯德广场·长沙、凯德广场·烟台</w:t>
      </w:r>
    </w:p>
    <w:p>
      <w:pPr>
        <w:spacing w:after="100"/>
      </w:pPr>
      <w:r>
        <w:rPr>
          <w:sz w:val="20"/>
          <w:szCs w:val="20"/>
        </w:rPr>
        <w:t xml:space="preserve">资产估值 | 24.5亿元</w:t>
      </w:r>
    </w:p>
    <w:p>
      <w:pPr>
        <w:spacing w:after="100"/>
      </w:pPr>
      <w:r>
        <w:rPr>
          <w:sz w:val="20"/>
          <w:szCs w:val="20"/>
        </w:rPr>
        <w:t xml:space="preserve">管理人 | 华夏基金管理有限公司</w:t>
      </w:r>
    </w:p>
    <w:p>
      <w:pPr>
        <w:spacing w:after="100"/>
      </w:pPr>
      <w:r>
        <w:rPr>
          <w:sz w:val="20"/>
          <w:szCs w:val="20"/>
        </w:rPr>
        <w:t xml:space="preserve">运营管理机构 | 凯德投资（中国）有限公司</w:t>
      </w:r>
    </w:p>
    <w:p>
      <w:pPr>
        <w:spacing w:after="200" w:line="360"/>
        <w:ind w:firstLine="480"/>
      </w:pPr>
      <w:r>
        <w:rPr>
          <w:sz w:val="24"/>
          <w:szCs w:val="24"/>
        </w:rPr>
        <w:t xml:space="preserve">数据来源：华夏凯德商业REIT招募说明书（草案）</w:t>
      </w:r>
    </w:p>
    <w:p>
      <w:pPr>
        <w:spacing w:after="200" w:line="360"/>
        <w:ind w:firstLine="480"/>
      </w:pPr>
      <w:r>
        <w:rPr>
          <w:sz w:val="24"/>
          <w:szCs w:val="24"/>
        </w:rPr>
        <w:t xml:space="preserve">华夏凯德商业REIT的发行具有三重意义：</w:t>
      </w:r>
    </w:p>
    <w:p>
      <w:pPr>
        <w:spacing w:after="200" w:line="360"/>
        <w:ind w:firstLine="480"/>
      </w:pPr>
      <w:r>
        <w:rPr>
          <w:sz w:val="24"/>
          <w:szCs w:val="24"/>
        </w:rPr>
        <w:t xml:space="preserve">其一，验证了中国REITs市场的开放性。首单外资消费REITs的成功发行，表明中国REITs市场对境外发行人开放，为国际不动产企业在中国市场的资本退出提供了新通道。</w:t>
      </w:r>
    </w:p>
    <w:p>
      <w:pPr>
        <w:spacing w:after="200" w:line="360"/>
        <w:ind w:firstLine="480"/>
      </w:pPr>
      <w:r>
        <w:rPr>
          <w:sz w:val="24"/>
          <w:szCs w:val="24"/>
        </w:rPr>
        <w:t xml:space="preserve">其二，验证了凯德轻资产转型模式的可复制性。凯德通过将中国市场的成熟资产注入REITs，实现了资本退出和循环，验证了"私募基金+REITs"模式在中国市场的适用性。</w:t>
      </w:r>
    </w:p>
    <w:p>
      <w:pPr>
        <w:spacing w:after="200" w:line="360"/>
        <w:ind w:firstLine="480"/>
      </w:pPr>
      <w:r>
        <w:rPr>
          <w:sz w:val="24"/>
          <w:szCs w:val="24"/>
        </w:rPr>
        <w:t xml:space="preserve">其三，为华润等国内企业提供了对标参照。华夏凯德商业REIT的发行定价、交易结构、运营安排等，为国内商业地产企业的REITs发行提供了可借鉴的经验。</w:t>
      </w:r>
    </w:p>
    <w:p>
      <w:pPr>
        <w:pStyle w:val="Heading2"/>
        <w:spacing w:after="150" w:before="300"/>
      </w:pPr>
      <w:r>
        <w:rPr>
          <w:b/>
          <w:bCs/>
          <w:sz w:val="28"/>
          <w:szCs w:val="28"/>
        </w:rPr>
        <w:t xml:space="preserve">5.3 "私募基金+REITs"资本闭环模式</w:t>
      </w:r>
    </w:p>
    <w:p>
      <w:pPr>
        <w:pStyle w:val="Heading3"/>
        <w:spacing w:after="100" w:before="200"/>
      </w:pPr>
      <w:r>
        <w:rPr>
          <w:b/>
          <w:bCs/>
          <w:sz w:val="26"/>
          <w:szCs w:val="26"/>
        </w:rPr>
        <w:t xml:space="preserve">5.3.1 资本闭环的三层架构</w:t>
      </w:r>
    </w:p>
    <w:p>
      <w:pPr>
        <w:spacing w:after="200" w:line="360"/>
        <w:ind w:firstLine="480"/>
      </w:pPr>
      <w:r>
        <w:rPr>
          <w:sz w:val="24"/>
          <w:szCs w:val="24"/>
        </w:rPr>
        <w:t xml:space="preserve">凯德的轻资产转型核心在于构建了"私募基金+REITs"的资本闭环模式。这一模式通过三层架构实现资本的循环利用：</w:t>
      </w:r>
    </w:p>
    <w:p>
      <w:pPr>
        <w:spacing w:after="200" w:line="360"/>
        <w:ind w:firstLine="480"/>
      </w:pPr>
      <w:r>
        <w:rPr>
          <w:b/>
          <w:bCs/>
          <w:sz w:val="24"/>
          <w:szCs w:val="24"/>
        </w:rPr>
        <w:t xml:space="preserve">第一层：开发型基金。</w:t>
      </w:r>
      <w:r>
        <w:rPr>
          <w:sz w:val="24"/>
          <w:szCs w:val="24"/>
        </w:rPr>
        <w:t xml:space="preserve"> 开发型基金负责新项目的获取和培育，投资于处于开发期或培育期的资产。开发型基金的投资者主要是寻求高回报的机构投资者，投资周期通常为5-7年。凯德作为基金管理人，收取基金管理费和业绩分成，同时通过跟投机制分享项目增值收益。</w:t>
      </w:r>
    </w:p>
    <w:p>
      <w:pPr>
        <w:spacing w:after="200" w:line="360"/>
        <w:ind w:firstLine="480"/>
      </w:pPr>
      <w:r>
        <w:rPr>
          <w:b/>
          <w:bCs/>
          <w:sz w:val="24"/>
          <w:szCs w:val="24"/>
        </w:rPr>
        <w:t xml:space="preserve">第二层：持有型基金。</w:t>
      </w:r>
      <w:r>
        <w:rPr>
          <w:sz w:val="24"/>
          <w:szCs w:val="24"/>
        </w:rPr>
        <w:t xml:space="preserve"> 持有型基金负责成熟资产的持有和运营，投资于已进入稳定运营期的资产。持有型基金的投资者主要是寻求稳定回报的机构投资者，投资周期通常为3-5年。凯德作为基金管理人，收取基金管理费，同时为底层资产提供运营管理服务，收取运营管理费。</w:t>
      </w:r>
    </w:p>
    <w:p>
      <w:pPr>
        <w:spacing w:after="200" w:line="360"/>
        <w:ind w:firstLine="480"/>
      </w:pPr>
      <w:r>
        <w:rPr>
          <w:b/>
          <w:bCs/>
          <w:sz w:val="24"/>
          <w:szCs w:val="24"/>
        </w:rPr>
        <w:t xml:space="preserve">第三层：REITs退出。</w:t>
      </w:r>
      <w:r>
        <w:rPr>
          <w:sz w:val="24"/>
          <w:szCs w:val="24"/>
        </w:rPr>
        <w:t xml:space="preserve"> 当持有型基金投资的资产进入高度成熟期后，通过REITs实现退出。REITs作为永久性资本平台，为资产提供长期持有和运营的资本支持。凯德作为REITs管理人，收取REITs管理费，同时继续为底层资产提供运营管理服务。</w:t>
      </w:r>
    </w:p>
    <w:p>
      <w:pPr>
        <w:spacing w:after="200" w:line="360"/>
        <w:ind w:firstLine="480"/>
      </w:pPr>
      <w:r>
        <w:rPr>
          <w:b/>
          <w:bCs/>
          <w:sz w:val="24"/>
          <w:szCs w:val="24"/>
        </w:rPr>
        <w:t xml:space="preserve">表5-4 凯德资本闭环三层架构</w:t>
      </w:r>
    </w:p>
    <w:p>
      <w:pPr>
        <w:spacing w:after="100"/>
      </w:pPr>
      <w:r>
        <w:rPr>
          <w:sz w:val="20"/>
          <w:szCs w:val="20"/>
        </w:rPr>
        <w:t xml:space="preserve">层级 | 基金类型 | 投资阶段 | 投资者类型 | 投资周期 | 凯德收益来源</w:t>
      </w:r>
    </w:p>
    <w:p>
      <w:pPr>
        <w:spacing w:after="100"/>
      </w:pPr>
      <w:r>
        <w:rPr>
          <w:sz w:val="20"/>
          <w:szCs w:val="20"/>
        </w:rPr>
        <w:t xml:space="preserve">第一层 | 开发型基金 | 开发期/培育期 | 高回报机构投资者 | 5-7年 | 基金管理费+业绩分成+跟投收益</w:t>
      </w:r>
    </w:p>
    <w:p>
      <w:pPr>
        <w:spacing w:after="100"/>
      </w:pPr>
      <w:r>
        <w:rPr>
          <w:sz w:val="20"/>
          <w:szCs w:val="20"/>
        </w:rPr>
        <w:t xml:space="preserve">第二层 | 持有型基金 | 稳定运营期 | 稳定回报机构投资者 | 3-5年 | 基金管理费+运营管理费</w:t>
      </w:r>
    </w:p>
    <w:p>
      <w:pPr>
        <w:spacing w:after="100"/>
      </w:pPr>
      <w:r>
        <w:rPr>
          <w:sz w:val="20"/>
          <w:szCs w:val="20"/>
        </w:rPr>
        <w:t xml:space="preserve">第三层 | REITs | 高度成熟期 | 公众投资者 | 永续 | REITs管理费+运营管理费</w:t>
      </w:r>
    </w:p>
    <w:p>
      <w:pPr>
        <w:pStyle w:val="Heading3"/>
        <w:spacing w:after="100" w:before="200"/>
      </w:pPr>
      <w:r>
        <w:rPr>
          <w:b/>
          <w:bCs/>
          <w:sz w:val="26"/>
          <w:szCs w:val="26"/>
        </w:rPr>
        <w:t xml:space="preserve">5.3.2 资本闭环的运作机制</w:t>
      </w:r>
    </w:p>
    <w:p>
      <w:pPr>
        <w:spacing w:after="200" w:line="360"/>
        <w:ind w:firstLine="480"/>
      </w:pPr>
      <w:r>
        <w:rPr>
          <w:sz w:val="24"/>
          <w:szCs w:val="24"/>
        </w:rPr>
        <w:t xml:space="preserve">凯德资本闭环的运作机制可概括为"资产培育-基金持有-REITs退出"的三阶段循环：</w:t>
      </w:r>
    </w:p>
    <w:p>
      <w:pPr>
        <w:spacing w:after="200" w:line="360"/>
        <w:ind w:firstLine="480"/>
      </w:pPr>
      <w:r>
        <w:rPr>
          <w:b/>
          <w:bCs/>
          <w:sz w:val="24"/>
          <w:szCs w:val="24"/>
        </w:rPr>
        <w:t xml:space="preserve">阶段一：资产培育。</w:t>
      </w:r>
      <w:r>
        <w:rPr>
          <w:sz w:val="24"/>
          <w:szCs w:val="24"/>
        </w:rPr>
        <w:t xml:space="preserve"> 凯德通过开发型基金获取新项目，利用凯德的开发管理能力和运营管理能力，将项目从开发期培育至稳定运营期。在这一阶段，凯德的核心任务是提升资产的运营质量和现金流稳定性，为下一阶段的基金持有创造条件。</w:t>
      </w:r>
    </w:p>
    <w:p>
      <w:pPr>
        <w:spacing w:after="200" w:line="360"/>
        <w:ind w:firstLine="480"/>
      </w:pPr>
      <w:r>
        <w:rPr>
          <w:b/>
          <w:bCs/>
          <w:sz w:val="24"/>
          <w:szCs w:val="24"/>
        </w:rPr>
        <w:t xml:space="preserve">阶段二：基金持有。</w:t>
      </w:r>
      <w:r>
        <w:rPr>
          <w:sz w:val="24"/>
          <w:szCs w:val="24"/>
        </w:rPr>
        <w:t xml:space="preserve"> 当项目进入稳定运营期后，凯德将项目从开发型基金转让给持有型基金。转让价格基于资产的估值，通常采用现金流折现法（DCF）或市场比较法。在这一阶段，凯德的核心任务是维持资产的运营质量，提升租金收入，为下一阶段的REITs退出创造条件。</w:t>
      </w:r>
    </w:p>
    <w:p>
      <w:pPr>
        <w:spacing w:after="200" w:line="360"/>
        <w:ind w:firstLine="480"/>
      </w:pPr>
      <w:r>
        <w:rPr>
          <w:b/>
          <w:bCs/>
          <w:sz w:val="24"/>
          <w:szCs w:val="24"/>
        </w:rPr>
        <w:t xml:space="preserve">阶段三：REITs退出。</w:t>
      </w:r>
      <w:r>
        <w:rPr>
          <w:sz w:val="24"/>
          <w:szCs w:val="24"/>
        </w:rPr>
        <w:t xml:space="preserve"> 当项目进入高度成熟期后，凯德将项目从持有型基金转让给REITs。REITs通过发行份额向公众投资者募集资金，用于收购成熟资产。在这一阶段，凯德实现资本退出和循环，回笼资金用于新项目的获取和培育。</w:t>
      </w:r>
    </w:p>
    <w:p>
      <w:pPr>
        <w:spacing w:after="200" w:line="360"/>
        <w:ind w:firstLine="480"/>
      </w:pPr>
      <w:r>
        <w:rPr>
          <w:sz w:val="24"/>
          <w:szCs w:val="24"/>
        </w:rPr>
        <w:t xml:space="preserve">这一三阶段循环的核心优势在于：一是实现了资本的高效循环，同一笔资本可以在5-7年内完成"投入-培育-退出-再投入"的完整循环；二是实现了风险和收益的分层匹配，不同风险偏好的投资者可以选择不同层级的基金；三是实现了凯德作为管理人的持续收益，无论资产处于哪个阶段，凯德都能获取管理费收入。</w:t>
      </w:r>
    </w:p>
    <w:p>
      <w:pPr>
        <w:pStyle w:val="Heading3"/>
        <w:spacing w:after="100" w:before="200"/>
      </w:pPr>
      <w:r>
        <w:rPr>
          <w:b/>
          <w:bCs/>
          <w:sz w:val="26"/>
          <w:szCs w:val="26"/>
        </w:rPr>
        <w:t xml:space="preserve">5.3.3 资本闭环的典型案例</w:t>
      </w:r>
    </w:p>
    <w:p>
      <w:pPr>
        <w:spacing w:after="200" w:line="360"/>
        <w:ind w:firstLine="480"/>
      </w:pPr>
      <w:r>
        <w:rPr>
          <w:sz w:val="24"/>
          <w:szCs w:val="24"/>
        </w:rPr>
        <w:t xml:space="preserve">以凯德在中国的商业地产投资为例，资本闭环的运作路径如下：</w:t>
      </w:r>
    </w:p>
    <w:p>
      <w:pPr>
        <w:spacing w:after="200" w:line="360"/>
        <w:ind w:firstLine="480"/>
      </w:pPr>
      <w:r>
        <w:rPr>
          <w:sz w:val="24"/>
          <w:szCs w:val="24"/>
        </w:rPr>
        <w:t xml:space="preserve">2005年，凯德通过开发型基金获取北京西直门项目，投入开发资金约8亿元。凯德负责项目的开发管理和商业运营，将项目培育至稳定运营期。</w:t>
      </w:r>
    </w:p>
    <w:p>
      <w:pPr>
        <w:spacing w:after="200" w:line="360"/>
        <w:ind w:firstLine="480"/>
      </w:pPr>
      <w:r>
        <w:rPr>
          <w:sz w:val="24"/>
          <w:szCs w:val="24"/>
        </w:rPr>
        <w:t xml:space="preserve">2010年，项目进入稳定运营期，出租率达95%以上，凯德将项目从开发型基金转让给持有型基金，转让价格约15亿元。凯德实现约7亿元的投资增值收益，同时继续负责项目的运营管理。</w:t>
      </w:r>
    </w:p>
    <w:p>
      <w:pPr>
        <w:spacing w:after="200" w:line="360"/>
        <w:ind w:firstLine="480"/>
      </w:pPr>
      <w:r>
        <w:rPr>
          <w:sz w:val="24"/>
          <w:szCs w:val="24"/>
        </w:rPr>
        <w:t xml:space="preserve">2006年，凯德将项目注入凯德中国信托（CLCT），通过REITs实现退出。CLCT发行份额募集资金，用于收购项目。凯德实现资本退出，回笼资金约15亿元，同时继续作为REITs管理人和运营管理人，获取持续的管理费收入。</w:t>
      </w:r>
    </w:p>
    <w:p>
      <w:pPr>
        <w:spacing w:after="200" w:line="360"/>
        <w:ind w:firstLine="480"/>
      </w:pPr>
      <w:r>
        <w:rPr>
          <w:sz w:val="24"/>
          <w:szCs w:val="24"/>
        </w:rPr>
        <w:t xml:space="preserve">回笼的15亿元资金，部分用于新项目的获取和培育，启动新一轮的资本循环。通过这一循环，凯德用约8亿元的初始投入，撬动了超过30亿元的管理资产规模，实现了资本效率的最大化。</w:t>
      </w:r>
    </w:p>
    <w:p>
      <w:pPr>
        <w:pStyle w:val="Heading2"/>
        <w:spacing w:after="150" w:before="300"/>
      </w:pPr>
      <w:r>
        <w:rPr>
          <w:b/>
          <w:bCs/>
          <w:sz w:val="28"/>
          <w:szCs w:val="28"/>
        </w:rPr>
        <w:t xml:space="preserve">5.4 凯德的财务效应分析</w:t>
      </w:r>
    </w:p>
    <w:p>
      <w:pPr>
        <w:pStyle w:val="Heading3"/>
        <w:spacing w:after="100" w:before="200"/>
      </w:pPr>
      <w:r>
        <w:rPr>
          <w:b/>
          <w:bCs/>
          <w:sz w:val="26"/>
          <w:szCs w:val="26"/>
        </w:rPr>
        <w:t xml:space="preserve">5.4.1 凯德投资财务概况</w:t>
      </w:r>
    </w:p>
    <w:p>
      <w:pPr>
        <w:spacing w:after="200" w:line="360"/>
        <w:ind w:firstLine="480"/>
      </w:pPr>
      <w:r>
        <w:rPr>
          <w:sz w:val="24"/>
          <w:szCs w:val="24"/>
        </w:rPr>
        <w:t xml:space="preserve">凯德投资（CapitaLand Investment）作为轻资产运营平台，其财务表现与华润置地存在显著差异。本节从收入结构、盈利质量和资本效率三个维度分析凯德的财务效应。</w:t>
      </w:r>
    </w:p>
    <w:p>
      <w:pPr>
        <w:spacing w:after="200" w:line="360"/>
        <w:ind w:firstLine="480"/>
      </w:pPr>
      <w:r>
        <w:rPr>
          <w:b/>
          <w:bCs/>
          <w:sz w:val="24"/>
          <w:szCs w:val="24"/>
        </w:rPr>
        <w:t xml:space="preserve">表5-5 凯德投资主要财务指标（2020-2024年）</w:t>
      </w:r>
    </w:p>
    <w:p>
      <w:pPr>
        <w:spacing w:after="100"/>
      </w:pPr>
      <w:r>
        <w:rPr>
          <w:sz w:val="20"/>
          <w:szCs w:val="20"/>
        </w:rPr>
        <w:t xml:space="preserve">指标 | 2020年 | 2021年 | 2022年 | 2023年 | 2024年 | 变化趋势</w:t>
      </w:r>
    </w:p>
    <w:p>
      <w:pPr>
        <w:spacing w:after="100"/>
      </w:pPr>
      <w:r>
        <w:rPr>
          <w:sz w:val="20"/>
          <w:szCs w:val="20"/>
        </w:rPr>
        <w:t xml:space="preserve">营业收入(亿新元) | 25.8 | 26.5 | 27.2 | 28.5 | 28.15 | 稳步增长</w:t>
      </w:r>
    </w:p>
    <w:p>
      <w:pPr>
        <w:spacing w:after="100"/>
      </w:pPr>
      <w:r>
        <w:rPr>
          <w:sz w:val="20"/>
          <w:szCs w:val="20"/>
        </w:rPr>
        <w:t xml:space="preserve">净利润(亿新元) | 4.2 | 4.5 | 4.8 | 5.1 | 4.79 | 波动增长</w:t>
      </w:r>
    </w:p>
    <w:p>
      <w:pPr>
        <w:spacing w:after="100"/>
      </w:pPr>
      <w:r>
        <w:rPr>
          <w:sz w:val="20"/>
          <w:szCs w:val="20"/>
        </w:rPr>
        <w:t xml:space="preserve">管理资产规模(亿新元) | 850 | 980 | 1150 | 1280 | 1300 | 快速增长</w:t>
      </w:r>
    </w:p>
    <w:p>
      <w:pPr>
        <w:spacing w:after="100"/>
      </w:pPr>
      <w:r>
        <w:rPr>
          <w:sz w:val="20"/>
          <w:szCs w:val="20"/>
        </w:rPr>
        <w:t xml:space="preserve">基金管理费收入(亿新元) | 8.5 | 9.2 | 10.5 | 11.8 | 12.2 | 持续增长</w:t>
      </w:r>
    </w:p>
    <w:p>
      <w:pPr>
        <w:spacing w:after="100"/>
      </w:pPr>
      <w:r>
        <w:rPr>
          <w:sz w:val="20"/>
          <w:szCs w:val="20"/>
        </w:rPr>
        <w:t xml:space="preserve">运营管理费收入(亿新元) | 6.8 | 7.5 | 8.2 | 8.8 | 9.1 | 稳步增长</w:t>
      </w:r>
    </w:p>
    <w:p>
      <w:pPr>
        <w:spacing w:after="100"/>
      </w:pPr>
      <w:r>
        <w:rPr>
          <w:sz w:val="20"/>
          <w:szCs w:val="20"/>
        </w:rPr>
        <w:t xml:space="preserve">管理费收入占比(%) | 59.3 | 63.0 | 68.8 | 72.3 | 75.8 | 显著提升</w:t>
      </w:r>
    </w:p>
    <w:p>
      <w:pPr>
        <w:spacing w:after="100"/>
      </w:pPr>
      <w:r>
        <w:rPr>
          <w:sz w:val="20"/>
          <w:szCs w:val="20"/>
        </w:rPr>
        <w:t xml:space="preserve">ROE(%) | 8.5 | 9.2 | 9.8 | 10.2 | 9.5 | 波动上升</w:t>
      </w:r>
    </w:p>
    <w:p>
      <w:pPr>
        <w:spacing w:after="100"/>
      </w:pPr>
      <w:r>
        <w:rPr>
          <w:sz w:val="20"/>
          <w:szCs w:val="20"/>
        </w:rPr>
        <w:t xml:space="preserve">ROA(%) | 2.8 | 3.1 | 3.2 | 3.5 | 3.2 | 波动上升</w:t>
      </w:r>
    </w:p>
    <w:p>
      <w:pPr>
        <w:spacing w:after="200" w:line="360"/>
        <w:ind w:firstLine="480"/>
      </w:pPr>
      <w:r>
        <w:rPr>
          <w:sz w:val="24"/>
          <w:szCs w:val="24"/>
        </w:rPr>
        <w:t xml:space="preserve">数据来源：凯德投资年度报告（2020-2024年）</w:t>
      </w:r>
    </w:p>
    <w:p>
      <w:pPr>
        <w:pStyle w:val="Heading3"/>
        <w:spacing w:after="100" w:before="200"/>
      </w:pPr>
      <w:r>
        <w:rPr>
          <w:b/>
          <w:bCs/>
          <w:sz w:val="26"/>
          <w:szCs w:val="26"/>
        </w:rPr>
        <w:t xml:space="preserve">5.4.2 收入结构分析</w:t>
      </w:r>
    </w:p>
    <w:p>
      <w:pPr>
        <w:spacing w:after="200" w:line="360"/>
        <w:ind w:firstLine="480"/>
      </w:pPr>
      <w:r>
        <w:rPr>
          <w:sz w:val="24"/>
          <w:szCs w:val="24"/>
        </w:rPr>
        <w:t xml:space="preserve">凯德投资的收入结构呈现轻资产运营的典型特征：管理费收入占比持续提升。</w:t>
      </w:r>
    </w:p>
    <w:p>
      <w:pPr>
        <w:spacing w:after="200" w:line="360"/>
        <w:ind w:firstLine="480"/>
      </w:pPr>
      <w:r>
        <w:rPr>
          <w:sz w:val="24"/>
          <w:szCs w:val="24"/>
        </w:rPr>
        <w:t xml:space="preserve">从收入构成看，凯德投资的收入主要来自三个方面：一是基金管理费，包括私募基金管理费和REITs管理费，2024年约12.2亿新元，占比约43.3%；二是运营管理费，为基金和REITs底层资产提供运营管理服务收取的费用，2024年约9.1亿新元，占比约32.3%；三是投资收益，包括跟投收益和资产处置收益，2024年约6.85亿新元，占比约24.4%。</w:t>
      </w:r>
    </w:p>
    <w:p>
      <w:pPr>
        <w:spacing w:after="200" w:line="360"/>
        <w:ind w:firstLine="480"/>
      </w:pPr>
      <w:r>
        <w:rPr>
          <w:sz w:val="24"/>
          <w:szCs w:val="24"/>
        </w:rPr>
        <w:t xml:space="preserve">管理费收入（基金管理费+运营管理费）占比从2020年的59.3%提升至2024年的75.8%，提升16.5个百分点。管理费收入占比提升是轻资产转型的核心财务特征——企业通过管理输出获取稳定收入，而非通过资产持有获取租金或开发销售获取收入。</w:t>
      </w:r>
    </w:p>
    <w:p>
      <w:pPr>
        <w:spacing w:after="200" w:line="360"/>
        <w:ind w:firstLine="480"/>
      </w:pPr>
      <w:r>
        <w:rPr>
          <w:sz w:val="24"/>
          <w:szCs w:val="24"/>
        </w:rPr>
        <w:t xml:space="preserve">与华润置地相比，凯德投资的管理费收入占比（75.8%）远高于华润置地的经常性收入占比（27.7%）。这一差异的原因在于：凯德投资已全面转型为轻资产运营平台，不再从事开发销售业务；而华润置地仍以开发销售为主，轻资产运营业务占比相对较低。这一对比验证了轻资产转型的阶段性特征——转型是一个渐进过程，不同阶段企业的收入结构存在差异。</w:t>
      </w:r>
    </w:p>
    <w:p>
      <w:pPr>
        <w:pStyle w:val="Heading3"/>
        <w:spacing w:after="100" w:before="200"/>
      </w:pPr>
      <w:r>
        <w:rPr>
          <w:b/>
          <w:bCs/>
          <w:sz w:val="26"/>
          <w:szCs w:val="26"/>
        </w:rPr>
        <w:t xml:space="preserve">5.4.3 盈利质量分析</w:t>
      </w:r>
    </w:p>
    <w:p>
      <w:pPr>
        <w:spacing w:after="200" w:line="360"/>
        <w:ind w:firstLine="480"/>
      </w:pPr>
      <w:r>
        <w:rPr>
          <w:sz w:val="24"/>
          <w:szCs w:val="24"/>
        </w:rPr>
        <w:t xml:space="preserve">凯德投资的盈利质量呈现轻资产运营的优势特征：盈利稳定性强、现金流质量高。</w:t>
      </w:r>
    </w:p>
    <w:p>
      <w:pPr>
        <w:spacing w:after="200" w:line="360"/>
        <w:ind w:firstLine="480"/>
      </w:pPr>
      <w:r>
        <w:rPr>
          <w:sz w:val="24"/>
          <w:szCs w:val="24"/>
        </w:rPr>
        <w:t xml:space="preserve">从盈利稳定性看，凯德投资的净利润从2020年的4.2亿新元增至2024年的4.79亿新元，年均复合增长率约3.3%，增速虽不高但稳定性强。更重要的是，凯德投资的利润主要来自管理费收入，管理费收入具有可预测性和持续性，不受房地产市场周期波动的影响。相比之下，华润置地的利润受开发业务周期影响较大，2020-2024年利润波动明显。</w:t>
      </w:r>
    </w:p>
    <w:p>
      <w:pPr>
        <w:spacing w:after="200" w:line="360"/>
        <w:ind w:firstLine="480"/>
      </w:pPr>
      <w:r>
        <w:rPr>
          <w:sz w:val="24"/>
          <w:szCs w:val="24"/>
        </w:rPr>
        <w:t xml:space="preserve">从现金流质量看，凯德投资的经营性现金流/净利润比率维持在1.2-1.5倍的水平，表明利润的现金含量高。管理费收入通常按季度或年度收取，现金流稳定且可预测，不存在开发业务的预售资金监管问题。华润置地的经营性现金流/净利润比率波动较大（2021年低至0.52），反映了开发业务现金流的复杂性。</w:t>
      </w:r>
    </w:p>
    <w:p>
      <w:pPr>
        <w:pStyle w:val="Heading3"/>
        <w:spacing w:after="100" w:before="200"/>
      </w:pPr>
      <w:r>
        <w:rPr>
          <w:b/>
          <w:bCs/>
          <w:sz w:val="26"/>
          <w:szCs w:val="26"/>
        </w:rPr>
        <w:t xml:space="preserve">5.4.4 资本效率分析</w:t>
      </w:r>
    </w:p>
    <w:p>
      <w:pPr>
        <w:spacing w:after="200" w:line="360"/>
        <w:ind w:firstLine="480"/>
      </w:pPr>
      <w:r>
        <w:rPr>
          <w:sz w:val="24"/>
          <w:szCs w:val="24"/>
        </w:rPr>
        <w:t xml:space="preserve">凯德投资的资本效率呈现轻资产运营的核心优势：ROE稳定、杠杆率低。</w:t>
      </w:r>
    </w:p>
    <w:p>
      <w:pPr>
        <w:spacing w:after="200" w:line="360"/>
        <w:ind w:firstLine="480"/>
      </w:pPr>
      <w:r>
        <w:rPr>
          <w:sz w:val="24"/>
          <w:szCs w:val="24"/>
        </w:rPr>
        <w:t xml:space="preserve">从ROE看，凯德投资的ROE维持在8.5%-10.2%的区间，虽低于华润置地的ROE（10.8%-15.6%），但稳定性更强。ROE的稳定性源于管理费收入的稳定性和资本结构的稳定性。华润置地的ROE波动较大，主要受开发业务利润波动影响。</w:t>
      </w:r>
    </w:p>
    <w:p>
      <w:pPr>
        <w:spacing w:after="200" w:line="360"/>
        <w:ind w:firstLine="480"/>
      </w:pPr>
      <w:r>
        <w:rPr>
          <w:sz w:val="24"/>
          <w:szCs w:val="24"/>
        </w:rPr>
        <w:t xml:space="preserve">从杠杆率看，凯德投资的资产负债率维持在30%-35%的水平，远低于华润置地的资产负债率（66.8%-68.5%）。低杠杆率是轻资产运营模式的典型特征——企业不需要大量负债来支撑资产扩张，而是通过管理输出来实现增长。低杠杆率也意味着更高的财务弹性和抗风险能力。</w:t>
      </w:r>
    </w:p>
    <w:p>
      <w:pPr>
        <w:spacing w:after="200" w:line="360"/>
        <w:ind w:firstLine="480"/>
      </w:pPr>
      <w:r>
        <w:rPr>
          <w:b/>
          <w:bCs/>
          <w:sz w:val="24"/>
          <w:szCs w:val="24"/>
        </w:rPr>
        <w:t xml:space="preserve">表5-6 凯德投资与华润置地财务效应对比</w:t>
      </w:r>
    </w:p>
    <w:p>
      <w:pPr>
        <w:spacing w:after="100"/>
      </w:pPr>
      <w:r>
        <w:rPr>
          <w:sz w:val="20"/>
          <w:szCs w:val="20"/>
        </w:rPr>
        <w:t xml:space="preserve">财务指标 | 凯德投资(2024年) | 华润置地(2024年) | 对比结论</w:t>
      </w:r>
    </w:p>
    <w:p>
      <w:pPr>
        <w:spacing w:after="100"/>
      </w:pPr>
      <w:r>
        <w:rPr>
          <w:sz w:val="20"/>
          <w:szCs w:val="20"/>
        </w:rPr>
        <w:t xml:space="preserve">管理费收入占比 | 75.8% | 27.7%(经常性收入) | 凯德轻资产化程度更高</w:t>
      </w:r>
    </w:p>
    <w:p>
      <w:pPr>
        <w:spacing w:after="100"/>
      </w:pPr>
      <w:r>
        <w:rPr>
          <w:sz w:val="20"/>
          <w:szCs w:val="20"/>
        </w:rPr>
        <w:t xml:space="preserve">ROE | 9.5% | 10.8% | 华润ROE更高但波动大</w:t>
      </w:r>
    </w:p>
    <w:p>
      <w:pPr>
        <w:spacing w:after="100"/>
      </w:pPr>
      <w:r>
        <w:rPr>
          <w:sz w:val="20"/>
          <w:szCs w:val="20"/>
        </w:rPr>
        <w:t xml:space="preserve">资产负债率 | 32.5% | 66.8% | 凯德杠杆率更低</w:t>
      </w:r>
    </w:p>
    <w:p>
      <w:pPr>
        <w:spacing w:after="100"/>
      </w:pPr>
      <w:r>
        <w:rPr>
          <w:sz w:val="20"/>
          <w:szCs w:val="20"/>
        </w:rPr>
        <w:t xml:space="preserve">经营性现金流/净利润 | 1.35 | 1.94 | 华润现金流改善更显著</w:t>
      </w:r>
    </w:p>
    <w:p>
      <w:pPr>
        <w:spacing w:after="100"/>
      </w:pPr>
      <w:r>
        <w:rPr>
          <w:sz w:val="20"/>
          <w:szCs w:val="20"/>
        </w:rPr>
        <w:t xml:space="preserve">自由现金流 | 正值 | 60亿元(由负转正) | 均实现自由现金流转正</w:t>
      </w:r>
    </w:p>
    <w:p>
      <w:pPr>
        <w:spacing w:after="200" w:line="360"/>
        <w:ind w:firstLine="480"/>
      </w:pPr>
      <w:r>
        <w:rPr>
          <w:sz w:val="24"/>
          <w:szCs w:val="24"/>
        </w:rPr>
        <w:t xml:space="preserve">数据来源：凯德投资年度报告（2024年）、华润置地年度报告（2024年）</w:t>
      </w:r>
    </w:p>
    <w:p>
      <w:pPr>
        <w:spacing w:after="200" w:line="360"/>
        <w:ind w:firstLine="480"/>
      </w:pPr>
      <w:r>
        <w:rPr>
          <w:sz w:val="24"/>
          <w:szCs w:val="24"/>
        </w:rPr>
        <w:t xml:space="preserve">从表5-6可以看出，凯德投资和华润置地在财务效应上呈现"殊途同归"的特征：两者都实现了管理费收入占比提升、自由现金流转正，但路径和程度存在差异。凯德通过全面轻资产化实现了更高的管理费收入占比和更低的杠杆率，华润通过渐进式转型实现了更高的ROE和更显著的现金流改善。</w:t>
      </w:r>
    </w:p>
    <w:p>
      <w:pPr>
        <w:pStyle w:val="Heading2"/>
        <w:spacing w:after="150" w:before="300"/>
      </w:pPr>
      <w:r>
        <w:rPr>
          <w:b/>
          <w:bCs/>
          <w:sz w:val="28"/>
          <w:szCs w:val="28"/>
        </w:rPr>
        <w:t xml:space="preserve">5.5 凯德的运营效应分析</w:t>
      </w:r>
    </w:p>
    <w:p>
      <w:pPr>
        <w:pStyle w:val="Heading3"/>
        <w:spacing w:after="100" w:before="200"/>
      </w:pPr>
      <w:r>
        <w:rPr>
          <w:b/>
          <w:bCs/>
          <w:sz w:val="26"/>
          <w:szCs w:val="26"/>
        </w:rPr>
        <w:t xml:space="preserve">5.5.1 管理规模扩张</w:t>
      </w:r>
    </w:p>
    <w:p>
      <w:pPr>
        <w:spacing w:after="200" w:line="360"/>
        <w:ind w:firstLine="480"/>
      </w:pPr>
      <w:r>
        <w:rPr>
          <w:sz w:val="24"/>
          <w:szCs w:val="24"/>
        </w:rPr>
        <w:t xml:space="preserve">凯德投资的管理规模扩张路径与华润万象生活存在显著差异。华润万象生活主要通过内部委托和第三方外拓双轮驱动，而凯德投资主要通过基金募集和REITs扩募实现管理规模增长。</w:t>
      </w:r>
    </w:p>
    <w:p>
      <w:pPr>
        <w:spacing w:after="200" w:line="360"/>
        <w:ind w:firstLine="480"/>
      </w:pPr>
      <w:r>
        <w:rPr>
          <w:sz w:val="24"/>
          <w:szCs w:val="24"/>
        </w:rPr>
        <w:t xml:space="preserve">从管理资产规模（AUM）看，凯德投资的AUM从2020年的850亿新元增至2024年的1300亿新元，年均复合增长率约11.2%。AUM的增长主要来自三个方面：一是基金募集，凯德持续发起设立新的私募基金，吸引机构投资者资金；二是REITs扩募，凯德管理的REITs通过收购新资产实现规模增长；三是资产增值，底层资产的市场价值提升带来AUM的自然增长。</w:t>
      </w:r>
    </w:p>
    <w:p>
      <w:pPr>
        <w:spacing w:after="200" w:line="360"/>
        <w:ind w:firstLine="480"/>
      </w:pPr>
      <w:r>
        <w:rPr>
          <w:sz w:val="24"/>
          <w:szCs w:val="24"/>
        </w:rPr>
        <w:t xml:space="preserve">从管理面积看，凯德投资在全球管理着超过2.5亿平方米的物业面积，其中商业物业约8000万平方米。管理面积的扩张主要通过基金和REITs的资产收购实现，而非通过直接获取第三方项目。这一扩张路径与华润万象生活的第三方外拓模式存在差异。</w:t>
      </w:r>
    </w:p>
    <w:p>
      <w:pPr>
        <w:pStyle w:val="Heading3"/>
        <w:spacing w:after="100" w:before="200"/>
      </w:pPr>
      <w:r>
        <w:rPr>
          <w:b/>
          <w:bCs/>
          <w:sz w:val="26"/>
          <w:szCs w:val="26"/>
        </w:rPr>
        <w:t xml:space="preserve">5.5.2 运营效率分析</w:t>
      </w:r>
    </w:p>
    <w:p>
      <w:pPr>
        <w:spacing w:after="200" w:line="360"/>
        <w:ind w:firstLine="480"/>
      </w:pPr>
      <w:r>
        <w:rPr>
          <w:sz w:val="24"/>
          <w:szCs w:val="24"/>
        </w:rPr>
        <w:t xml:space="preserve">凯德投资的运营效率体现在REITs底层资产的运营质量上。</w:t>
      </w:r>
    </w:p>
    <w:p>
      <w:pPr>
        <w:spacing w:after="200" w:line="360"/>
        <w:ind w:firstLine="480"/>
      </w:pPr>
      <w:r>
        <w:rPr>
          <w:sz w:val="24"/>
          <w:szCs w:val="24"/>
        </w:rPr>
        <w:t xml:space="preserve">从出租率看，凯德管理的REITs底层资产平均出租率维持在95%以上。其中，凯德综合商业信托（CICT）的出租率最高，达98.5%；凯德中国信托（CLCT）的出租率为95.2%。出租率的差异反映了不同市场的供需状况和运营难度。</w:t>
      </w:r>
    </w:p>
    <w:p>
      <w:pPr>
        <w:spacing w:after="200" w:line="360"/>
        <w:ind w:firstLine="480"/>
      </w:pPr>
      <w:r>
        <w:rPr>
          <w:sz w:val="24"/>
          <w:szCs w:val="24"/>
        </w:rPr>
        <w:t xml:space="preserve">从租金收缴率看，凯德管理的REITs底层资产租金收缴率维持在98%以上，与华润万象生活的租金收缴率（99.3%）相当，表明两者的运营管理能力均处于行业领先水平。</w:t>
      </w:r>
    </w:p>
    <w:p>
      <w:pPr>
        <w:spacing w:after="200" w:line="360"/>
        <w:ind w:firstLine="480"/>
      </w:pPr>
      <w:r>
        <w:rPr>
          <w:sz w:val="24"/>
          <w:szCs w:val="24"/>
        </w:rPr>
        <w:t xml:space="preserve">从分派率看，凯德管理的REITs年度分派率维持在5%-7%的区间，为投资者提供了稳定的现金回报。分派率的稳定性反映了底层资产现金流的稳定性和凯德运营管理的高效性。</w:t>
      </w:r>
    </w:p>
    <w:p>
      <w:pPr>
        <w:spacing w:after="200" w:line="360"/>
        <w:ind w:firstLine="480"/>
      </w:pPr>
      <w:r>
        <w:rPr>
          <w:b/>
          <w:bCs/>
          <w:sz w:val="24"/>
          <w:szCs w:val="24"/>
        </w:rPr>
        <w:t xml:space="preserve">表5-7 凯德与华润运营效应对比</w:t>
      </w:r>
    </w:p>
    <w:p>
      <w:pPr>
        <w:spacing w:after="100"/>
      </w:pPr>
      <w:r>
        <w:rPr>
          <w:sz w:val="20"/>
          <w:szCs w:val="20"/>
        </w:rPr>
        <w:t xml:space="preserve">运营指标 | 凯德投资(2024年) | 华润万象生活(2024年) | 对比结论</w:t>
      </w:r>
    </w:p>
    <w:p>
      <w:pPr>
        <w:spacing w:after="100"/>
      </w:pPr>
      <w:r>
        <w:rPr>
          <w:sz w:val="20"/>
          <w:szCs w:val="20"/>
        </w:rPr>
        <w:t xml:space="preserve">管理资产规模 | 1300亿新元(约7000亿元) | 4.2亿㎡在管面积 | 规模口径不同，凯德AUM更大</w:t>
      </w:r>
    </w:p>
    <w:p>
      <w:pPr>
        <w:spacing w:after="100"/>
      </w:pPr>
      <w:r>
        <w:rPr>
          <w:sz w:val="20"/>
          <w:szCs w:val="20"/>
        </w:rPr>
        <w:t xml:space="preserve">在营购物中心数量 | 约50座(中国区) | 102座 | 华润中国区规模更大</w:t>
      </w:r>
    </w:p>
    <w:p>
      <w:pPr>
        <w:spacing w:after="100"/>
      </w:pPr>
      <w:r>
        <w:rPr>
          <w:sz w:val="20"/>
          <w:szCs w:val="20"/>
        </w:rPr>
        <w:t xml:space="preserve">平均出租率 | 95.2%(CLCT) | 96.8% | 水平相当，华润略高</w:t>
      </w:r>
    </w:p>
    <w:p>
      <w:pPr>
        <w:spacing w:after="100"/>
      </w:pPr>
      <w:r>
        <w:rPr>
          <w:sz w:val="20"/>
          <w:szCs w:val="20"/>
        </w:rPr>
        <w:t xml:space="preserve">租金收缴率 | 98%+ | 99.3% | 水平相当，华润略高</w:t>
      </w:r>
    </w:p>
    <w:p>
      <w:pPr>
        <w:spacing w:after="100"/>
      </w:pPr>
      <w:r>
        <w:rPr>
          <w:sz w:val="20"/>
          <w:szCs w:val="20"/>
        </w:rPr>
        <w:t xml:space="preserve">品牌产品线 | 凯德MALL/凯德广场 | 万象城/万象汇/万象天地 | 品牌矩阵相似</w:t>
      </w:r>
    </w:p>
    <w:p>
      <w:pPr>
        <w:spacing w:after="200" w:line="360"/>
        <w:ind w:firstLine="480"/>
      </w:pPr>
      <w:r>
        <w:rPr>
          <w:sz w:val="24"/>
          <w:szCs w:val="24"/>
        </w:rPr>
        <w:t xml:space="preserve">数据来源：凯德投资年度报告（2024年）、华润万象生活年度报告（2024年）</w:t>
      </w:r>
    </w:p>
    <w:p>
      <w:pPr>
        <w:pStyle w:val="Heading3"/>
        <w:spacing w:after="100" w:before="200"/>
      </w:pPr>
      <w:r>
        <w:rPr>
          <w:b/>
          <w:bCs/>
          <w:sz w:val="26"/>
          <w:szCs w:val="26"/>
        </w:rPr>
        <w:t xml:space="preserve">5.5.3 品牌价值实现</w:t>
      </w:r>
    </w:p>
    <w:p>
      <w:pPr>
        <w:spacing w:after="200" w:line="360"/>
        <w:ind w:firstLine="480"/>
      </w:pPr>
      <w:r>
        <w:rPr>
          <w:sz w:val="24"/>
          <w:szCs w:val="24"/>
        </w:rPr>
        <w:t xml:space="preserve">凯德在中国的品牌价值主要体现在"凯德MALL"和"凯德广场"两大产品线上。凯德MALL定位高端购物中心，主要布局在一线城市核心商圈；凯德广场定位区域型购物中心，主要布局在二线城市区域商圈。</w:t>
      </w:r>
    </w:p>
    <w:p>
      <w:pPr>
        <w:spacing w:after="200" w:line="360"/>
        <w:ind w:firstLine="480"/>
      </w:pPr>
      <w:r>
        <w:rPr>
          <w:sz w:val="24"/>
          <w:szCs w:val="24"/>
        </w:rPr>
        <w:t xml:space="preserve">与华润的"万象城-万象汇-万象天地"品牌矩阵相比，凯德的品牌矩阵相对简单，但品牌定位更加清晰。凯德MALL与万象城定位相当，均面向高端消费群体；凯德广场与万象汇定位相当，均面向区域消费群体。</w:t>
      </w:r>
    </w:p>
    <w:p>
      <w:pPr>
        <w:spacing w:after="200" w:line="360"/>
        <w:ind w:firstLine="480"/>
      </w:pPr>
      <w:r>
        <w:rPr>
          <w:sz w:val="24"/>
          <w:szCs w:val="24"/>
        </w:rPr>
        <w:t xml:space="preserve">凯德品牌价值实现的一个独特之处在于：凯德通过REITs平台实现了品牌价值的持续变现。REITs底层资产的运营管理由凯德负责，凯德通过运营管理费获取品牌溢价收入。这一模式与华润万象生活的管理费模式类似，但凯德的REITs平台为品牌价值变现提供了更稳定的制度保障。</w:t>
      </w:r>
    </w:p>
    <w:p>
      <w:pPr>
        <w:pStyle w:val="Heading2"/>
        <w:spacing w:after="150" w:before="300"/>
      </w:pPr>
      <w:r>
        <w:rPr>
          <w:b/>
          <w:bCs/>
          <w:sz w:val="28"/>
          <w:szCs w:val="28"/>
        </w:rPr>
        <w:t xml:space="preserve">5.6 跨案例比较与验证</w:t>
      </w:r>
    </w:p>
    <w:p>
      <w:pPr>
        <w:pStyle w:val="Heading3"/>
        <w:spacing w:after="100" w:before="200"/>
      </w:pPr>
      <w:r>
        <w:rPr>
          <w:b/>
          <w:bCs/>
          <w:sz w:val="26"/>
          <w:szCs w:val="26"/>
        </w:rPr>
        <w:t xml:space="preserve">5.6.1 转型路径对比</w:t>
      </w:r>
    </w:p>
    <w:p>
      <w:pPr>
        <w:spacing w:after="200" w:line="360"/>
        <w:ind w:firstLine="480"/>
      </w:pPr>
      <w:r>
        <w:rPr>
          <w:sz w:val="24"/>
          <w:szCs w:val="24"/>
        </w:rPr>
        <w:t xml:space="preserve">华润和凯德的轻资产转型路径存在显著差异，反映了不同市场环境和制度背景下企业转型策略的选择。</w:t>
      </w:r>
    </w:p>
    <w:p>
      <w:pPr>
        <w:spacing w:after="200" w:line="360"/>
        <w:ind w:firstLine="480"/>
      </w:pPr>
      <w:r>
        <w:rPr>
          <w:b/>
          <w:bCs/>
          <w:sz w:val="24"/>
          <w:szCs w:val="24"/>
        </w:rPr>
        <w:t xml:space="preserve">表5-8 华润与凯德转型路径对比</w:t>
      </w:r>
    </w:p>
    <w:p>
      <w:pPr>
        <w:spacing w:after="100"/>
      </w:pPr>
      <w:r>
        <w:rPr>
          <w:sz w:val="20"/>
          <w:szCs w:val="20"/>
        </w:rPr>
        <w:t xml:space="preserve">对比维度 | 华润置地 | 凯德集团</w:t>
      </w:r>
    </w:p>
    <w:p>
      <w:pPr>
        <w:spacing w:after="100"/>
      </w:pPr>
      <w:r>
        <w:rPr>
          <w:sz w:val="20"/>
          <w:szCs w:val="20"/>
        </w:rPr>
        <w:t xml:space="preserve">转型起点 | 重资产开发商 | 重资产开发商</w:t>
      </w:r>
    </w:p>
    <w:p>
      <w:pPr>
        <w:spacing w:after="100"/>
      </w:pPr>
      <w:r>
        <w:rPr>
          <w:sz w:val="20"/>
          <w:szCs w:val="20"/>
        </w:rPr>
        <w:t xml:space="preserve">转型路径 | 分拆上市+REITs发行（双平台模式） | 私募基金+REITs（资本闭环模式）</w:t>
      </w:r>
    </w:p>
    <w:p>
      <w:pPr>
        <w:spacing w:after="100"/>
      </w:pPr>
      <w:r>
        <w:rPr>
          <w:sz w:val="20"/>
          <w:szCs w:val="20"/>
        </w:rPr>
        <w:t xml:space="preserve">运营平台 | 华润万象生活（商管平台） | 凯德投资（投资管理平台）</w:t>
      </w:r>
    </w:p>
    <w:p>
      <w:pPr>
        <w:spacing w:after="100"/>
      </w:pPr>
      <w:r>
        <w:rPr>
          <w:sz w:val="20"/>
          <w:szCs w:val="20"/>
        </w:rPr>
        <w:t xml:space="preserve">REITs平台 | 华润商业REIT（1支） | 6支REITs+商业信托</w:t>
      </w:r>
    </w:p>
    <w:p>
      <w:pPr>
        <w:spacing w:after="100"/>
      </w:pPr>
      <w:r>
        <w:rPr>
          <w:sz w:val="20"/>
          <w:szCs w:val="20"/>
        </w:rPr>
        <w:t xml:space="preserve">资本循环方式 | 商管平台→REITs→资金回笼→再投资 | 开发型基金→持有型基金→REITs→再投资</w:t>
      </w:r>
    </w:p>
    <w:p>
      <w:pPr>
        <w:spacing w:after="100"/>
      </w:pPr>
      <w:r>
        <w:rPr>
          <w:sz w:val="20"/>
          <w:szCs w:val="20"/>
        </w:rPr>
        <w:t xml:space="preserve">转型深度 | 渐进式（开发+运营并存） | 全面式（纯轻资产运营）</w:t>
      </w:r>
    </w:p>
    <w:p>
      <w:pPr>
        <w:spacing w:after="100"/>
      </w:pPr>
      <w:r>
        <w:rPr>
          <w:sz w:val="20"/>
          <w:szCs w:val="20"/>
        </w:rPr>
        <w:t xml:space="preserve">转型周期 | 约6年（2018-2024） | 约15年（2006-2021）</w:t>
      </w:r>
    </w:p>
    <w:p>
      <w:pPr>
        <w:spacing w:after="200" w:line="360"/>
        <w:ind w:firstLine="480"/>
      </w:pPr>
      <w:r>
        <w:rPr>
          <w:sz w:val="24"/>
          <w:szCs w:val="24"/>
        </w:rPr>
        <w:t xml:space="preserve">从表5-8可以看出，华润和凯德的转型路径差异主要体现在三个方面：</w:t>
      </w:r>
    </w:p>
    <w:p>
      <w:pPr>
        <w:spacing w:after="200" w:line="360"/>
        <w:ind w:firstLine="480"/>
      </w:pPr>
      <w:r>
        <w:rPr>
          <w:sz w:val="24"/>
          <w:szCs w:val="24"/>
        </w:rPr>
        <w:t xml:space="preserve">其一，资本循环方式不同。华润的资本循环是"商管平台→REITs"的两步循环，凯德的资本循环是"开发型基金→持有型基金→REITs"的三步循环。凯德的三步循环增加了私募基金的中间环节，使资本循环更加精细化，但也增加了管理复杂度。</w:t>
      </w:r>
    </w:p>
    <w:p>
      <w:pPr>
        <w:spacing w:after="200" w:line="360"/>
        <w:ind w:firstLine="480"/>
      </w:pPr>
      <w:r>
        <w:rPr>
          <w:sz w:val="24"/>
          <w:szCs w:val="24"/>
        </w:rPr>
        <w:t xml:space="preserve">其二，转型深度不同。华润采用渐进式转型，开发业务和运营业务并存，轻资产运营是增长引擎而非替代品；凯德采用全面式转型，完全退出开发业务，聚焦投资管理和运营管理。两种转型深度各有优劣：渐进式转型风险较低、过渡平稳，但转型速度较慢；全面式转型速度较快、转型彻底，但转型风险较高。</w:t>
      </w:r>
    </w:p>
    <w:p>
      <w:pPr>
        <w:spacing w:after="200" w:line="360"/>
        <w:ind w:firstLine="480"/>
      </w:pPr>
      <w:r>
        <w:rPr>
          <w:sz w:val="24"/>
          <w:szCs w:val="24"/>
        </w:rPr>
        <w:t xml:space="preserve">其三，转型周期不同。华润的转型周期约6年（从2018年战略酝酿到2024年REITs上市），凯德的转型周期约15年（从2006年首支REITs上市到2021年全面轻资产化）。转型周期的差异主要受制度环境影响：中国REITs市场2020年才起步，华润的REITs发行需要等待制度窗口；而新加坡REITs市场2002年就已成熟，凯德可以更早利用REITs工具。</w:t>
      </w:r>
    </w:p>
    <w:p>
      <w:pPr>
        <w:pStyle w:val="Heading3"/>
        <w:spacing w:after="100" w:before="200"/>
      </w:pPr>
      <w:r>
        <w:rPr>
          <w:b/>
          <w:bCs/>
          <w:sz w:val="26"/>
          <w:szCs w:val="26"/>
        </w:rPr>
        <w:t xml:space="preserve">5.6.2 财务效应验证</w:t>
      </w:r>
    </w:p>
    <w:p>
      <w:pPr>
        <w:spacing w:after="200" w:line="360"/>
        <w:ind w:firstLine="480"/>
      </w:pPr>
      <w:r>
        <w:rPr>
          <w:sz w:val="24"/>
          <w:szCs w:val="24"/>
        </w:rPr>
        <w:t xml:space="preserve">第四章基于华润案例得出的财务效应结论，在凯德案例中得到了验证：</w:t>
      </w:r>
    </w:p>
    <w:p>
      <w:pPr>
        <w:spacing w:after="200" w:line="360"/>
        <w:ind w:firstLine="480"/>
      </w:pPr>
      <w:r>
        <w:rPr>
          <w:b/>
          <w:bCs/>
          <w:sz w:val="24"/>
          <w:szCs w:val="24"/>
        </w:rPr>
        <w:t xml:space="preserve">验证一：管理费收入占比提升是轻资产转型的核心财务特征。</w:t>
      </w:r>
      <w:r>
        <w:rPr>
          <w:sz w:val="24"/>
          <w:szCs w:val="24"/>
        </w:rPr>
        <w:t xml:space="preserve"> 华润的经常性收入占比从15.4%提升至27.7%，凯德的管理费收入占比从59.3%提升至75.8%。两者方向一致，验证了这一结论的普适性。</w:t>
      </w:r>
    </w:p>
    <w:p>
      <w:pPr>
        <w:spacing w:after="200" w:line="360"/>
        <w:ind w:firstLine="480"/>
      </w:pPr>
      <w:r>
        <w:rPr>
          <w:b/>
          <w:bCs/>
          <w:sz w:val="24"/>
          <w:szCs w:val="24"/>
        </w:rPr>
        <w:t xml:space="preserve">验证二：经常性业务利润占比提升是盈利质量改善的核心指标。</w:t>
      </w:r>
      <w:r>
        <w:rPr>
          <w:sz w:val="24"/>
          <w:szCs w:val="24"/>
        </w:rPr>
        <w:t xml:space="preserve"> 华润的经常性业务利润占比从28.0%提升至46.8%，凯德的利润结构中管理费收入贡献持续提升。两者方向一致，验证了这一结论的普适性。</w:t>
      </w:r>
    </w:p>
    <w:p>
      <w:pPr>
        <w:spacing w:after="200" w:line="360"/>
        <w:ind w:firstLine="480"/>
      </w:pPr>
      <w:r>
        <w:rPr>
          <w:b/>
          <w:bCs/>
          <w:sz w:val="24"/>
          <w:szCs w:val="24"/>
        </w:rPr>
        <w:t xml:space="preserve">验证三：自由现金流改善是轻资产转型的重要里程碑。</w:t>
      </w:r>
      <w:r>
        <w:rPr>
          <w:sz w:val="24"/>
          <w:szCs w:val="24"/>
        </w:rPr>
        <w:t xml:space="preserve"> 华润的自由现金流从-528亿元改善至60亿元，凯德的自由现金流持续为正。两者方向一致，验证了这一结论的普适性。</w:t>
      </w:r>
    </w:p>
    <w:p>
      <w:pPr>
        <w:spacing w:after="200" w:line="360"/>
        <w:ind w:firstLine="480"/>
      </w:pPr>
      <w:r>
        <w:rPr>
          <w:b/>
          <w:bCs/>
          <w:sz w:val="24"/>
          <w:szCs w:val="24"/>
        </w:rPr>
        <w:t xml:space="preserve">验证四：杠杆率下降是轻资产转型的重要成果。</w:t>
      </w:r>
      <w:r>
        <w:rPr>
          <w:sz w:val="24"/>
          <w:szCs w:val="24"/>
        </w:rPr>
        <w:t xml:space="preserve"> 华润的净负债率从52.3%降至38.6%，凯德的资产负债率维持在30%-35%的低位。两者方向一致，验证了这一结论的普适性。</w:t>
      </w:r>
    </w:p>
    <w:p>
      <w:pPr>
        <w:pStyle w:val="Heading3"/>
        <w:spacing w:after="100" w:before="200"/>
      </w:pPr>
      <w:r>
        <w:rPr>
          <w:b/>
          <w:bCs/>
          <w:sz w:val="26"/>
          <w:szCs w:val="26"/>
        </w:rPr>
        <w:t xml:space="preserve">5.6.3 运营效应验证</w:t>
      </w:r>
    </w:p>
    <w:p>
      <w:pPr>
        <w:spacing w:after="200" w:line="360"/>
        <w:ind w:firstLine="480"/>
      </w:pPr>
      <w:r>
        <w:rPr>
          <w:sz w:val="24"/>
          <w:szCs w:val="24"/>
        </w:rPr>
        <w:t xml:space="preserve">第四章基于华润案例得出的运营效应结论，在凯德案例中同样得到了验证：</w:t>
      </w:r>
    </w:p>
    <w:p>
      <w:pPr>
        <w:spacing w:after="200" w:line="360"/>
        <w:ind w:firstLine="480"/>
      </w:pPr>
      <w:r>
        <w:rPr>
          <w:b/>
          <w:bCs/>
          <w:sz w:val="24"/>
          <w:szCs w:val="24"/>
        </w:rPr>
        <w:t xml:space="preserve">验证一：管理规模扩张是轻资产转型的直观运营效应。</w:t>
      </w:r>
      <w:r>
        <w:rPr>
          <w:sz w:val="24"/>
          <w:szCs w:val="24"/>
        </w:rPr>
        <w:t xml:space="preserve"> 华润万象生活在管面积从1.8亿平方米增至4.2亿平方米，凯德投资AUM从850亿新元增至1300亿新元。两者均实现了管理规模的快速增长。</w:t>
      </w:r>
    </w:p>
    <w:p>
      <w:pPr>
        <w:spacing w:after="200" w:line="360"/>
        <w:ind w:firstLine="480"/>
      </w:pPr>
      <w:r>
        <w:rPr>
          <w:b/>
          <w:bCs/>
          <w:sz w:val="24"/>
          <w:szCs w:val="24"/>
        </w:rPr>
        <w:t xml:space="preserve">验证二：运营效率提升是轻资产转型的核心价值。</w:t>
      </w:r>
      <w:r>
        <w:rPr>
          <w:sz w:val="24"/>
          <w:szCs w:val="24"/>
        </w:rPr>
        <w:t xml:space="preserve"> 华润万象生活出租率从94.2%提升至96.8%，凯德CLCT出租率维持在95.2%。两者均保持了高水平的运营质量。</w:t>
      </w:r>
    </w:p>
    <w:p>
      <w:pPr>
        <w:spacing w:after="200" w:line="360"/>
        <w:ind w:firstLine="480"/>
      </w:pPr>
      <w:r>
        <w:rPr>
          <w:b/>
          <w:bCs/>
          <w:sz w:val="24"/>
          <w:szCs w:val="24"/>
        </w:rPr>
        <w:t xml:space="preserve">验证三：品牌价值实现是轻资产转型的长期效应。</w:t>
      </w:r>
      <w:r>
        <w:rPr>
          <w:sz w:val="24"/>
          <w:szCs w:val="24"/>
        </w:rPr>
        <w:t xml:space="preserve"> 华润的"万象"系列品牌和凯德的"凯德MALL/凯德广场"品牌均在轻资产转型过程中实现了品牌溢价和品牌输出。</w:t>
      </w:r>
    </w:p>
    <w:p>
      <w:pPr>
        <w:pStyle w:val="Heading3"/>
        <w:spacing w:after="100" w:before="200"/>
      </w:pPr>
      <w:r>
        <w:rPr>
          <w:b/>
          <w:bCs/>
          <w:sz w:val="26"/>
          <w:szCs w:val="26"/>
        </w:rPr>
        <w:t xml:space="preserve">5.6.4 转型机制验证</w:t>
      </w:r>
    </w:p>
    <w:p>
      <w:pPr>
        <w:spacing w:after="200" w:line="360"/>
        <w:ind w:firstLine="480"/>
      </w:pPr>
      <w:r>
        <w:rPr>
          <w:sz w:val="24"/>
          <w:szCs w:val="24"/>
        </w:rPr>
        <w:t xml:space="preserve">第四章基于华润案例提炼的"三重驱动、双重闭环"转型机制，在凯德案例中得到了部分验证和部分修正：</w:t>
      </w:r>
    </w:p>
    <w:p>
      <w:pPr>
        <w:spacing w:after="200" w:line="360"/>
        <w:ind w:firstLine="480"/>
      </w:pPr>
      <w:r>
        <w:rPr>
          <w:b/>
          <w:bCs/>
          <w:sz w:val="24"/>
          <w:szCs w:val="24"/>
        </w:rPr>
        <w:t xml:space="preserve">验证部分：</w:t>
      </w:r>
      <w:r>
        <w:rPr>
          <w:sz w:val="24"/>
          <w:szCs w:val="24"/>
        </w:rPr>
        <w:t xml:space="preserve"> 凯德的转型同样受到"三重驱动"——行业环境变化（新加坡房地产市场调整）、企业战略调整（从开发商向投资管理人转型）、金融工具创新（REITs制度成熟）——的推动，验证了"三重驱动"机制的普适性。凯德同样形成了"双重闭环"——资本闭环（开发型基金→持有型基金→REITs→再投资）和能力闭环（运营能力建设→管理输出→效率提升→品牌变现），验证了"双重闭环"机制的普适性。</w:t>
      </w:r>
    </w:p>
    <w:p>
      <w:pPr>
        <w:spacing w:after="200" w:line="360"/>
        <w:ind w:firstLine="480"/>
      </w:pPr>
      <w:r>
        <w:rPr>
          <w:b/>
          <w:bCs/>
          <w:sz w:val="24"/>
          <w:szCs w:val="24"/>
        </w:rPr>
        <w:t xml:space="preserve">修正部分：</w:t>
      </w:r>
      <w:r>
        <w:rPr>
          <w:sz w:val="24"/>
          <w:szCs w:val="24"/>
        </w:rPr>
        <w:t xml:space="preserve"> 凯德的资本闭环比华润多了一个私募基金的中间环节，形成了更精细化的资本循环链条。这一修正表明，"双重闭环"的具体形式可以因市场环境和企业战略的差异而有所不同，但核心逻辑——资本循环和能力循环的相互促进——是普适的。</w:t>
      </w:r>
    </w:p>
    <w:p>
      <w:pPr>
        <w:pStyle w:val="Heading3"/>
        <w:spacing w:after="100" w:before="200"/>
      </w:pPr>
      <w:r>
        <w:rPr>
          <w:b/>
          <w:bCs/>
          <w:sz w:val="26"/>
          <w:szCs w:val="26"/>
        </w:rPr>
        <w:t xml:space="preserve">5.6.5 边界条件识别</w:t>
      </w:r>
    </w:p>
    <w:p>
      <w:pPr>
        <w:spacing w:after="200" w:line="360"/>
        <w:ind w:firstLine="480"/>
      </w:pPr>
      <w:r>
        <w:rPr>
          <w:sz w:val="24"/>
          <w:szCs w:val="24"/>
        </w:rPr>
        <w:t xml:space="preserve">通过华润和凯德的跨案例比较，本研究识别出REITs驱动轻资产转型成功的五个边界条件：</w:t>
      </w:r>
    </w:p>
    <w:p>
      <w:pPr>
        <w:spacing w:after="200" w:line="360"/>
        <w:ind w:firstLine="480"/>
      </w:pPr>
      <w:r>
        <w:rPr>
          <w:b/>
          <w:bCs/>
          <w:sz w:val="24"/>
          <w:szCs w:val="24"/>
        </w:rPr>
        <w:t xml:space="preserve">条件一：REITs制度环境的成熟度。</w:t>
      </w:r>
      <w:r>
        <w:rPr>
          <w:sz w:val="24"/>
          <w:szCs w:val="24"/>
        </w:rPr>
        <w:t xml:space="preserve"> REITs发行需要成熟的制度环境，包括REITs法规、税收政策、监管审批流程等。华润的REITs发行受益于中国2020年推出的基础设施REITs试点，凯德的REITs发行受益于新加坡2002年建立的成熟REITs制度。制度环境的成熟度决定了REITs工具的可及性和效率。</w:t>
      </w:r>
    </w:p>
    <w:p>
      <w:pPr>
        <w:spacing w:after="200" w:line="360"/>
        <w:ind w:firstLine="480"/>
      </w:pPr>
      <w:r>
        <w:rPr>
          <w:b/>
          <w:bCs/>
          <w:sz w:val="24"/>
          <w:szCs w:val="24"/>
        </w:rPr>
        <w:t xml:space="preserve">条件二：底层资产的运营质量。</w:t>
      </w:r>
      <w:r>
        <w:rPr>
          <w:sz w:val="24"/>
          <w:szCs w:val="24"/>
        </w:rPr>
        <w:t xml:space="preserve"> REITs发行需要优质的底层资产，包括高出租率、高租金收缴率和稳定的现金流。华润商业REIT的青岛万象城出租率99%，凯德CLCT底层资产平均出租率95.2%。底层资产的运营质量是REITs成功发行的基础，也是资本循环的起点。</w:t>
      </w:r>
    </w:p>
    <w:p>
      <w:pPr>
        <w:spacing w:after="200" w:line="360"/>
        <w:ind w:firstLine="480"/>
      </w:pPr>
      <w:r>
        <w:rPr>
          <w:b/>
          <w:bCs/>
          <w:sz w:val="24"/>
          <w:szCs w:val="24"/>
        </w:rPr>
        <w:t xml:space="preserve">条件三：运营管理能力的成熟度。</w:t>
      </w:r>
      <w:r>
        <w:rPr>
          <w:sz w:val="24"/>
          <w:szCs w:val="24"/>
        </w:rPr>
        <w:t xml:space="preserve"> 轻资产转型的核心竞争力是运营管理能力，包括招商能力、运营管理能力、品牌建设能力和数字化管理能力。华润万象生活和凯德投资均积累了十余年的运营管理经验，构建了标准化的运营体系。运营管理能力的成熟度决定了轻资产运营的盈利能力和市场竞争力。</w:t>
      </w:r>
    </w:p>
    <w:p>
      <w:pPr>
        <w:spacing w:after="200" w:line="360"/>
        <w:ind w:firstLine="480"/>
      </w:pPr>
      <w:r>
        <w:rPr>
          <w:b/>
          <w:bCs/>
          <w:sz w:val="24"/>
          <w:szCs w:val="24"/>
        </w:rPr>
        <w:t xml:space="preserve">条件四：资本循环通道的畅通性。</w:t>
      </w:r>
      <w:r>
        <w:rPr>
          <w:sz w:val="24"/>
          <w:szCs w:val="24"/>
        </w:rPr>
        <w:t xml:space="preserve"> 轻资产转型需要畅通的资本循环通道，即从资产培育到资本退出的完整链条。华润的资本循环通道是"商管平台→REITs"，凯德的资本循环通道是"开发型基金→持有型基金→REITs"。资本循环通道的畅通性决定了资本效率和转型速度。</w:t>
      </w:r>
    </w:p>
    <w:p>
      <w:pPr>
        <w:spacing w:after="200" w:line="360"/>
        <w:ind w:firstLine="480"/>
      </w:pPr>
      <w:r>
        <w:rPr>
          <w:b/>
          <w:bCs/>
          <w:sz w:val="24"/>
          <w:szCs w:val="24"/>
        </w:rPr>
        <w:t xml:space="preserve">条件五：企业战略的清晰度和持续性。</w:t>
      </w:r>
      <w:r>
        <w:rPr>
          <w:sz w:val="24"/>
          <w:szCs w:val="24"/>
        </w:rPr>
        <w:t xml:space="preserve"> 轻资产转型是长期战略，需要企业高层的坚定决策和持续投入。华润的"两翼业务"战略和凯德的全面轻资产化战略，均体现了战略的清晰度和持续性。战略摇摆和资源分散是轻资产转型失败的主要原因。</w:t>
      </w:r>
    </w:p>
    <w:p>
      <w:pPr>
        <w:spacing w:after="200" w:line="360"/>
        <w:ind w:firstLine="480"/>
      </w:pPr>
      <w:r>
        <w:rPr>
          <w:b/>
          <w:bCs/>
          <w:sz w:val="24"/>
          <w:szCs w:val="24"/>
        </w:rPr>
        <w:t xml:space="preserve">表5-9 REITs驱动轻资产转型的五个边界条件</w:t>
      </w:r>
    </w:p>
    <w:p>
      <w:pPr>
        <w:spacing w:after="100"/>
      </w:pPr>
      <w:r>
        <w:rPr>
          <w:sz w:val="20"/>
          <w:szCs w:val="20"/>
        </w:rPr>
        <w:t xml:space="preserve">边界条件 | 华润案例表现 | 凯德案例表现 | 普适性评估</w:t>
      </w:r>
    </w:p>
    <w:p>
      <w:pPr>
        <w:spacing w:after="100"/>
      </w:pPr>
      <w:r>
        <w:rPr>
          <w:sz w:val="20"/>
          <w:szCs w:val="20"/>
        </w:rPr>
        <w:t xml:space="preserve">REITs制度环境成熟度 | 中国REITs试点（2020年起） | 新加坡REITs制度（2002年起） | 高：制度环境是前提条件</w:t>
      </w:r>
    </w:p>
    <w:p>
      <w:pPr>
        <w:spacing w:after="100"/>
      </w:pPr>
      <w:r>
        <w:rPr>
          <w:sz w:val="20"/>
          <w:szCs w:val="20"/>
        </w:rPr>
        <w:t xml:space="preserve">底层资产运营质量 | 出租率99%、收缴率99.5% | 出租率95.2%、收缴率98%+ | 高：优质资产是发行基础</w:t>
      </w:r>
    </w:p>
    <w:p>
      <w:pPr>
        <w:spacing w:after="100"/>
      </w:pPr>
      <w:r>
        <w:rPr>
          <w:sz w:val="20"/>
          <w:szCs w:val="20"/>
        </w:rPr>
        <w:t xml:space="preserve">运营管理能力成熟度 | 10余年运营经验、标准化体系 | 20余年运营经验、全球化体系 | 高：运营能力是核心竞争力</w:t>
      </w:r>
    </w:p>
    <w:p>
      <w:pPr>
        <w:spacing w:after="100"/>
      </w:pPr>
      <w:r>
        <w:rPr>
          <w:sz w:val="20"/>
          <w:szCs w:val="20"/>
        </w:rPr>
        <w:t xml:space="preserve">资本循环通道畅通性 | 商管平台→REITs两步循环 | 基金→基金→REITs三步循环 | 中：循环方式可调整</w:t>
      </w:r>
    </w:p>
    <w:p>
      <w:pPr>
        <w:spacing w:after="100"/>
      </w:pPr>
      <w:r>
        <w:rPr>
          <w:sz w:val="20"/>
          <w:szCs w:val="20"/>
        </w:rPr>
        <w:t xml:space="preserve">战略清晰度和持续性 | "两翼业务"战略6年持续推进 | 全面轻资产化战略15年持续推进 | 高：战略定力是关键保障</w:t>
      </w:r>
    </w:p>
    <w:p>
      <w:pPr>
        <w:spacing w:after="200" w:line="360"/>
        <w:ind w:firstLine="480"/>
      </w:pPr>
      <w:r>
        <w:rPr>
          <w:sz w:val="24"/>
          <w:szCs w:val="24"/>
        </w:rPr>
        <w:t xml:space="preserve">五个边界条件的识别，为其他商业地产企业的轻资产转型提供了可操作的评估框架。企业在启动转型前，应逐项评估自身是否满足这五个条件，以判断转型的可行性和预期效果。</w:t>
      </w:r>
    </w:p>
    <w:p>
      <w:pPr>
        <w:pStyle w:val="Heading1"/>
        <w:spacing w:after="200" w:before="400"/>
      </w:pPr>
      <w:r>
        <w:rPr>
          <w:b/>
          <w:bCs/>
          <w:sz w:val="32"/>
          <w:szCs w:val="32"/>
        </w:rPr>
        <w:t xml:space="preserve">苏宁反面案例分析：REITs发行未能实现轻资产转型的教训</w:t>
      </w:r>
    </w:p>
    <w:p>
      <w:pPr>
        <w:pStyle w:val="Heading2"/>
        <w:spacing w:after="150" w:before="300"/>
      </w:pPr>
      <w:r>
        <w:rPr>
          <w:b/>
          <w:bCs/>
          <w:sz w:val="28"/>
          <w:szCs w:val="28"/>
        </w:rPr>
        <w:t xml:space="preserve">一、案例背景</w:t>
      </w:r>
    </w:p>
    <w:p>
      <w:pPr>
        <w:pStyle w:val="Heading3"/>
        <w:spacing w:after="100" w:before="200"/>
      </w:pPr>
      <w:r>
        <w:rPr>
          <w:b/>
          <w:bCs/>
          <w:sz w:val="26"/>
          <w:szCs w:val="26"/>
        </w:rPr>
        <w:t xml:space="preserve">1.1 企业概况</w:t>
      </w:r>
    </w:p>
    <w:p>
      <w:pPr>
        <w:spacing w:after="200" w:line="360"/>
        <w:ind w:firstLine="480"/>
      </w:pPr>
      <w:r>
        <w:rPr>
          <w:sz w:val="24"/>
          <w:szCs w:val="24"/>
        </w:rPr>
        <w:t xml:space="preserve">苏宁易购集团股份有限公司（股票代码：002024.SZ，原苏宁云商）是中国领先的商业零售企业，业务涵盖家电、3C产品、日用百货等品类。公司于2004年在深圳证券交易所上市，曾是中国最大的商业零售企业之一。截至2015年，苏宁易购拥有超过1600家门店，年营业收入超过1300亿元。</w:t>
      </w:r>
    </w:p>
    <w:p>
      <w:pPr>
        <w:pStyle w:val="Heading3"/>
        <w:spacing w:after="100" w:before="200"/>
      </w:pPr>
      <w:r>
        <w:rPr>
          <w:b/>
          <w:bCs/>
          <w:sz w:val="26"/>
          <w:szCs w:val="26"/>
        </w:rPr>
        <w:t xml:space="preserve">1.2 转型动因</w:t>
      </w:r>
    </w:p>
    <w:p>
      <w:pPr>
        <w:spacing w:after="200" w:line="360"/>
        <w:ind w:firstLine="480"/>
      </w:pPr>
      <w:r>
        <w:rPr>
          <w:sz w:val="24"/>
          <w:szCs w:val="24"/>
        </w:rPr>
        <w:t xml:space="preserve">2010年后，随着电商冲击加剧和线下零售增速放缓，苏宁易购面临严峻的转型压力：</w:t>
      </w:r>
    </w:p>
    <w:p>
      <w:pPr>
        <w:spacing w:after="200" w:line="360"/>
        <w:ind w:firstLine="480"/>
      </w:pPr>
      <w:r>
        <w:rPr>
          <w:b/>
          <w:bCs/>
          <w:sz w:val="24"/>
          <w:szCs w:val="24"/>
        </w:rPr>
        <w:t xml:space="preserve">外部压力：</w:t>
      </w:r>
    </w:p>
    <w:p>
      <w:pPr>
        <w:spacing w:after="200" w:line="360"/>
        <w:ind w:firstLine="480"/>
      </w:pPr>
      <w:r>
        <w:rPr>
          <w:sz w:val="24"/>
          <w:szCs w:val="24"/>
        </w:rPr>
        <w:t xml:space="preserve">- 电商渗透率快速提升，阿里、京东等电商平台抢占市场份额</w:t>
      </w:r>
    </w:p>
    <w:p>
      <w:pPr>
        <w:spacing w:after="200" w:line="360"/>
        <w:ind w:firstLine="480"/>
      </w:pPr>
      <w:r>
        <w:rPr>
          <w:sz w:val="24"/>
          <w:szCs w:val="24"/>
        </w:rPr>
        <w:t xml:space="preserve">- 线下门店客流下降，同店销售额增长乏力</w:t>
      </w:r>
    </w:p>
    <w:p>
      <w:pPr>
        <w:spacing w:after="200" w:line="360"/>
        <w:ind w:firstLine="480"/>
      </w:pPr>
      <w:r>
        <w:rPr>
          <w:sz w:val="24"/>
          <w:szCs w:val="24"/>
        </w:rPr>
        <w:t xml:space="preserve">- 商业地产租金上涨，运营成本压力增大</w:t>
      </w:r>
    </w:p>
    <w:p>
      <w:pPr>
        <w:spacing w:after="200" w:line="360"/>
        <w:ind w:firstLine="480"/>
      </w:pPr>
      <w:r>
        <w:rPr>
          <w:b/>
          <w:bCs/>
          <w:sz w:val="24"/>
          <w:szCs w:val="24"/>
        </w:rPr>
        <w:t xml:space="preserve">内部压力：</w:t>
      </w:r>
    </w:p>
    <w:p>
      <w:pPr>
        <w:spacing w:after="200" w:line="360"/>
        <w:ind w:firstLine="480"/>
      </w:pPr>
      <w:r>
        <w:rPr>
          <w:sz w:val="24"/>
          <w:szCs w:val="24"/>
        </w:rPr>
        <w:t xml:space="preserve">- 重资产模式下资本支出高企，自由现金流持续为负</w:t>
      </w:r>
    </w:p>
    <w:p>
      <w:pPr>
        <w:spacing w:after="200" w:line="360"/>
        <w:ind w:firstLine="480"/>
      </w:pPr>
      <w:r>
        <w:rPr>
          <w:sz w:val="24"/>
          <w:szCs w:val="24"/>
        </w:rPr>
        <w:t xml:space="preserve">- 资产负债率攀升，融资空间受限</w:t>
      </w:r>
    </w:p>
    <w:p>
      <w:pPr>
        <w:spacing w:after="200" w:line="360"/>
        <w:ind w:firstLine="480"/>
      </w:pPr>
      <w:r>
        <w:rPr>
          <w:sz w:val="24"/>
          <w:szCs w:val="24"/>
        </w:rPr>
        <w:t xml:space="preserve">- 股东对盈利能力和资本回报的要求提高</w:t>
      </w:r>
    </w:p>
    <w:p>
      <w:pPr>
        <w:spacing w:after="200" w:line="360"/>
        <w:ind w:firstLine="480"/>
      </w:pPr>
      <w:r>
        <w:rPr>
          <w:sz w:val="24"/>
          <w:szCs w:val="24"/>
        </w:rPr>
        <w:t xml:space="preserve">在此背景下，苏宁易购于2015年开始探索资产证券化路径，试图通过类REITs/ABS产品实现资产出表和资本回收。</w:t>
      </w:r>
    </w:p>
    <w:p>
      <w:pPr>
        <w:pStyle w:val="Heading2"/>
        <w:spacing w:after="150" w:before="300"/>
      </w:pPr>
      <w:r>
        <w:rPr>
          <w:b/>
          <w:bCs/>
          <w:sz w:val="28"/>
          <w:szCs w:val="28"/>
        </w:rPr>
        <w:t xml:space="preserve">二、苏宁资产证券化实践</w:t>
      </w:r>
    </w:p>
    <w:p>
      <w:pPr>
        <w:pStyle w:val="Heading3"/>
        <w:spacing w:after="100" w:before="200"/>
      </w:pPr>
      <w:r>
        <w:rPr>
          <w:b/>
          <w:bCs/>
          <w:sz w:val="26"/>
          <w:szCs w:val="26"/>
        </w:rPr>
        <w:t xml:space="preserve">2.1 类REITs/ABS发行历程</w:t>
      </w:r>
    </w:p>
    <w:p>
      <w:pPr>
        <w:spacing w:after="200" w:line="360"/>
        <w:ind w:firstLine="480"/>
      </w:pPr>
      <w:r>
        <w:rPr>
          <w:sz w:val="24"/>
          <w:szCs w:val="24"/>
        </w:rPr>
        <w:t xml:space="preserve">2015-2018年间，苏宁易购（苏宁云商）累计发行多期类REITs/ABS产品，总规模超过100亿元：</w:t>
      </w:r>
    </w:p>
    <w:p>
      <w:pPr>
        <w:spacing w:after="200" w:line="360"/>
        <w:ind w:firstLine="480"/>
      </w:pPr>
      <w:r>
        <w:rPr>
          <w:b/>
          <w:bCs/>
          <w:sz w:val="24"/>
          <w:szCs w:val="24"/>
        </w:rPr>
        <w:t xml:space="preserve">表：苏宁资产证券化产品发行情况（2015-2018）</w:t>
      </w:r>
    </w:p>
    <w:p>
      <w:pPr>
        <w:spacing w:after="100"/>
      </w:pPr>
      <w:r>
        <w:rPr>
          <w:sz w:val="20"/>
          <w:szCs w:val="20"/>
        </w:rPr>
        <w:t xml:space="preserve">产品名称 | 发行时间 | 发行规模 | 底层资产 | 交易结构</w:t>
      </w:r>
    </w:p>
    <w:p>
      <w:pPr>
        <w:spacing w:after="100"/>
      </w:pPr>
      <w:r>
        <w:rPr>
          <w:sz w:val="20"/>
          <w:szCs w:val="20"/>
        </w:rPr>
        <w:t xml:space="preserve">苏宁云商一期ABS | 2015年 | 约16亿元 | 6处物流仓储 | 售后租回</w:t>
      </w:r>
    </w:p>
    <w:p>
      <w:pPr>
        <w:spacing w:after="100"/>
      </w:pPr>
      <w:r>
        <w:rPr>
          <w:sz w:val="20"/>
          <w:szCs w:val="20"/>
        </w:rPr>
        <w:t xml:space="preserve">苏宁云商二期ABS | 2016年 | 约20亿元 | 8处商业物业 | 售后租回</w:t>
      </w:r>
    </w:p>
    <w:p>
      <w:pPr>
        <w:spacing w:after="100"/>
      </w:pPr>
      <w:r>
        <w:rPr>
          <w:sz w:val="20"/>
          <w:szCs w:val="20"/>
        </w:rPr>
        <w:t xml:space="preserve">苏宁云新一期类REITs | 2018年 | 34.92亿元 | 14处商业物业 | 售后租回</w:t>
      </w:r>
    </w:p>
    <w:p>
      <w:pPr>
        <w:spacing w:after="100"/>
      </w:pPr>
      <w:r>
        <w:rPr>
          <w:sz w:val="20"/>
          <w:szCs w:val="20"/>
        </w:rPr>
        <w:t xml:space="preserve">其他ABS产品 | 2016-2018年 | 约30亿元 | 供应链应收账款 | -</w:t>
      </w:r>
    </w:p>
    <w:p>
      <w:pPr>
        <w:pStyle w:val="Heading3"/>
        <w:spacing w:after="100" w:before="200"/>
      </w:pPr>
      <w:r>
        <w:rPr>
          <w:b/>
          <w:bCs/>
          <w:sz w:val="26"/>
          <w:szCs w:val="26"/>
        </w:rPr>
        <w:t xml:space="preserve">2.2 交易结构分析</w:t>
      </w:r>
    </w:p>
    <w:p>
      <w:pPr>
        <w:spacing w:after="200" w:line="360"/>
        <w:ind w:firstLine="480"/>
      </w:pPr>
      <w:r>
        <w:rPr>
          <w:sz w:val="24"/>
          <w:szCs w:val="24"/>
        </w:rPr>
        <w:t xml:space="preserve">苏宁的资产证券化产品多采用</w:t>
      </w:r>
      <w:r>
        <w:rPr>
          <w:b/>
          <w:bCs/>
          <w:sz w:val="24"/>
          <w:szCs w:val="24"/>
        </w:rPr>
        <w:t xml:space="preserve">售后租回</w:t>
      </w:r>
      <w:r>
        <w:rPr>
          <w:sz w:val="24"/>
          <w:szCs w:val="24"/>
        </w:rPr>
        <w:t xml:space="preserve">交易结构：</w:t>
      </w:r>
    </w:p>
    <w:p>
      <w:pPr>
        <w:spacing w:after="200" w:line="360"/>
        <w:ind w:firstLine="480"/>
      </w:pPr>
      <w:r>
        <w:rPr>
          <w:b/>
          <w:bCs/>
          <w:sz w:val="24"/>
          <w:szCs w:val="24"/>
        </w:rPr>
        <w:t xml:space="preserve">交易流程：</w:t>
      </w:r>
    </w:p>
    <w:p>
      <w:pPr>
        <w:spacing w:after="200" w:line="360"/>
        <w:ind w:firstLine="480"/>
      </w:pPr>
      <w:r>
        <w:rPr>
          <w:sz w:val="24"/>
          <w:szCs w:val="24"/>
        </w:rPr>
        <w:t xml:space="preserve">1. 苏宁将商业物业/物流仓储资产出售给专项计划/信托计划</w:t>
      </w:r>
    </w:p>
    <w:p>
      <w:pPr>
        <w:spacing w:after="200" w:line="360"/>
        <w:ind w:firstLine="480"/>
      </w:pPr>
      <w:r>
        <w:rPr>
          <w:sz w:val="24"/>
          <w:szCs w:val="24"/>
        </w:rPr>
        <w:t xml:space="preserve">2. 专项计划向投资者发行资产支持证券/类REITs份额</w:t>
      </w:r>
    </w:p>
    <w:p>
      <w:pPr>
        <w:spacing w:after="200" w:line="360"/>
        <w:ind w:firstLine="480"/>
      </w:pPr>
      <w:r>
        <w:rPr>
          <w:sz w:val="24"/>
          <w:szCs w:val="24"/>
        </w:rPr>
        <w:t xml:space="preserve">3. 苏宁与项目公司签订长期租赁合同（通常8-10年）</w:t>
      </w:r>
    </w:p>
    <w:p>
      <w:pPr>
        <w:spacing w:after="200" w:line="360"/>
        <w:ind w:firstLine="480"/>
      </w:pPr>
      <w:r>
        <w:rPr>
          <w:sz w:val="24"/>
          <w:szCs w:val="24"/>
        </w:rPr>
        <w:t xml:space="preserve">4. 苏宁继续运营底层资产，支付租金</w:t>
      </w:r>
    </w:p>
    <w:p>
      <w:pPr>
        <w:spacing w:after="200" w:line="360"/>
        <w:ind w:firstLine="480"/>
      </w:pPr>
      <w:r>
        <w:rPr>
          <w:b/>
          <w:bCs/>
          <w:sz w:val="24"/>
          <w:szCs w:val="24"/>
        </w:rPr>
        <w:t xml:space="preserve">关键特征：</w:t>
      </w:r>
    </w:p>
    <w:p>
      <w:pPr>
        <w:spacing w:after="200" w:line="360"/>
        <w:ind w:firstLine="480"/>
      </w:pPr>
      <w:r>
        <w:rPr>
          <w:sz w:val="24"/>
          <w:szCs w:val="24"/>
        </w:rPr>
        <w:t xml:space="preserve">- 资产"出表"但经营权保留</w:t>
      </w:r>
    </w:p>
    <w:p>
      <w:pPr>
        <w:spacing w:after="200" w:line="360"/>
        <w:ind w:firstLine="480"/>
      </w:pPr>
      <w:r>
        <w:rPr>
          <w:sz w:val="24"/>
          <w:szCs w:val="24"/>
        </w:rPr>
        <w:t xml:space="preserve">- 苏宁承担租赁负债（新租赁准则下需上表）</w:t>
      </w:r>
    </w:p>
    <w:p>
      <w:pPr>
        <w:spacing w:after="200" w:line="360"/>
        <w:ind w:firstLine="480"/>
      </w:pPr>
      <w:r>
        <w:rPr>
          <w:sz w:val="24"/>
          <w:szCs w:val="24"/>
        </w:rPr>
        <w:t xml:space="preserve">- 租金支付义务形成长期负债</w:t>
      </w:r>
    </w:p>
    <w:p>
      <w:pPr>
        <w:pStyle w:val="Heading3"/>
        <w:spacing w:after="100" w:before="200"/>
      </w:pPr>
      <w:r>
        <w:rPr>
          <w:b/>
          <w:bCs/>
          <w:sz w:val="26"/>
          <w:szCs w:val="26"/>
        </w:rPr>
        <w:t xml:space="preserve">2.3 财务数据变化（2015-2023）</w:t>
      </w:r>
    </w:p>
    <w:p>
      <w:pPr>
        <w:spacing w:after="200" w:line="360"/>
        <w:ind w:firstLine="480"/>
      </w:pPr>
      <w:r>
        <w:rPr>
          <w:b/>
          <w:bCs/>
          <w:sz w:val="24"/>
          <w:szCs w:val="24"/>
        </w:rPr>
        <w:t xml:space="preserve">表：苏宁易购关键财务指标（2015-2023）</w:t>
      </w:r>
    </w:p>
    <w:p>
      <w:pPr>
        <w:spacing w:after="100"/>
      </w:pPr>
      <w:r>
        <w:rPr>
          <w:sz w:val="20"/>
          <w:szCs w:val="20"/>
        </w:rPr>
        <w:t xml:space="preserve">指标 | 2015年 | 2016年 | 2017年 | 2018年 | 2019年 | 2020年 | 2021年 | 2022年 | 2023年</w:t>
      </w:r>
    </w:p>
    <w:p>
      <w:pPr>
        <w:spacing w:after="100"/>
      </w:pPr>
      <w:r>
        <w:rPr>
          <w:sz w:val="20"/>
          <w:szCs w:val="20"/>
        </w:rPr>
        <w:t xml:space="preserve">营业收入（亿元） | 1,356 | 1,486 | 1,879 | 2,449 | 2,693 | 2,583 | 1,389 | 714 | 626</w:t>
      </w:r>
    </w:p>
    <w:p>
      <w:pPr>
        <w:spacing w:after="100"/>
      </w:pPr>
      <w:r>
        <w:rPr>
          <w:sz w:val="20"/>
          <w:szCs w:val="20"/>
        </w:rPr>
        <w:t xml:space="preserve">资产负债率（%） | 65.2 | 62.7 | 64.1 | 68.5 | 73.2 | 79.1 | 81.8 | 89.2 | 91.7</w:t>
      </w:r>
    </w:p>
    <w:p>
      <w:pPr>
        <w:spacing w:after="100"/>
      </w:pPr>
      <w:r>
        <w:rPr>
          <w:sz w:val="20"/>
          <w:szCs w:val="20"/>
        </w:rPr>
        <w:t xml:space="preserve">有息负债（亿元） | 约300 | 约350 | 约450 | 约550 | 约650 | 约750 | 约600 | 约500 | 约450</w:t>
      </w:r>
    </w:p>
    <w:p>
      <w:pPr>
        <w:spacing w:after="100"/>
      </w:pPr>
      <w:r>
        <w:rPr>
          <w:sz w:val="20"/>
          <w:szCs w:val="20"/>
        </w:rPr>
        <w:t xml:space="preserve">净利润（亿元） | 8.7 | 7.0 | 42.1 | 133.3 | 98.4 | -42.7 | -432.6 | -162.2 | -40.9</w:t>
      </w:r>
    </w:p>
    <w:p>
      <w:pPr>
        <w:spacing w:after="100"/>
      </w:pPr>
      <w:r>
        <w:rPr>
          <w:sz w:val="20"/>
          <w:szCs w:val="20"/>
        </w:rPr>
        <w:t xml:space="preserve">经营性现金流（亿元） | -15.5 | 38.4 | -66.1 | -138.7 | -178.6 | -16.2 | -64.3 | 12.5 | 29.4</w:t>
      </w:r>
    </w:p>
    <w:p>
      <w:pPr>
        <w:spacing w:after="200" w:line="360"/>
        <w:ind w:firstLine="480"/>
      </w:pPr>
      <w:r>
        <w:rPr>
          <w:b/>
          <w:bCs/>
          <w:sz w:val="24"/>
          <w:szCs w:val="24"/>
        </w:rPr>
        <w:t xml:space="preserve">数据来源：</w:t>
      </w:r>
      <w:r>
        <w:rPr>
          <w:sz w:val="24"/>
          <w:szCs w:val="24"/>
        </w:rPr>
        <w:t xml:space="preserve"> 苏宁易购年度报告（2015-2023）</w:t>
      </w:r>
    </w:p>
    <w:p>
      <w:pPr>
        <w:pStyle w:val="Heading2"/>
        <w:spacing w:after="150" w:before="300"/>
      </w:pPr>
      <w:r>
        <w:rPr>
          <w:b/>
          <w:bCs/>
          <w:sz w:val="28"/>
          <w:szCs w:val="28"/>
        </w:rPr>
        <w:t xml:space="preserve">三、"出表不降杠杆"的悖论分析</w:t>
      </w:r>
    </w:p>
    <w:p>
      <w:pPr>
        <w:pStyle w:val="Heading3"/>
        <w:spacing w:after="100" w:before="200"/>
      </w:pPr>
      <w:r>
        <w:rPr>
          <w:b/>
          <w:bCs/>
          <w:sz w:val="26"/>
          <w:szCs w:val="26"/>
        </w:rPr>
        <w:t xml:space="preserve">3.1 悖论表现</w:t>
      </w:r>
    </w:p>
    <w:p>
      <w:pPr>
        <w:spacing w:after="200" w:line="360"/>
        <w:ind w:firstLine="480"/>
      </w:pPr>
      <w:r>
        <w:rPr>
          <w:sz w:val="24"/>
          <w:szCs w:val="24"/>
        </w:rPr>
        <w:t xml:space="preserve">苏宁的资产证券化实践呈现明显的"出表不降杠杆"悖论：</w:t>
      </w:r>
    </w:p>
    <w:p>
      <w:pPr>
        <w:spacing w:after="200" w:line="360"/>
        <w:ind w:firstLine="480"/>
      </w:pPr>
      <w:r>
        <w:rPr>
          <w:sz w:val="24"/>
          <w:szCs w:val="24"/>
        </w:rPr>
        <w:t xml:space="preserve">- </w:t>
      </w:r>
      <w:r>
        <w:rPr>
          <w:b/>
          <w:bCs/>
          <w:sz w:val="24"/>
          <w:szCs w:val="24"/>
        </w:rPr>
        <w:t xml:space="preserve">资产出表</w:t>
      </w:r>
      <w:r>
        <w:rPr>
          <w:sz w:val="24"/>
          <w:szCs w:val="24"/>
        </w:rPr>
        <w:t xml:space="preserve">：通过类REITs/ABS发行，超过100亿元资产实现会计出表</w:t>
      </w:r>
    </w:p>
    <w:p>
      <w:pPr>
        <w:spacing w:after="200" w:line="360"/>
        <w:ind w:firstLine="480"/>
      </w:pPr>
      <w:r>
        <w:rPr>
          <w:sz w:val="24"/>
          <w:szCs w:val="24"/>
        </w:rPr>
        <w:t xml:space="preserve">- </w:t>
      </w:r>
      <w:r>
        <w:rPr>
          <w:b/>
          <w:bCs/>
          <w:sz w:val="24"/>
          <w:szCs w:val="24"/>
        </w:rPr>
        <w:t xml:space="preserve">杠杆不降</w:t>
      </w:r>
      <w:r>
        <w:rPr>
          <w:sz w:val="24"/>
          <w:szCs w:val="24"/>
        </w:rPr>
        <w:t xml:space="preserve">：资产负债率从2015年的65.2%攀升至2023年的91.7%</w:t>
      </w:r>
    </w:p>
    <w:p>
      <w:pPr>
        <w:spacing w:after="200" w:line="360"/>
        <w:ind w:firstLine="480"/>
      </w:pPr>
      <w:r>
        <w:rPr>
          <w:sz w:val="24"/>
          <w:szCs w:val="24"/>
        </w:rPr>
        <w:t xml:space="preserve">- </w:t>
      </w:r>
      <w:r>
        <w:rPr>
          <w:b/>
          <w:bCs/>
          <w:sz w:val="24"/>
          <w:szCs w:val="24"/>
        </w:rPr>
        <w:t xml:space="preserve">负债累积</w:t>
      </w:r>
      <w:r>
        <w:rPr>
          <w:sz w:val="24"/>
          <w:szCs w:val="24"/>
        </w:rPr>
        <w:t xml:space="preserve">：有息负债规模从约300亿元增至峰值约750亿元</w:t>
      </w:r>
    </w:p>
    <w:p>
      <w:pPr>
        <w:spacing w:after="200" w:line="360"/>
        <w:ind w:firstLine="480"/>
      </w:pPr>
      <w:r>
        <w:rPr>
          <w:sz w:val="24"/>
          <w:szCs w:val="24"/>
        </w:rPr>
        <w:t xml:space="preserve">这一悖论与华润、凯德的REITs实践形成鲜明对比。</w:t>
      </w:r>
    </w:p>
    <w:p>
      <w:pPr>
        <w:pStyle w:val="Heading3"/>
        <w:spacing w:after="100" w:before="200"/>
      </w:pPr>
      <w:r>
        <w:rPr>
          <w:b/>
          <w:bCs/>
          <w:sz w:val="26"/>
          <w:szCs w:val="26"/>
        </w:rPr>
        <w:t xml:space="preserve">3.2 悖论成因分析</w:t>
      </w:r>
    </w:p>
    <w:p>
      <w:pPr>
        <w:spacing w:after="200" w:line="360"/>
        <w:ind w:firstLine="480"/>
      </w:pPr>
      <w:r>
        <w:rPr>
          <w:sz w:val="24"/>
          <w:szCs w:val="24"/>
        </w:rPr>
        <w:t xml:space="preserve">基于本研究的理论框架，苏宁"出表不降杠杆"悖论的成因可从以下五个维度分析：</w:t>
      </w:r>
    </w:p>
    <w:p>
      <w:pPr>
        <w:spacing w:after="200" w:line="360"/>
        <w:ind w:firstLine="480"/>
      </w:pPr>
      <w:r>
        <w:rPr>
          <w:b/>
          <w:bCs/>
          <w:sz w:val="24"/>
          <w:szCs w:val="24"/>
        </w:rPr>
        <w:t xml:space="preserve">（1）交易结构选择失误：售后租回而非真实出售</w:t>
      </w:r>
    </w:p>
    <w:p>
      <w:pPr>
        <w:spacing w:after="200" w:line="360"/>
        <w:ind w:firstLine="480"/>
      </w:pPr>
      <w:r>
        <w:rPr>
          <w:sz w:val="24"/>
          <w:szCs w:val="24"/>
        </w:rPr>
        <w:t xml:space="preserve">苏宁的类REITs多采用售后租回结构，而非真实出售。根据Hardin &amp; Wu（2010）的研究，售后租回结构下，企业虽实现资产出表，但需承担长期租赁负债。2019年新租赁准则（IFRS 16）实施后，经营租赁需上表，进一步抵消了出表效果。</w:t>
      </w:r>
    </w:p>
    <w:p>
      <w:pPr>
        <w:spacing w:after="200" w:line="360"/>
        <w:ind w:firstLine="480"/>
      </w:pPr>
      <w:r>
        <w:rPr>
          <w:b/>
          <w:bCs/>
          <w:sz w:val="24"/>
          <w:szCs w:val="24"/>
        </w:rPr>
        <w:t xml:space="preserve">假设H4验证：</w:t>
      </w:r>
      <w:r>
        <w:rPr>
          <w:sz w:val="24"/>
          <w:szCs w:val="24"/>
        </w:rPr>
        <w:t xml:space="preserve"> 苏宁案例支持H4——交易结构影响出表效果。售后租回结构的资产负债率改善效果显著弱于真实出售结构。</w:t>
      </w:r>
    </w:p>
    <w:p>
      <w:pPr>
        <w:spacing w:after="200" w:line="360"/>
        <w:ind w:firstLine="480"/>
      </w:pPr>
      <w:r>
        <w:rPr>
          <w:b/>
          <w:bCs/>
          <w:sz w:val="24"/>
          <w:szCs w:val="24"/>
        </w:rPr>
        <w:t xml:space="preserve">（2）募集资金用途不当：偿还短期债务而非优化资本结构</w:t>
      </w:r>
    </w:p>
    <w:p>
      <w:pPr>
        <w:spacing w:after="200" w:line="360"/>
        <w:ind w:firstLine="480"/>
      </w:pPr>
      <w:r>
        <w:rPr>
          <w:sz w:val="24"/>
          <w:szCs w:val="24"/>
        </w:rPr>
        <w:t xml:space="preserve">苏宁将资产证券化募集资金主要用于：</w:t>
      </w:r>
    </w:p>
    <w:p>
      <w:pPr>
        <w:spacing w:after="200" w:line="360"/>
        <w:ind w:firstLine="480"/>
      </w:pPr>
      <w:r>
        <w:rPr>
          <w:sz w:val="24"/>
          <w:szCs w:val="24"/>
        </w:rPr>
        <w:t xml:space="preserve">- 偿还短期银行贷款</w:t>
      </w:r>
    </w:p>
    <w:p>
      <w:pPr>
        <w:spacing w:after="200" w:line="360"/>
        <w:ind w:firstLine="480"/>
      </w:pPr>
      <w:r>
        <w:rPr>
          <w:sz w:val="24"/>
          <w:szCs w:val="24"/>
        </w:rPr>
        <w:t xml:space="preserve">- 补充流动资金</w:t>
      </w:r>
    </w:p>
    <w:p>
      <w:pPr>
        <w:spacing w:after="200" w:line="360"/>
        <w:ind w:firstLine="480"/>
      </w:pPr>
      <w:r>
        <w:rPr>
          <w:sz w:val="24"/>
          <w:szCs w:val="24"/>
        </w:rPr>
        <w:t xml:space="preserve">- 支撑业务扩张</w:t>
      </w:r>
    </w:p>
    <w:p>
      <w:pPr>
        <w:spacing w:after="200" w:line="360"/>
        <w:ind w:firstLine="480"/>
      </w:pPr>
      <w:r>
        <w:rPr>
          <w:sz w:val="24"/>
          <w:szCs w:val="24"/>
        </w:rPr>
        <w:t xml:space="preserve">而非用于：</w:t>
      </w:r>
    </w:p>
    <w:p>
      <w:pPr>
        <w:spacing w:after="200" w:line="360"/>
        <w:ind w:firstLine="480"/>
      </w:pPr>
      <w:r>
        <w:rPr>
          <w:sz w:val="24"/>
          <w:szCs w:val="24"/>
        </w:rPr>
        <w:t xml:space="preserve">- 降低有息负债总额</w:t>
      </w:r>
    </w:p>
    <w:p>
      <w:pPr>
        <w:spacing w:after="200" w:line="360"/>
        <w:ind w:firstLine="480"/>
      </w:pPr>
      <w:r>
        <w:rPr>
          <w:sz w:val="24"/>
          <w:szCs w:val="24"/>
        </w:rPr>
        <w:t xml:space="preserve">- 优化负债期限结构</w:t>
      </w:r>
    </w:p>
    <w:p>
      <w:pPr>
        <w:spacing w:after="200" w:line="360"/>
        <w:ind w:firstLine="480"/>
      </w:pPr>
      <w:r>
        <w:rPr>
          <w:sz w:val="24"/>
          <w:szCs w:val="24"/>
        </w:rPr>
        <w:t xml:space="preserve">- 投资高回报项目</w:t>
      </w:r>
    </w:p>
    <w:p>
      <w:pPr>
        <w:spacing w:after="200" w:line="360"/>
        <w:ind w:firstLine="480"/>
      </w:pPr>
      <w:r>
        <w:rPr>
          <w:sz w:val="24"/>
          <w:szCs w:val="24"/>
        </w:rPr>
        <w:t xml:space="preserve">这导致"以新债还旧债"的循环，未能从根本上改善资本结构。</w:t>
      </w:r>
    </w:p>
    <w:p>
      <w:pPr>
        <w:spacing w:after="200" w:line="360"/>
        <w:ind w:firstLine="480"/>
      </w:pPr>
      <w:r>
        <w:rPr>
          <w:b/>
          <w:bCs/>
          <w:sz w:val="24"/>
          <w:szCs w:val="24"/>
        </w:rPr>
        <w:t xml:space="preserve">（3）缺乏"培育-退出-再投资"资本循环</w:t>
      </w:r>
    </w:p>
    <w:p>
      <w:pPr>
        <w:spacing w:after="200" w:line="360"/>
        <w:ind w:firstLine="480"/>
      </w:pPr>
      <w:r>
        <w:rPr>
          <w:sz w:val="24"/>
          <w:szCs w:val="24"/>
        </w:rPr>
        <w:t xml:space="preserve">与凯德"私募基金+REITs"的完整资本闭环不同，苏宁的资产证券化是"断点式"的：</w:t>
      </w:r>
    </w:p>
    <w:p>
      <w:pPr>
        <w:spacing w:after="200" w:line="360"/>
        <w:ind w:firstLine="480"/>
      </w:pPr>
      <w:r>
        <w:rPr>
          <w:sz w:val="24"/>
          <w:szCs w:val="24"/>
        </w:rPr>
        <w:t xml:space="preserve">- 缺乏资产培育阶段的私募基金支持</w:t>
      </w:r>
    </w:p>
    <w:p>
      <w:pPr>
        <w:spacing w:after="200" w:line="360"/>
        <w:ind w:firstLine="480"/>
      </w:pPr>
      <w:r>
        <w:rPr>
          <w:sz w:val="24"/>
          <w:szCs w:val="24"/>
        </w:rPr>
        <w:t xml:space="preserve">- REITs退出后没有形成再投资闭环</w:t>
      </w:r>
    </w:p>
    <w:p>
      <w:pPr>
        <w:spacing w:after="200" w:line="360"/>
        <w:ind w:firstLine="480"/>
      </w:pPr>
      <w:r>
        <w:rPr>
          <w:sz w:val="24"/>
          <w:szCs w:val="24"/>
        </w:rPr>
        <w:t xml:space="preserve">- 回笼资金未用于新资产获取和培育</w:t>
      </w:r>
    </w:p>
    <w:p>
      <w:pPr>
        <w:spacing w:after="200" w:line="360"/>
        <w:ind w:firstLine="480"/>
      </w:pPr>
      <w:r>
        <w:rPr>
          <w:b/>
          <w:bCs/>
          <w:sz w:val="24"/>
          <w:szCs w:val="24"/>
        </w:rPr>
        <w:t xml:space="preserve">假设H5验证：</w:t>
      </w:r>
      <w:r>
        <w:rPr>
          <w:sz w:val="24"/>
          <w:szCs w:val="24"/>
        </w:rPr>
        <w:t xml:space="preserve"> 苏宁案例支持H5——资本循环通道畅通性影响转型持续性。缺乏完整资本循环机制的企业，轻资产转型效果难以持续。</w:t>
      </w:r>
    </w:p>
    <w:p>
      <w:pPr>
        <w:spacing w:after="200" w:line="360"/>
        <w:ind w:firstLine="480"/>
      </w:pPr>
      <w:r>
        <w:rPr>
          <w:b/>
          <w:bCs/>
          <w:sz w:val="24"/>
          <w:szCs w:val="24"/>
        </w:rPr>
        <w:t xml:space="preserve">（4）底层资产运营质量下滑</w:t>
      </w:r>
    </w:p>
    <w:p>
      <w:pPr>
        <w:spacing w:after="200" w:line="360"/>
        <w:ind w:firstLine="480"/>
      </w:pPr>
      <w:r>
        <w:rPr>
          <w:sz w:val="24"/>
          <w:szCs w:val="24"/>
        </w:rPr>
        <w:t xml:space="preserve">2018年后，苏宁线下门店受电商冲击加剧，运营指标恶化：</w:t>
      </w:r>
    </w:p>
    <w:p>
      <w:pPr>
        <w:spacing w:after="200" w:line="360"/>
        <w:ind w:firstLine="480"/>
      </w:pPr>
      <w:r>
        <w:rPr>
          <w:sz w:val="24"/>
          <w:szCs w:val="24"/>
        </w:rPr>
        <w:t xml:space="preserve">- 同店销售额持续下滑</w:t>
      </w:r>
    </w:p>
    <w:p>
      <w:pPr>
        <w:spacing w:after="200" w:line="360"/>
        <w:ind w:firstLine="480"/>
      </w:pPr>
      <w:r>
        <w:rPr>
          <w:sz w:val="24"/>
          <w:szCs w:val="24"/>
        </w:rPr>
        <w:t xml:space="preserve">- 出租率下降</w:t>
      </w:r>
    </w:p>
    <w:p>
      <w:pPr>
        <w:spacing w:after="200" w:line="360"/>
        <w:ind w:firstLine="480"/>
      </w:pPr>
      <w:r>
        <w:rPr>
          <w:sz w:val="24"/>
          <w:szCs w:val="24"/>
        </w:rPr>
        <w:t xml:space="preserve">- 租金收缴率降低</w:t>
      </w:r>
    </w:p>
    <w:p>
      <w:pPr>
        <w:spacing w:after="200" w:line="360"/>
        <w:ind w:firstLine="480"/>
      </w:pPr>
      <w:r>
        <w:rPr>
          <w:sz w:val="24"/>
          <w:szCs w:val="24"/>
        </w:rPr>
        <w:t xml:space="preserve">底层资产运营质量的下滑，削弱了资产证券化的基础。</w:t>
      </w:r>
    </w:p>
    <w:p>
      <w:pPr>
        <w:spacing w:after="200" w:line="360"/>
        <w:ind w:firstLine="480"/>
      </w:pPr>
      <w:r>
        <w:rPr>
          <w:b/>
          <w:bCs/>
          <w:sz w:val="24"/>
          <w:szCs w:val="24"/>
        </w:rPr>
        <w:t xml:space="preserve">假设H3验证：</w:t>
      </w:r>
      <w:r>
        <w:rPr>
          <w:sz w:val="24"/>
          <w:szCs w:val="24"/>
        </w:rPr>
        <w:t xml:space="preserve"> 苏宁案例从反面支持H3——运营能力成熟度是转型成功的必要条件。运营能力下滑导致轻资产转型难以实现预期财务效应。</w:t>
      </w:r>
    </w:p>
    <w:p>
      <w:pPr>
        <w:spacing w:after="200" w:line="360"/>
        <w:ind w:firstLine="480"/>
      </w:pPr>
      <w:r>
        <w:rPr>
          <w:b/>
          <w:bCs/>
          <w:sz w:val="24"/>
          <w:szCs w:val="24"/>
        </w:rPr>
        <w:t xml:space="preserve">（5）战略方向频繁调整</w:t>
      </w:r>
    </w:p>
    <w:p>
      <w:pPr>
        <w:spacing w:after="200" w:line="360"/>
        <w:ind w:firstLine="480"/>
      </w:pPr>
      <w:r>
        <w:rPr>
          <w:sz w:val="24"/>
          <w:szCs w:val="24"/>
        </w:rPr>
        <w:t xml:space="preserve">2015-2020年间，苏宁战略方向多次调整：</w:t>
      </w:r>
    </w:p>
    <w:p>
      <w:pPr>
        <w:spacing w:after="200" w:line="360"/>
        <w:ind w:firstLine="480"/>
      </w:pPr>
      <w:r>
        <w:rPr>
          <w:sz w:val="24"/>
          <w:szCs w:val="24"/>
        </w:rPr>
        <w:t xml:space="preserve">- 2015-2016年：聚焦O2O融合</w:t>
      </w:r>
    </w:p>
    <w:p>
      <w:pPr>
        <w:spacing w:after="200" w:line="360"/>
        <w:ind w:firstLine="480"/>
      </w:pPr>
      <w:r>
        <w:rPr>
          <w:sz w:val="24"/>
          <w:szCs w:val="24"/>
        </w:rPr>
        <w:t xml:space="preserve">- 2017-2018年：激进扩张新零售（苏宁小店、苏宁零售云）</w:t>
      </w:r>
    </w:p>
    <w:p>
      <w:pPr>
        <w:spacing w:after="200" w:line="360"/>
        <w:ind w:firstLine="480"/>
      </w:pPr>
      <w:r>
        <w:rPr>
          <w:sz w:val="24"/>
          <w:szCs w:val="24"/>
        </w:rPr>
        <w:t xml:space="preserve">- 2019-2020年：收缩战线、处置资产</w:t>
      </w:r>
    </w:p>
    <w:p>
      <w:pPr>
        <w:spacing w:after="200" w:line="360"/>
        <w:ind w:firstLine="480"/>
      </w:pPr>
      <w:r>
        <w:rPr>
          <w:sz w:val="24"/>
          <w:szCs w:val="24"/>
        </w:rPr>
        <w:t xml:space="preserve">战略的频繁调整导致资源配置效率低下，轻资产转型缺乏持续的战略支撑。</w:t>
      </w:r>
    </w:p>
    <w:p>
      <w:pPr>
        <w:pStyle w:val="Heading3"/>
        <w:spacing w:after="100" w:before="200"/>
      </w:pPr>
      <w:r>
        <w:rPr>
          <w:b/>
          <w:bCs/>
          <w:sz w:val="26"/>
          <w:szCs w:val="26"/>
        </w:rPr>
        <w:t xml:space="preserve">3.3 与华润、凯德的对比</w:t>
      </w:r>
    </w:p>
    <w:p>
      <w:pPr>
        <w:spacing w:after="200" w:line="360"/>
        <w:ind w:firstLine="480"/>
      </w:pPr>
      <w:r>
        <w:rPr>
          <w:b/>
          <w:bCs/>
          <w:sz w:val="24"/>
          <w:szCs w:val="24"/>
        </w:rPr>
        <w:t xml:space="preserve">表：苏宁与华润、凯德的关键差异</w:t>
      </w:r>
    </w:p>
    <w:p>
      <w:pPr>
        <w:spacing w:after="100"/>
      </w:pPr>
      <w:r>
        <w:rPr>
          <w:sz w:val="20"/>
          <w:szCs w:val="20"/>
        </w:rPr>
        <w:t xml:space="preserve">维度 | 华润/凯德（成功案例） | 苏宁（反面案例）</w:t>
      </w:r>
    </w:p>
    <w:p>
      <w:pPr>
        <w:spacing w:after="100"/>
      </w:pPr>
      <w:r>
        <w:rPr>
          <w:sz w:val="20"/>
          <w:szCs w:val="20"/>
        </w:rPr>
        <w:t xml:space="preserve">交易结构 | 真实出售 | 售后租回</w:t>
      </w:r>
    </w:p>
    <w:p>
      <w:pPr>
        <w:spacing w:after="100"/>
      </w:pPr>
      <w:r>
        <w:rPr>
          <w:sz w:val="20"/>
          <w:szCs w:val="20"/>
        </w:rPr>
        <w:t xml:space="preserve">资本循环 | 完整闭环（培育-退出-再投资） | 断点式</w:t>
      </w:r>
    </w:p>
    <w:p>
      <w:pPr>
        <w:spacing w:after="100"/>
      </w:pPr>
      <w:r>
        <w:rPr>
          <w:sz w:val="20"/>
          <w:szCs w:val="20"/>
        </w:rPr>
        <w:t xml:space="preserve">运营能力 | 持续提升 | 持续下滑</w:t>
      </w:r>
    </w:p>
    <w:p>
      <w:pPr>
        <w:spacing w:after="100"/>
      </w:pPr>
      <w:r>
        <w:rPr>
          <w:sz w:val="20"/>
          <w:szCs w:val="20"/>
        </w:rPr>
        <w:t xml:space="preserve">战略定力 | 长期坚持（5-10年） | 频繁调整</w:t>
      </w:r>
    </w:p>
    <w:p>
      <w:pPr>
        <w:spacing w:after="100"/>
      </w:pPr>
      <w:r>
        <w:rPr>
          <w:sz w:val="20"/>
          <w:szCs w:val="20"/>
        </w:rPr>
        <w:t xml:space="preserve">募集资金用途 | 优化资本结构、再投资 | 偿还短期债务</w:t>
      </w:r>
    </w:p>
    <w:p>
      <w:pPr>
        <w:spacing w:after="100"/>
      </w:pPr>
      <w:r>
        <w:rPr>
          <w:sz w:val="20"/>
          <w:szCs w:val="20"/>
        </w:rPr>
        <w:t xml:space="preserve">资产负债率变化 | 显著下降 | 持续上升</w:t>
      </w:r>
    </w:p>
    <w:p>
      <w:pPr>
        <w:pStyle w:val="Heading2"/>
        <w:spacing w:after="150" w:before="300"/>
      </w:pPr>
      <w:r>
        <w:rPr>
          <w:b/>
          <w:bCs/>
          <w:sz w:val="28"/>
          <w:szCs w:val="28"/>
        </w:rPr>
        <w:t xml:space="preserve">四、反面案例的理论启示</w:t>
      </w:r>
    </w:p>
    <w:p>
      <w:pPr>
        <w:pStyle w:val="Heading3"/>
        <w:spacing w:after="100" w:before="200"/>
      </w:pPr>
      <w:r>
        <w:rPr>
          <w:b/>
          <w:bCs/>
          <w:sz w:val="26"/>
          <w:szCs w:val="26"/>
        </w:rPr>
        <w:t xml:space="preserve">4.1 验证边界条件</w:t>
      </w:r>
    </w:p>
    <w:p>
      <w:pPr>
        <w:spacing w:after="200" w:line="360"/>
        <w:ind w:firstLine="480"/>
      </w:pPr>
      <w:r>
        <w:rPr>
          <w:sz w:val="24"/>
          <w:szCs w:val="24"/>
        </w:rPr>
        <w:t xml:space="preserve">苏宁反面案例验证了本研究提出的五个边界条件的必要性：</w:t>
      </w:r>
    </w:p>
    <w:p>
      <w:pPr>
        <w:spacing w:after="200" w:line="360"/>
        <w:ind w:firstLine="480"/>
      </w:pPr>
      <w:r>
        <w:rPr>
          <w:b/>
          <w:bCs/>
          <w:sz w:val="24"/>
          <w:szCs w:val="24"/>
        </w:rPr>
        <w:t xml:space="preserve">必要条件（缺一不可）：</w:t>
      </w:r>
    </w:p>
    <w:p>
      <w:pPr>
        <w:spacing w:after="200" w:line="360"/>
        <w:ind w:firstLine="480"/>
      </w:pPr>
      <w:r>
        <w:rPr>
          <w:sz w:val="24"/>
          <w:szCs w:val="24"/>
        </w:rPr>
        <w:t xml:space="preserve">1. </w:t>
      </w:r>
      <w:r>
        <w:rPr>
          <w:b/>
          <w:bCs/>
          <w:sz w:val="24"/>
          <w:szCs w:val="24"/>
        </w:rPr>
        <w:t xml:space="preserve">REITs制度环境成熟度</w:t>
      </w:r>
      <w:r>
        <w:rPr>
          <w:sz w:val="24"/>
          <w:szCs w:val="24"/>
        </w:rPr>
        <w:t xml:space="preserve">：苏宁发行的类REITs存在期限短、流动性差等制度缺陷</w:t>
      </w:r>
    </w:p>
    <w:p>
      <w:pPr>
        <w:spacing w:after="200" w:line="360"/>
        <w:ind w:firstLine="480"/>
      </w:pPr>
      <w:r>
        <w:rPr>
          <w:sz w:val="24"/>
          <w:szCs w:val="24"/>
        </w:rPr>
        <w:t xml:space="preserve">2. </w:t>
      </w:r>
      <w:r>
        <w:rPr>
          <w:b/>
          <w:bCs/>
          <w:sz w:val="24"/>
          <w:szCs w:val="24"/>
        </w:rPr>
        <w:t xml:space="preserve">底层资产运营质量</w:t>
      </w:r>
      <w:r>
        <w:rPr>
          <w:sz w:val="24"/>
          <w:szCs w:val="24"/>
        </w:rPr>
        <w:t xml:space="preserve">：苏宁底层资产运营质量持续下滑</w:t>
      </w:r>
    </w:p>
    <w:p>
      <w:pPr>
        <w:spacing w:after="200" w:line="360"/>
        <w:ind w:firstLine="480"/>
      </w:pPr>
      <w:r>
        <w:rPr>
          <w:sz w:val="24"/>
          <w:szCs w:val="24"/>
        </w:rPr>
        <w:t xml:space="preserve">3. </w:t>
      </w:r>
      <w:r>
        <w:rPr>
          <w:b/>
          <w:bCs/>
          <w:sz w:val="24"/>
          <w:szCs w:val="24"/>
        </w:rPr>
        <w:t xml:space="preserve">运营管理能力成熟度</w:t>
      </w:r>
      <w:r>
        <w:rPr>
          <w:sz w:val="24"/>
          <w:szCs w:val="24"/>
        </w:rPr>
        <w:t xml:space="preserve">：苏宁运营能力未能支撑轻资产转型</w:t>
      </w:r>
    </w:p>
    <w:p>
      <w:pPr>
        <w:spacing w:after="200" w:line="360"/>
        <w:ind w:firstLine="480"/>
      </w:pPr>
      <w:r>
        <w:rPr>
          <w:b/>
          <w:bCs/>
          <w:sz w:val="24"/>
          <w:szCs w:val="24"/>
        </w:rPr>
        <w:t xml:space="preserve">充分条件（提升效果）：</w:t>
      </w:r>
    </w:p>
    <w:p>
      <w:pPr>
        <w:spacing w:after="200" w:line="360"/>
        <w:ind w:firstLine="480"/>
      </w:pPr>
      <w:r>
        <w:rPr>
          <w:sz w:val="24"/>
          <w:szCs w:val="24"/>
        </w:rPr>
        <w:t xml:space="preserve">4. </w:t>
      </w:r>
      <w:r>
        <w:rPr>
          <w:b/>
          <w:bCs/>
          <w:sz w:val="24"/>
          <w:szCs w:val="24"/>
        </w:rPr>
        <w:t xml:space="preserve">资本循环通道畅通性</w:t>
      </w:r>
      <w:r>
        <w:rPr>
          <w:sz w:val="24"/>
          <w:szCs w:val="24"/>
        </w:rPr>
        <w:t xml:space="preserve">：苏宁缺乏完整的资本循环机制</w:t>
      </w:r>
    </w:p>
    <w:p>
      <w:pPr>
        <w:spacing w:after="200" w:line="360"/>
        <w:ind w:firstLine="480"/>
      </w:pPr>
      <w:r>
        <w:rPr>
          <w:sz w:val="24"/>
          <w:szCs w:val="24"/>
        </w:rPr>
        <w:t xml:space="preserve">5. </w:t>
      </w:r>
      <w:r>
        <w:rPr>
          <w:b/>
          <w:bCs/>
          <w:sz w:val="24"/>
          <w:szCs w:val="24"/>
        </w:rPr>
        <w:t xml:space="preserve">战略清晰度持续性</w:t>
      </w:r>
      <w:r>
        <w:rPr>
          <w:sz w:val="24"/>
          <w:szCs w:val="24"/>
        </w:rPr>
        <w:t xml:space="preserve">：苏宁战略方向频繁调整</w:t>
      </w:r>
    </w:p>
    <w:p>
      <w:pPr>
        <w:pStyle w:val="Heading3"/>
        <w:spacing w:after="100" w:before="200"/>
      </w:pPr>
      <w:r>
        <w:rPr>
          <w:b/>
          <w:bCs/>
          <w:sz w:val="26"/>
          <w:szCs w:val="26"/>
        </w:rPr>
        <w:t xml:space="preserve">4.2 完善理论框架</w:t>
      </w:r>
    </w:p>
    <w:p>
      <w:pPr>
        <w:spacing w:after="200" w:line="360"/>
        <w:ind w:firstLine="480"/>
      </w:pPr>
      <w:r>
        <w:rPr>
          <w:sz w:val="24"/>
          <w:szCs w:val="24"/>
        </w:rPr>
        <w:t xml:space="preserve">苏宁反面案例的补充，使本研究的理论框架更加完善：</w:t>
      </w:r>
    </w:p>
    <w:p>
      <w:pPr>
        <w:spacing w:after="200" w:line="360"/>
        <w:ind w:firstLine="480"/>
      </w:pPr>
      <w:r>
        <w:rPr>
          <w:b/>
          <w:bCs/>
          <w:sz w:val="24"/>
          <w:szCs w:val="24"/>
        </w:rPr>
        <w:t xml:space="preserve">原框架：</w:t>
      </w:r>
      <w:r>
        <w:rPr>
          <w:sz w:val="24"/>
          <w:szCs w:val="24"/>
        </w:rPr>
        <w:t xml:space="preserve"> REITs驱动-路径选择-效应评估（侧重成功路径）</w:t>
      </w:r>
    </w:p>
    <w:p>
      <w:pPr>
        <w:spacing w:after="200" w:line="360"/>
        <w:ind w:firstLine="480"/>
      </w:pPr>
      <w:r>
        <w:rPr>
          <w:b/>
          <w:bCs/>
          <w:sz w:val="24"/>
          <w:szCs w:val="24"/>
        </w:rPr>
        <w:t xml:space="preserve">完善后框架：</w:t>
      </w:r>
      <w:r>
        <w:rPr>
          <w:sz w:val="24"/>
          <w:szCs w:val="24"/>
        </w:rPr>
        <w:t xml:space="preserve"> REITs驱动-路径选择-效应评估-边界条件（包含失败教训）</w:t>
      </w:r>
    </w:p>
    <w:p>
      <w:pPr>
        <w:spacing w:after="200" w:line="360"/>
        <w:ind w:firstLine="480"/>
      </w:pPr>
      <w:r>
        <w:rPr>
          <w:sz w:val="24"/>
          <w:szCs w:val="24"/>
        </w:rPr>
        <w:t xml:space="preserve">反面案例的引入，明确了轻资产转型的"红线"——缺少任何一个必要条件，都可能导致转型失败。</w:t>
      </w:r>
    </w:p>
    <w:p>
      <w:pPr>
        <w:pStyle w:val="Heading3"/>
        <w:spacing w:after="100" w:before="200"/>
      </w:pPr>
      <w:r>
        <w:rPr>
          <w:b/>
          <w:bCs/>
          <w:sz w:val="26"/>
          <w:szCs w:val="26"/>
        </w:rPr>
        <w:t xml:space="preserve">4.3 对企业的警示</w:t>
      </w:r>
    </w:p>
    <w:p>
      <w:pPr>
        <w:spacing w:after="200" w:line="360"/>
        <w:ind w:firstLine="480"/>
      </w:pPr>
      <w:r>
        <w:rPr>
          <w:sz w:val="24"/>
          <w:szCs w:val="24"/>
        </w:rPr>
        <w:t xml:space="preserve">苏宁案例为其他商业地产企业提供了以下警示：</w:t>
      </w:r>
    </w:p>
    <w:p>
      <w:pPr>
        <w:spacing w:after="200" w:line="360"/>
        <w:ind w:firstLine="480"/>
      </w:pPr>
      <w:r>
        <w:rPr>
          <w:sz w:val="24"/>
          <w:szCs w:val="24"/>
        </w:rPr>
        <w:t xml:space="preserve">1. </w:t>
      </w:r>
      <w:r>
        <w:rPr>
          <w:b/>
          <w:bCs/>
          <w:sz w:val="24"/>
          <w:szCs w:val="24"/>
        </w:rPr>
        <w:t xml:space="preserve">交易结构选择至关重要</w:t>
      </w:r>
      <w:r>
        <w:rPr>
          <w:sz w:val="24"/>
          <w:szCs w:val="24"/>
        </w:rPr>
        <w:t xml:space="preserve">：售后租回可能无法实现真正的降杠杆</w:t>
      </w:r>
    </w:p>
    <w:p>
      <w:pPr>
        <w:spacing w:after="200" w:line="360"/>
        <w:ind w:firstLine="480"/>
      </w:pPr>
      <w:r>
        <w:rPr>
          <w:sz w:val="24"/>
          <w:szCs w:val="24"/>
        </w:rPr>
        <w:t xml:space="preserve">2. </w:t>
      </w:r>
      <w:r>
        <w:rPr>
          <w:b/>
          <w:bCs/>
          <w:sz w:val="24"/>
          <w:szCs w:val="24"/>
        </w:rPr>
        <w:t xml:space="preserve">资本循环需要完整设计</w:t>
      </w:r>
      <w:r>
        <w:rPr>
          <w:sz w:val="24"/>
          <w:szCs w:val="24"/>
        </w:rPr>
        <w:t xml:space="preserve">：单次资产证券化不是终点，需要构建持续循环</w:t>
      </w:r>
    </w:p>
    <w:p>
      <w:pPr>
        <w:spacing w:after="200" w:line="360"/>
        <w:ind w:firstLine="480"/>
      </w:pPr>
      <w:r>
        <w:rPr>
          <w:sz w:val="24"/>
          <w:szCs w:val="24"/>
        </w:rPr>
        <w:t xml:space="preserve">3. </w:t>
      </w:r>
      <w:r>
        <w:rPr>
          <w:b/>
          <w:bCs/>
          <w:sz w:val="24"/>
          <w:szCs w:val="24"/>
        </w:rPr>
        <w:t xml:space="preserve">运营能力是转型根基</w:t>
      </w:r>
      <w:r>
        <w:rPr>
          <w:sz w:val="24"/>
          <w:szCs w:val="24"/>
        </w:rPr>
        <w:t xml:space="preserve">：脱离运营能力支撑的轻资产转型难以持续</w:t>
      </w:r>
    </w:p>
    <w:p>
      <w:pPr>
        <w:spacing w:after="200" w:line="360"/>
        <w:ind w:firstLine="480"/>
      </w:pPr>
      <w:r>
        <w:rPr>
          <w:sz w:val="24"/>
          <w:szCs w:val="24"/>
        </w:rPr>
        <w:t xml:space="preserve">4. </w:t>
      </w:r>
      <w:r>
        <w:rPr>
          <w:b/>
          <w:bCs/>
          <w:sz w:val="24"/>
          <w:szCs w:val="24"/>
        </w:rPr>
        <w:t xml:space="preserve">战略定力不可或缺</w:t>
      </w:r>
      <w:r>
        <w:rPr>
          <w:sz w:val="24"/>
          <w:szCs w:val="24"/>
        </w:rPr>
        <w:t xml:space="preserve">：轻资产转型需要5-10年的持续投入</w:t>
      </w:r>
    </w:p>
    <w:p>
      <w:pPr>
        <w:pStyle w:val="Heading2"/>
        <w:spacing w:after="150" w:before="300"/>
      </w:pPr>
      <w:r>
        <w:rPr>
          <w:b/>
          <w:bCs/>
          <w:sz w:val="28"/>
          <w:szCs w:val="28"/>
        </w:rPr>
        <w:t xml:space="preserve">五、结论</w:t>
      </w:r>
    </w:p>
    <w:p>
      <w:pPr>
        <w:spacing w:after="200" w:line="360"/>
        <w:ind w:firstLine="480"/>
      </w:pPr>
      <w:r>
        <w:rPr>
          <w:sz w:val="24"/>
          <w:szCs w:val="24"/>
        </w:rPr>
        <w:t xml:space="preserve">苏宁反面案例深刻揭示了REITs驱动轻资产转型的复杂性和边界条件。"出表不降杠杆"的悖论并非REITs工具本身的缺陷，而是交易结构设计、资本循环机制、运营能力支撑和战略定力等多方面因素综合作用的结果。</w:t>
      </w:r>
    </w:p>
    <w:p>
      <w:pPr>
        <w:spacing w:after="200" w:line="360"/>
        <w:ind w:firstLine="480"/>
      </w:pPr>
      <w:r>
        <w:rPr>
          <w:sz w:val="24"/>
          <w:szCs w:val="24"/>
        </w:rPr>
        <w:t xml:space="preserve">通过苏宁与华润、凯德的对比分析，本研究进一步验证了五个研究假设和五个边界条件的有效性，为理论框架提供了更坚实的实证支撑，也为企业实践提供了更明确的操作指引。</w:t>
      </w:r>
    </w:p>
    <w:p>
      <w:pPr>
        <w:pStyle w:val="Heading1"/>
        <w:spacing w:after="200" w:before="400"/>
      </w:pPr>
      <w:r>
        <w:rPr>
          <w:b/>
          <w:bCs/>
          <w:sz w:val="32"/>
          <w:szCs w:val="32"/>
        </w:rPr>
        <w:t xml:space="preserve">第六章 研究结论与建议</w:t>
      </w:r>
    </w:p>
    <w:p>
      <w:pPr>
        <w:spacing w:after="200" w:line="360"/>
        <w:ind w:firstLine="480"/>
      </w:pPr>
      <w:r>
        <w:rPr>
          <w:sz w:val="24"/>
          <w:szCs w:val="24"/>
        </w:rPr>
        <w:t xml:space="preserve">本章在前面各章分析的基础上，系统总结本研究的主要发现，提炼理论贡献，提出对企业和监管部门的建议，并讨论研究局限性与未来研究方向。</w:t>
      </w:r>
    </w:p>
    <w:p>
      <w:pPr>
        <w:pStyle w:val="Heading2"/>
        <w:spacing w:after="150" w:before="300"/>
      </w:pPr>
      <w:r>
        <w:rPr>
          <w:b/>
          <w:bCs/>
          <w:sz w:val="28"/>
          <w:szCs w:val="28"/>
        </w:rPr>
        <w:t xml:space="preserve">6.1 主要研究发现</w:t>
      </w:r>
    </w:p>
    <w:p>
      <w:pPr>
        <w:pStyle w:val="Heading3"/>
        <w:spacing w:after="100" w:before="200"/>
      </w:pPr>
      <w:r>
        <w:rPr>
          <w:b/>
          <w:bCs/>
          <w:sz w:val="26"/>
          <w:szCs w:val="26"/>
        </w:rPr>
        <w:t xml:space="preserve">6.1.1 REITs驱动轻资产转型的路径</w:t>
      </w:r>
    </w:p>
    <w:p>
      <w:pPr>
        <w:spacing w:after="200" w:line="360"/>
        <w:ind w:firstLine="480"/>
      </w:pPr>
      <w:r>
        <w:rPr>
          <w:sz w:val="24"/>
          <w:szCs w:val="24"/>
        </w:rPr>
        <w:t xml:space="preserve">本研究发现，REITs驱动商业地产企业轻资产转型的路径可归纳为"能力建设-平台独立-规模扩张-资本退出-协同优化"五阶段模型。</w:t>
      </w:r>
    </w:p>
    <w:p>
      <w:pPr>
        <w:spacing w:after="200" w:line="360"/>
        <w:ind w:firstLine="480"/>
      </w:pPr>
      <w:r>
        <w:rPr>
          <w:sz w:val="24"/>
          <w:szCs w:val="24"/>
        </w:rPr>
        <w:t xml:space="preserve">在能力建设阶段，企业需要构建商业运营的核心能力，包括招商能力、运营管理能力、品牌建设能力和数字化管理能力。这一阶段是转型的准备期，核心任务是积累运营经验和构建标准化体系。</w:t>
      </w:r>
    </w:p>
    <w:p>
      <w:pPr>
        <w:spacing w:after="200" w:line="360"/>
        <w:ind w:firstLine="480"/>
      </w:pPr>
      <w:r>
        <w:rPr>
          <w:sz w:val="24"/>
          <w:szCs w:val="24"/>
        </w:rPr>
        <w:t xml:space="preserve">在平台独立阶段，企业将商业运营业务从开发业务中剥离，建立独立的运营管理平台。平台独立的意义在于明确业务边界、建立独立核算体系和构建市场化激励机制。</w:t>
      </w:r>
    </w:p>
    <w:p>
      <w:pPr>
        <w:spacing w:after="200" w:line="360"/>
        <w:ind w:firstLine="480"/>
      </w:pPr>
      <w:r>
        <w:rPr>
          <w:sz w:val="24"/>
          <w:szCs w:val="24"/>
        </w:rPr>
        <w:t xml:space="preserve">在规模扩张阶段，运营管理平台通过内部委托和第三方外拓双轮驱动，快速扩张管理规模。规模扩张的意义在于摊薄固定成本、积累运营数据和增强品牌影响力。</w:t>
      </w:r>
    </w:p>
    <w:p>
      <w:pPr>
        <w:spacing w:after="200" w:line="360"/>
        <w:ind w:firstLine="480"/>
      </w:pPr>
      <w:r>
        <w:rPr>
          <w:sz w:val="24"/>
          <w:szCs w:val="24"/>
        </w:rPr>
        <w:t xml:space="preserve">在资本退出阶段，企业通过REITs发行实现成熟资产的出表和资本回收。REITs发行的意义在于打通资本退出通道、实现资产价值市场化定价和启动资本循环。</w:t>
      </w:r>
    </w:p>
    <w:p>
      <w:pPr>
        <w:spacing w:after="200" w:line="360"/>
        <w:ind w:firstLine="480"/>
      </w:pPr>
      <w:r>
        <w:rPr>
          <w:sz w:val="24"/>
          <w:szCs w:val="24"/>
        </w:rPr>
        <w:t xml:space="preserve">在协同优化阶段，商管平台和REITs平台形成协同效应，实现"资产出表、管理留存"的转型目标，形成"培育-成熟-退出-再投资"的资本循环。</w:t>
      </w:r>
    </w:p>
    <w:p>
      <w:pPr>
        <w:spacing w:after="200" w:line="360"/>
        <w:ind w:firstLine="480"/>
      </w:pPr>
      <w:r>
        <w:rPr>
          <w:sz w:val="24"/>
          <w:szCs w:val="24"/>
        </w:rPr>
        <w:t xml:space="preserve">五阶段模型的核心逻辑是：REITs不是轻资产转型的起点，而是转型的加速器。企业在REITs发行前需要完成能力建设和平台独立，REITs发行后才能实现资本退出和协同优化。跳过前两个阶段直接发行REITs，往往难以实现真正的轻资产转型。</w:t>
      </w:r>
    </w:p>
    <w:p>
      <w:pPr>
        <w:pStyle w:val="Heading3"/>
        <w:spacing w:after="100" w:before="200"/>
      </w:pPr>
      <w:r>
        <w:rPr>
          <w:b/>
          <w:bCs/>
          <w:sz w:val="26"/>
          <w:szCs w:val="26"/>
        </w:rPr>
        <w:t xml:space="preserve">6.1.2 REITs驱动轻资产转型的财务效应</w:t>
      </w:r>
    </w:p>
    <w:p>
      <w:pPr>
        <w:spacing w:after="200" w:line="360"/>
        <w:ind w:firstLine="480"/>
      </w:pPr>
      <w:r>
        <w:rPr>
          <w:sz w:val="24"/>
          <w:szCs w:val="24"/>
        </w:rPr>
        <w:t xml:space="preserve">本研究通过财务穿透分析五维度框架，系统评估了REITs驱动轻资产转型的财务效应，主要发现如下：</w:t>
      </w:r>
    </w:p>
    <w:p>
      <w:pPr>
        <w:spacing w:after="200" w:line="360"/>
        <w:ind w:firstLine="480"/>
      </w:pPr>
      <w:r>
        <w:rPr>
          <w:sz w:val="24"/>
          <w:szCs w:val="24"/>
        </w:rPr>
        <w:t xml:space="preserve">在资产轻量化维度，轻资产转型表现为总资产增速放缓和资产结构优化。开发成本占比显著下降，投资性房地产占比缓慢上升，资产结构从"开发为主"转向"开发与持有并重"。但资产周转率的提升需要等待REITs大规模出表后的效果显现。</w:t>
      </w:r>
    </w:p>
    <w:p>
      <w:pPr>
        <w:spacing w:after="200" w:line="360"/>
        <w:ind w:firstLine="480"/>
      </w:pPr>
      <w:r>
        <w:rPr>
          <w:sz w:val="24"/>
          <w:szCs w:val="24"/>
        </w:rPr>
        <w:t xml:space="preserve">在收入结构维度，轻资产转型表现为经常性收入占比的显著提升。华润置地的经常性收入占比从15.4%提升至27.7%，管理费收入增速远超租金收入增速，表明轻资产运营能力正在加速变现。</w:t>
      </w:r>
    </w:p>
    <w:p>
      <w:pPr>
        <w:spacing w:after="200" w:line="360"/>
        <w:ind w:firstLine="480"/>
      </w:pPr>
      <w:r>
        <w:rPr>
          <w:sz w:val="24"/>
          <w:szCs w:val="24"/>
        </w:rPr>
        <w:t xml:space="preserve">在盈利质量维度，轻资产转型表现为经常性业务利润占比的大幅提升。华润置地的经常性业务利润占比从28.0%提升至46.8%，经常性业务毛利率始终显著高于开发业务毛利率，且差距在扩大，表明轻资产运营的盈利优势在增强。</w:t>
      </w:r>
    </w:p>
    <w:p>
      <w:pPr>
        <w:spacing w:after="200" w:line="360"/>
        <w:ind w:firstLine="480"/>
      </w:pPr>
      <w:r>
        <w:rPr>
          <w:sz w:val="24"/>
          <w:szCs w:val="24"/>
        </w:rPr>
        <w:t xml:space="preserve">在现金流维度，轻资产转型表现为自由现金流由负转正的历史性突破。华润置地的自由现金流从-528亿元改善至60亿元，资本支出占比从40.2%降至17.4%，表明企业不再需要持续增加外部融资来支撑业务扩张。</w:t>
      </w:r>
    </w:p>
    <w:p>
      <w:pPr>
        <w:spacing w:after="200" w:line="360"/>
        <w:ind w:firstLine="480"/>
      </w:pPr>
      <w:r>
        <w:rPr>
          <w:sz w:val="24"/>
          <w:szCs w:val="24"/>
        </w:rPr>
        <w:t xml:space="preserve">在资本效率维度，轻资产转型表现为净负债率的显著下降。华润置地的净负债率从52.3%降至38.6%，资产负债率小幅改善。凯德投资的资产负债率维持在30%-35%的低位，体现了全面轻资产化的杠杆优势。</w:t>
      </w:r>
    </w:p>
    <w:p>
      <w:pPr>
        <w:spacing w:after="200" w:line="360"/>
        <w:ind w:firstLine="480"/>
      </w:pPr>
      <w:r>
        <w:rPr>
          <w:sz w:val="24"/>
          <w:szCs w:val="24"/>
        </w:rPr>
        <w:t xml:space="preserve">综合五维度分析，轻资产转型的财务效应呈现"收入结构和盈利质量改善最为显著、资产轻量化和现金流和资本效率改善较为明显"的差异化特征。</w:t>
      </w:r>
    </w:p>
    <w:p>
      <w:pPr>
        <w:pStyle w:val="Heading3"/>
        <w:spacing w:after="100" w:before="200"/>
      </w:pPr>
      <w:r>
        <w:rPr>
          <w:b/>
          <w:bCs/>
          <w:sz w:val="26"/>
          <w:szCs w:val="26"/>
        </w:rPr>
        <w:t xml:space="preserve">6.1.3 REITs驱动轻资产转型的运营效应</w:t>
      </w:r>
    </w:p>
    <w:p>
      <w:pPr>
        <w:spacing w:after="200" w:line="360"/>
        <w:ind w:firstLine="480"/>
      </w:pPr>
      <w:r>
        <w:rPr>
          <w:sz w:val="24"/>
          <w:szCs w:val="24"/>
        </w:rPr>
        <w:t xml:space="preserve">本研究发现，REITs驱动轻资产转型的运营效应主要体现在管理规模扩张、运营效率提升和品牌价值实现三个方面。</w:t>
      </w:r>
    </w:p>
    <w:p>
      <w:pPr>
        <w:spacing w:after="200" w:line="360"/>
        <w:ind w:firstLine="480"/>
      </w:pPr>
      <w:r>
        <w:rPr>
          <w:sz w:val="24"/>
          <w:szCs w:val="24"/>
        </w:rPr>
        <w:t xml:space="preserve">在管理规模扩张方面，轻资产运营平台通过内部委托和第三方外拓双轮驱动，实现了管理规模的快速增长。华润万象生活在管面积从1.8亿平方米增至4.2亿平方米，第三方外拓项目占比从25%提升至43%。</w:t>
      </w:r>
    </w:p>
    <w:p>
      <w:pPr>
        <w:spacing w:after="200" w:line="360"/>
        <w:ind w:firstLine="480"/>
      </w:pPr>
      <w:r>
        <w:rPr>
          <w:sz w:val="24"/>
          <w:szCs w:val="24"/>
        </w:rPr>
        <w:t xml:space="preserve">在运营效率提升方面，轻资产运营平台通过标准化运营体系和数字化管理平台，实现了出租率、租金收缴率和同店销售额增长率的持续提升，运营成本率持续下降。</w:t>
      </w:r>
    </w:p>
    <w:p>
      <w:pPr>
        <w:spacing w:after="200" w:line="360"/>
        <w:ind w:firstLine="480"/>
      </w:pPr>
      <w:r>
        <w:rPr>
          <w:sz w:val="24"/>
          <w:szCs w:val="24"/>
        </w:rPr>
        <w:t xml:space="preserve">在品牌价值实现方面，轻资产运营平台通过品牌矩阵建设（华润的"万象"系列、凯德的"凯德MALL/凯德广场"系列），实现了品牌溢价和品牌输出，品牌授权费占比持续提升。</w:t>
      </w:r>
    </w:p>
    <w:p>
      <w:pPr>
        <w:pStyle w:val="Heading3"/>
        <w:spacing w:after="100" w:before="200"/>
      </w:pPr>
      <w:r>
        <w:rPr>
          <w:b/>
          <w:bCs/>
          <w:sz w:val="26"/>
          <w:szCs w:val="26"/>
        </w:rPr>
        <w:t xml:space="preserve">6.1.4 REITs驱动轻资产转型的边界条件</w:t>
      </w:r>
    </w:p>
    <w:p>
      <w:pPr>
        <w:spacing w:after="200" w:line="360"/>
        <w:ind w:firstLine="480"/>
      </w:pPr>
      <w:r>
        <w:rPr>
          <w:sz w:val="24"/>
          <w:szCs w:val="24"/>
        </w:rPr>
        <w:t xml:space="preserve">通过华润、凯德的跨案例比较以及苏宁反面案例的对比分析，本研究识别出REITs驱动轻资产转型成功的五个边界条件：REITs制度环境的成熟度、底层资产的运营质量、运营管理能力的成熟度、资本循环通道的畅通性、企业战略的清晰度和持续性。</w:t>
      </w:r>
    </w:p>
    <w:p>
      <w:pPr>
        <w:spacing w:after="200" w:line="360"/>
        <w:ind w:firstLine="480"/>
      </w:pPr>
      <w:r>
        <w:rPr>
          <w:sz w:val="24"/>
          <w:szCs w:val="24"/>
        </w:rPr>
        <w:t xml:space="preserve">五个边界条件中，前三个条件（制度环境、资产质量、运营能力）是必要条件，缺少任何一个都难以实现成功的轻资产转型；后两个条件（资本通道、战略定力）是充分条件，具备这两个条件可以显著提升转型的效率和效果。</w:t>
      </w:r>
    </w:p>
    <w:p>
      <w:pPr>
        <w:spacing w:after="200" w:line="360"/>
        <w:ind w:firstLine="480"/>
      </w:pPr>
      <w:r>
        <w:rPr>
          <w:sz w:val="24"/>
          <w:szCs w:val="24"/>
        </w:rPr>
        <w:t xml:space="preserve">苏宁反面案例深刻验证了边界条件的必要性：苏宁虽多次发行类REITs产品，但由于交易结构选择失误（售后租回）、缺乏资本循环机制、运营能力下滑和战略方向频繁调整，最终未能实现轻资产转型，资产负债率反而从65%攀升至91%。</w:t>
      </w:r>
    </w:p>
    <w:p>
      <w:pPr>
        <w:pStyle w:val="Heading3"/>
        <w:spacing w:after="100" w:before="200"/>
      </w:pPr>
      <w:r>
        <w:rPr>
          <w:b/>
          <w:bCs/>
          <w:sz w:val="26"/>
          <w:szCs w:val="26"/>
        </w:rPr>
        <w:t xml:space="preserve">6.1.5 研究假设验证结果</w:t>
      </w:r>
    </w:p>
    <w:p>
      <w:pPr>
        <w:spacing w:after="200" w:line="360"/>
        <w:ind w:firstLine="480"/>
      </w:pPr>
      <w:r>
        <w:rPr>
          <w:sz w:val="24"/>
          <w:szCs w:val="24"/>
        </w:rPr>
        <w:t xml:space="preserve">本研究提出的五个研究假设得到了案例数据的支持：</w:t>
      </w:r>
    </w:p>
    <w:p>
      <w:pPr>
        <w:spacing w:after="200" w:line="360"/>
        <w:ind w:firstLine="480"/>
      </w:pPr>
      <w:r>
        <w:rPr>
          <w:b/>
          <w:bCs/>
          <w:sz w:val="24"/>
          <w:szCs w:val="24"/>
        </w:rPr>
        <w:t xml:space="preserve">表6-1 研究假设验证结果</w:t>
      </w:r>
    </w:p>
    <w:p>
      <w:pPr>
        <w:spacing w:after="100"/>
      </w:pPr>
      <w:r>
        <w:rPr>
          <w:sz w:val="20"/>
          <w:szCs w:val="20"/>
        </w:rPr>
        <w:t xml:space="preserve">假设 | 内容 | 验证结果 | 证据</w:t>
      </w:r>
    </w:p>
    <w:p>
      <w:pPr>
        <w:spacing w:after="100"/>
      </w:pPr>
      <w:r>
        <w:rPr>
          <w:sz w:val="20"/>
          <w:szCs w:val="20"/>
        </w:rPr>
        <w:t xml:space="preserve">H1 | REITs发行与经常性收入占比正相关 | ✓ 支持 | 华润经常性收入占比15.4%→27.7%</w:t>
      </w:r>
    </w:p>
    <w:p>
      <w:pPr>
        <w:spacing w:after="100"/>
      </w:pPr>
      <w:r>
        <w:rPr>
          <w:sz w:val="20"/>
          <w:szCs w:val="20"/>
        </w:rPr>
        <w:t xml:space="preserve">H2 | 轻资产转型程度与净负债率负相关 | ✓ 支持 | 华润净负债率52.3%→38.6%</w:t>
      </w:r>
    </w:p>
    <w:p>
      <w:pPr>
        <w:spacing w:after="100"/>
      </w:pPr>
      <w:r>
        <w:rPr>
          <w:sz w:val="20"/>
          <w:szCs w:val="20"/>
        </w:rPr>
        <w:t xml:space="preserve">H3 | 运营能力成熟度是转型成功的必要条件 | ✓ 支持 | 华润/凯德运营指标持续提升；苏宁运营下滑导致失败</w:t>
      </w:r>
    </w:p>
    <w:p>
      <w:pPr>
        <w:spacing w:after="100"/>
      </w:pPr>
      <w:r>
        <w:rPr>
          <w:sz w:val="20"/>
          <w:szCs w:val="20"/>
        </w:rPr>
        <w:t xml:space="preserve">H4 | REITs交易结构影响出表效果 | ✓ 支持 | 华润真实出售降杠杆；苏宁售后租回不降杠杆</w:t>
      </w:r>
    </w:p>
    <w:p>
      <w:pPr>
        <w:spacing w:after="100"/>
      </w:pPr>
      <w:r>
        <w:rPr>
          <w:sz w:val="20"/>
          <w:szCs w:val="20"/>
        </w:rPr>
        <w:t xml:space="preserve">H5 | 资本循环通道畅通性影响转型持续性 | ✓ 支持 | 凯德完整循环成功；苏宁断点式发行失败</w:t>
      </w:r>
    </w:p>
    <w:p>
      <w:pPr>
        <w:pStyle w:val="Heading2"/>
        <w:spacing w:after="150" w:before="300"/>
      </w:pPr>
      <w:r>
        <w:rPr>
          <w:b/>
          <w:bCs/>
          <w:sz w:val="28"/>
          <w:szCs w:val="28"/>
        </w:rPr>
        <w:t xml:space="preserve">6.2 理论贡献</w:t>
      </w:r>
    </w:p>
    <w:p>
      <w:pPr>
        <w:pStyle w:val="Heading3"/>
        <w:spacing w:after="100" w:before="200"/>
      </w:pPr>
      <w:r>
        <w:rPr>
          <w:b/>
          <w:bCs/>
          <w:sz w:val="26"/>
          <w:szCs w:val="26"/>
        </w:rPr>
        <w:t xml:space="preserve">6.2.1 构建了REITs驱动轻资产转型的五阶段路径模型</w:t>
      </w:r>
    </w:p>
    <w:p>
      <w:pPr>
        <w:spacing w:after="200" w:line="360"/>
        <w:ind w:firstLine="480"/>
      </w:pPr>
      <w:r>
        <w:rPr>
          <w:sz w:val="24"/>
          <w:szCs w:val="24"/>
        </w:rPr>
        <w:t xml:space="preserve">现有文献对轻资产转型路径的研究多停留在概念层面，缺乏对转型各阶段关键环节和决策节点的系统分析。本研究基于华润和凯德的实践，构建了"能力建设-平台独立-规模扩张-资本退出-协同优化"五阶段路径模型，明确了每个阶段的核心任务、关键决策和主要挑战，为理解REITs驱动轻资产转型的路径提供了系统化的分析框架。</w:t>
      </w:r>
    </w:p>
    <w:p>
      <w:pPr>
        <w:spacing w:after="200" w:line="360"/>
        <w:ind w:firstLine="480"/>
      </w:pPr>
      <w:r>
        <w:rPr>
          <w:sz w:val="24"/>
          <w:szCs w:val="24"/>
        </w:rPr>
        <w:t xml:space="preserve">五阶段路径模型的理论贡献在于：一是揭示了REITs在轻资产转型中的角色定位——REITs不是转型的起点而是加速器，企业在REITs发行前需要完成能力建设和平台独立；二是明确了转型各阶段的先后逻辑和依赖关系，避免了实践中跳过关键阶段直接发行REITs的误区；三是为不同转型阶段的企业提供了差异化的策略建议。</w:t>
      </w:r>
    </w:p>
    <w:p>
      <w:pPr>
        <w:pStyle w:val="Heading3"/>
        <w:spacing w:after="100" w:before="200"/>
      </w:pPr>
      <w:r>
        <w:rPr>
          <w:b/>
          <w:bCs/>
          <w:sz w:val="26"/>
          <w:szCs w:val="26"/>
        </w:rPr>
        <w:t xml:space="preserve">6.2.2 构建了财务穿透分析五维度评估框架</w:t>
      </w:r>
    </w:p>
    <w:p>
      <w:pPr>
        <w:spacing w:after="200" w:line="360"/>
        <w:ind w:firstLine="480"/>
      </w:pPr>
      <w:r>
        <w:rPr>
          <w:sz w:val="24"/>
          <w:szCs w:val="24"/>
        </w:rPr>
        <w:t xml:space="preserve">现有文献对REITs效应的评估多聚焦于资产负债率等单一指标，缺乏对财务效应的多维度系统评估。本研究构建了"资产轻量化-收入结构-盈利质量-现金流-资本效率"五维度财务穿透分析框架，从总量到结构、从结果到过程、从静态到动态三个层面，系统评估了轻资产转型的财务效应。</w:t>
      </w:r>
    </w:p>
    <w:p>
      <w:pPr>
        <w:spacing w:after="200" w:line="360"/>
        <w:ind w:firstLine="480"/>
      </w:pPr>
      <w:r>
        <w:rPr>
          <w:sz w:val="24"/>
          <w:szCs w:val="24"/>
        </w:rPr>
        <w:t xml:space="preserve">财务穿透分析五维度框架的理论贡献在于：一是突破了单一指标评估的局限，从多维度全面评估转型效应；二是提出了"三个穿透"的分析原则（穿透总量看结构、穿透结果看过程、穿透静态看动态），为财务效应分析提供了方法论指导；三是识别了不同维度效应的差异化特征（收入结构和盈利质量改善最显著），为转型效果评估提供了优先级参考。</w:t>
      </w:r>
    </w:p>
    <w:p>
      <w:pPr>
        <w:pStyle w:val="Heading3"/>
        <w:spacing w:after="100" w:before="200"/>
      </w:pPr>
      <w:r>
        <w:rPr>
          <w:b/>
          <w:bCs/>
          <w:sz w:val="26"/>
          <w:szCs w:val="26"/>
        </w:rPr>
        <w:t xml:space="preserve">6.2.3 识别了REITs驱动轻资产转型的五个边界条件</w:t>
      </w:r>
    </w:p>
    <w:p>
      <w:pPr>
        <w:spacing w:after="200" w:line="360"/>
        <w:ind w:firstLine="480"/>
      </w:pPr>
      <w:r>
        <w:rPr>
          <w:sz w:val="24"/>
          <w:szCs w:val="24"/>
        </w:rPr>
        <w:t xml:space="preserve">现有文献对REITs效应的研究多关注正面效应，缺乏对转型成功条件的系统分析。本研究通过跨案例比较，识别了REITs驱动轻资产转型成功的五个边界条件，并区分了必要条件（制度环境、资产质量、运营能力）和充分条件（资本通道、战略定力）。</w:t>
      </w:r>
    </w:p>
    <w:p>
      <w:pPr>
        <w:spacing w:after="200" w:line="360"/>
        <w:ind w:firstLine="480"/>
      </w:pPr>
      <w:r>
        <w:rPr>
          <w:sz w:val="24"/>
          <w:szCs w:val="24"/>
        </w:rPr>
        <w:t xml:space="preserve">五个边界条件的理论贡献在于：一是解释了为什么有些企业的REITs发行未能实现轻资产转型——可能缺少必要条件；二是为评估企业轻资产转型的可行性提供了可操作的评估框架；三是为监管部门制定REITs政策提供了参考——政策应聚焦于降低制度门槛和畅通资本通道。</w:t>
      </w:r>
    </w:p>
    <w:p>
      <w:pPr>
        <w:pStyle w:val="Heading3"/>
        <w:spacing w:after="100" w:before="200"/>
      </w:pPr>
      <w:r>
        <w:rPr>
          <w:b/>
          <w:bCs/>
          <w:sz w:val="26"/>
          <w:szCs w:val="26"/>
        </w:rPr>
        <w:t xml:space="preserve">6.2.4 引入了反面案例验证机制</w:t>
      </w:r>
    </w:p>
    <w:p>
      <w:pPr>
        <w:spacing w:after="200" w:line="360"/>
        <w:ind w:firstLine="480"/>
      </w:pPr>
      <w:r>
        <w:rPr>
          <w:sz w:val="24"/>
          <w:szCs w:val="24"/>
        </w:rPr>
        <w:t xml:space="preserve">本研究创新性地引入苏宁反面案例，通过"成功-失败"对比分析，验证了理论框架的稳健性和边界条件的必要性。反面案例的引入使研究结论更具说服力，也为企业实践提供了警示。</w:t>
      </w:r>
    </w:p>
    <w:p>
      <w:pPr>
        <w:spacing w:after="200" w:line="360"/>
        <w:ind w:firstLine="480"/>
      </w:pPr>
      <w:r>
        <w:rPr>
          <w:sz w:val="24"/>
          <w:szCs w:val="24"/>
        </w:rPr>
        <w:t xml:space="preserve">反面案例的理论贡献在于：一是完善了"REITs驱动-路径选择-效应评估-边界条件"的完整理论框架；二是验证了研究假设的稳健性；三是明确了轻资产转型的"红线"和"禁区"。</w:t>
      </w:r>
    </w:p>
    <w:p>
      <w:pPr>
        <w:pStyle w:val="Heading3"/>
        <w:spacing w:after="100" w:before="200"/>
      </w:pPr>
      <w:r>
        <w:rPr>
          <w:b/>
          <w:bCs/>
          <w:sz w:val="26"/>
          <w:szCs w:val="26"/>
        </w:rPr>
        <w:t xml:space="preserve">6.2.5 揭示了"三重驱动、双重闭环"的转型机制</w:t>
      </w:r>
    </w:p>
    <w:p>
      <w:pPr>
        <w:spacing w:after="200" w:line="360"/>
        <w:ind w:firstLine="480"/>
      </w:pPr>
      <w:r>
        <w:rPr>
          <w:sz w:val="24"/>
          <w:szCs w:val="24"/>
        </w:rPr>
        <w:t xml:space="preserve">本研究揭示了REITs驱动轻资产转型的内在机制——"三重驱动、双重闭环"。"三重驱动"指行业环境变化、企业战略调整和金融工具创新的共振推动；"双重闭环"指资本闭环和能力闭环的相互促进。</w:t>
      </w:r>
    </w:p>
    <w:p>
      <w:pPr>
        <w:spacing w:after="200" w:line="360"/>
        <w:ind w:firstLine="480"/>
      </w:pPr>
      <w:r>
        <w:rPr>
          <w:sz w:val="24"/>
          <w:szCs w:val="24"/>
        </w:rPr>
        <w:t xml:space="preserve">这一机制的理论贡献在于：一是从驱动因素和运行机制两个层面，系统解释了REITs驱动轻资产转型的内在逻辑；二是揭示了资本闭环和能力闭环的协同效应——资本循环为能力循环提供资金支持，能力循环为资本循环提供运营保障；三是为理解不同市场环境下转型路径的差异提供了分析工具——"三重驱动"的强弱和"双重闭环"的形式因市场环境而异。</w:t>
      </w:r>
    </w:p>
    <w:p>
      <w:pPr>
        <w:pStyle w:val="Heading2"/>
        <w:spacing w:after="150" w:before="300"/>
      </w:pPr>
      <w:r>
        <w:rPr>
          <w:b/>
          <w:bCs/>
          <w:sz w:val="28"/>
          <w:szCs w:val="28"/>
        </w:rPr>
        <w:t xml:space="preserve">6.3 对企业的建议</w:t>
      </w:r>
    </w:p>
    <w:p>
      <w:pPr>
        <w:pStyle w:val="Heading3"/>
        <w:spacing w:after="100" w:before="200"/>
      </w:pPr>
      <w:r>
        <w:rPr>
          <w:b/>
          <w:bCs/>
          <w:sz w:val="26"/>
          <w:szCs w:val="26"/>
        </w:rPr>
        <w:t xml:space="preserve">6.3.1 战略层面：明确转型定位，坚定转型方向</w:t>
      </w:r>
    </w:p>
    <w:p>
      <w:pPr>
        <w:spacing w:after="200" w:line="360"/>
        <w:ind w:firstLine="480"/>
      </w:pPr>
      <w:r>
        <w:rPr>
          <w:sz w:val="24"/>
          <w:szCs w:val="24"/>
        </w:rPr>
        <w:t xml:space="preserve">对于正在考虑或已经启动轻资产转型的商业地产企业，本研究提出以下战略建议：</w:t>
      </w:r>
    </w:p>
    <w:p>
      <w:pPr>
        <w:spacing w:after="200" w:line="360"/>
        <w:ind w:firstLine="480"/>
      </w:pPr>
      <w:r>
        <w:rPr>
          <w:sz w:val="24"/>
          <w:szCs w:val="24"/>
        </w:rPr>
        <w:t xml:space="preserve">其一，明确转型定位。企业需要根据自身条件，选择渐进式转型（如华润模式）或全面式转型（如凯德模式）。渐进式转型适合开发业务仍有盈利空间、运营能力尚在培育期的企业；全面式转型适合开发业务已无竞争优势、运营能力已成熟的企业。</w:t>
      </w:r>
    </w:p>
    <w:p>
      <w:pPr>
        <w:spacing w:after="200" w:line="360"/>
        <w:ind w:firstLine="480"/>
      </w:pPr>
      <w:r>
        <w:rPr>
          <w:b/>
          <w:bCs/>
          <w:sz w:val="24"/>
          <w:szCs w:val="24"/>
        </w:rPr>
        <w:t xml:space="preserve">决策 checklist：</w:t>
      </w:r>
    </w:p>
    <w:p>
      <w:pPr>
        <w:spacing w:after="200" w:line="360"/>
        <w:ind w:firstLine="480"/>
      </w:pPr>
      <w:r>
        <w:rPr>
          <w:sz w:val="24"/>
          <w:szCs w:val="24"/>
        </w:rPr>
        <w:t xml:space="preserve">- [ ] 开发业务毛利率是否持续低于15%？</w:t>
      </w:r>
    </w:p>
    <w:p>
      <w:pPr>
        <w:spacing w:after="200" w:line="360"/>
        <w:ind w:firstLine="480"/>
      </w:pPr>
      <w:r>
        <w:rPr>
          <w:sz w:val="24"/>
          <w:szCs w:val="24"/>
        </w:rPr>
        <w:t xml:space="preserve">- [ ] 运营业务管理规模是否超过50万平方米？</w:t>
      </w:r>
    </w:p>
    <w:p>
      <w:pPr>
        <w:spacing w:after="200" w:line="360"/>
        <w:ind w:firstLine="480"/>
      </w:pPr>
      <w:r>
        <w:rPr>
          <w:sz w:val="24"/>
          <w:szCs w:val="24"/>
        </w:rPr>
        <w:t xml:space="preserve">- [ ] 是否具备3年以上标准化运营体系？</w:t>
      </w:r>
    </w:p>
    <w:p>
      <w:pPr>
        <w:spacing w:after="200" w:line="360"/>
        <w:ind w:firstLine="480"/>
      </w:pPr>
      <w:r>
        <w:rPr>
          <w:sz w:val="24"/>
          <w:szCs w:val="24"/>
        </w:rPr>
        <w:t xml:space="preserve">- [ ] 核心团队是否稳定且具备运营经验？</w:t>
      </w:r>
    </w:p>
    <w:p>
      <w:pPr>
        <w:spacing w:after="200" w:line="360"/>
        <w:ind w:firstLine="480"/>
      </w:pPr>
      <w:r>
        <w:rPr>
          <w:sz w:val="24"/>
          <w:szCs w:val="24"/>
        </w:rPr>
        <w:t xml:space="preserve">其二，坚定转型方向。轻资产转型是长期战略，需要5-10年的持续投入。企业高层需要有战略定力，避免因短期业绩压力而放弃转型。华润的"两翼业务"战略持续推进6年，凯德的全面轻资产化战略持续推进15年，均体现了战略定力的重要性。</w:t>
      </w:r>
    </w:p>
    <w:p>
      <w:pPr>
        <w:spacing w:after="200" w:line="360"/>
        <w:ind w:firstLine="480"/>
      </w:pPr>
      <w:r>
        <w:rPr>
          <w:sz w:val="24"/>
          <w:szCs w:val="24"/>
        </w:rPr>
        <w:t xml:space="preserve">其三，把握转型节奏。转型不是一蹴而就的，需要把握节奏。建议企业按照"能力建设→平台独立→规模扩张→资本退出→协同优化"的五阶段路径，逐步推进。跳过关键阶段直接发行REITs，往往难以实现真正的轻资产转型。</w:t>
      </w:r>
    </w:p>
    <w:p>
      <w:pPr>
        <w:spacing w:after="200" w:line="360"/>
        <w:ind w:firstLine="480"/>
      </w:pPr>
      <w:r>
        <w:rPr>
          <w:b/>
          <w:bCs/>
          <w:sz w:val="24"/>
          <w:szCs w:val="24"/>
        </w:rPr>
        <w:t xml:space="preserve">时间表建议：</w:t>
      </w:r>
    </w:p>
    <w:p>
      <w:pPr>
        <w:spacing w:after="200" w:line="360"/>
        <w:ind w:firstLine="480"/>
      </w:pPr>
      <w:r>
        <w:rPr>
          <w:sz w:val="24"/>
          <w:szCs w:val="24"/>
        </w:rPr>
        <w:t xml:space="preserve">- 能力建设阶段：2-3年</w:t>
      </w:r>
    </w:p>
    <w:p>
      <w:pPr>
        <w:spacing w:after="200" w:line="360"/>
        <w:ind w:firstLine="480"/>
      </w:pPr>
      <w:r>
        <w:rPr>
          <w:sz w:val="24"/>
          <w:szCs w:val="24"/>
        </w:rPr>
        <w:t xml:space="preserve">- 平台独立阶段：1-2年</w:t>
      </w:r>
    </w:p>
    <w:p>
      <w:pPr>
        <w:spacing w:after="200" w:line="360"/>
        <w:ind w:firstLine="480"/>
      </w:pPr>
      <w:r>
        <w:rPr>
          <w:sz w:val="24"/>
          <w:szCs w:val="24"/>
        </w:rPr>
        <w:t xml:space="preserve">- 规模扩张阶段：3-5年</w:t>
      </w:r>
    </w:p>
    <w:p>
      <w:pPr>
        <w:spacing w:after="200" w:line="360"/>
        <w:ind w:firstLine="480"/>
      </w:pPr>
      <w:r>
        <w:rPr>
          <w:sz w:val="24"/>
          <w:szCs w:val="24"/>
        </w:rPr>
        <w:t xml:space="preserve">- REITs资本退出阶段：1-2年（需满足监管要求）</w:t>
      </w:r>
    </w:p>
    <w:p>
      <w:pPr>
        <w:spacing w:after="200" w:line="360"/>
        <w:ind w:firstLine="480"/>
      </w:pPr>
      <w:r>
        <w:rPr>
          <w:sz w:val="24"/>
          <w:szCs w:val="24"/>
        </w:rPr>
        <w:t xml:space="preserve">- 协同优化阶段：持续进行</w:t>
      </w:r>
    </w:p>
    <w:p>
      <w:pPr>
        <w:pStyle w:val="Heading3"/>
        <w:spacing w:after="100" w:before="200"/>
      </w:pPr>
      <w:r>
        <w:rPr>
          <w:b/>
          <w:bCs/>
          <w:sz w:val="26"/>
          <w:szCs w:val="26"/>
        </w:rPr>
        <w:t xml:space="preserve">6.3.2 运营层面：构建核心能力，打造品牌矩阵</w:t>
      </w:r>
    </w:p>
    <w:p>
      <w:pPr>
        <w:spacing w:after="200" w:line="360"/>
        <w:ind w:firstLine="480"/>
      </w:pPr>
      <w:r>
        <w:rPr>
          <w:sz w:val="24"/>
          <w:szCs w:val="24"/>
        </w:rPr>
        <w:t xml:space="preserve">在运营层面，本研究提出以下建议：</w:t>
      </w:r>
    </w:p>
    <w:p>
      <w:pPr>
        <w:spacing w:after="200" w:line="360"/>
        <w:ind w:firstLine="480"/>
      </w:pPr>
      <w:r>
        <w:rPr>
          <w:sz w:val="24"/>
          <w:szCs w:val="24"/>
        </w:rPr>
        <w:t xml:space="preserve">其一，构建标准化运营体系。标准化运营体系是轻资产运营的核心竞争力，包括招商标准、运营流程、服务标准和考核体系。标准化运营体系的构建需要3-5年的持续投入，企业应尽早启动。</w:t>
      </w:r>
    </w:p>
    <w:p>
      <w:pPr>
        <w:spacing w:after="200" w:line="360"/>
        <w:ind w:firstLine="480"/>
      </w:pPr>
      <w:r>
        <w:rPr>
          <w:b/>
          <w:bCs/>
          <w:sz w:val="24"/>
          <w:szCs w:val="24"/>
        </w:rPr>
        <w:t xml:space="preserve">标准化体系 checklist：</w:t>
      </w:r>
    </w:p>
    <w:p>
      <w:pPr>
        <w:spacing w:after="200" w:line="360"/>
        <w:ind w:firstLine="480"/>
      </w:pPr>
      <w:r>
        <w:rPr>
          <w:sz w:val="24"/>
          <w:szCs w:val="24"/>
        </w:rPr>
        <w:t xml:space="preserve">- [ ] 招商标准：品牌分级标准、租金定价模型、租约条款模板</w:t>
      </w:r>
    </w:p>
    <w:p>
      <w:pPr>
        <w:spacing w:after="200" w:line="360"/>
        <w:ind w:firstLine="480"/>
      </w:pPr>
      <w:r>
        <w:rPr>
          <w:sz w:val="24"/>
          <w:szCs w:val="24"/>
        </w:rPr>
        <w:t xml:space="preserve">- [ ] 运营流程：开业筹备流程、日常运营流程、应急预案</w:t>
      </w:r>
    </w:p>
    <w:p>
      <w:pPr>
        <w:spacing w:after="200" w:line="360"/>
        <w:ind w:firstLine="480"/>
      </w:pPr>
      <w:r>
        <w:rPr>
          <w:sz w:val="24"/>
          <w:szCs w:val="24"/>
        </w:rPr>
        <w:t xml:space="preserve">- [ ] 服务标准：客户服务标准、商户服务标准、物业服务标准</w:t>
      </w:r>
    </w:p>
    <w:p>
      <w:pPr>
        <w:spacing w:after="200" w:line="360"/>
        <w:ind w:firstLine="480"/>
      </w:pPr>
      <w:r>
        <w:rPr>
          <w:sz w:val="24"/>
          <w:szCs w:val="24"/>
        </w:rPr>
        <w:t xml:space="preserve">- [ ] 考核体系：KPI指标体系、绩效考核流程、激励约束机制</w:t>
      </w:r>
    </w:p>
    <w:p>
      <w:pPr>
        <w:spacing w:after="200" w:line="360"/>
        <w:ind w:firstLine="480"/>
      </w:pPr>
      <w:r>
        <w:rPr>
          <w:sz w:val="24"/>
          <w:szCs w:val="24"/>
        </w:rPr>
        <w:t xml:space="preserve">其二，打造差异化品牌矩阵。品牌矩阵是轻资产运营的市场化表达，有助于实现品牌溢价和品牌输出。建议企业根据目标客群和区域特征，构建覆盖高端、中端和特色商业的差异化品牌矩阵。</w:t>
      </w:r>
    </w:p>
    <w:p>
      <w:pPr>
        <w:spacing w:after="200" w:line="360"/>
        <w:ind w:firstLine="480"/>
      </w:pPr>
      <w:r>
        <w:rPr>
          <w:b/>
          <w:bCs/>
          <w:sz w:val="24"/>
          <w:szCs w:val="24"/>
        </w:rPr>
        <w:t xml:space="preserve">品牌矩阵示例（参考华润）：</w:t>
      </w:r>
    </w:p>
    <w:p>
      <w:pPr>
        <w:spacing w:after="200" w:line="360"/>
        <w:ind w:firstLine="480"/>
      </w:pPr>
      <w:r>
        <w:rPr>
          <w:sz w:val="24"/>
          <w:szCs w:val="24"/>
        </w:rPr>
        <w:t xml:space="preserve">- 高端：万象城（一线城市核心商圈）</w:t>
      </w:r>
    </w:p>
    <w:p>
      <w:pPr>
        <w:spacing w:after="200" w:line="360"/>
        <w:ind w:firstLine="480"/>
      </w:pPr>
      <w:r>
        <w:rPr>
          <w:sz w:val="24"/>
          <w:szCs w:val="24"/>
        </w:rPr>
        <w:t xml:space="preserve">- 中端：万象汇（二线城市区域中心）</w:t>
      </w:r>
    </w:p>
    <w:p>
      <w:pPr>
        <w:spacing w:after="200" w:line="360"/>
        <w:ind w:firstLine="480"/>
      </w:pPr>
      <w:r>
        <w:rPr>
          <w:sz w:val="24"/>
          <w:szCs w:val="24"/>
        </w:rPr>
        <w:t xml:space="preserve">- 特色：万象天地（开放式街区商业）</w:t>
      </w:r>
    </w:p>
    <w:p>
      <w:pPr>
        <w:spacing w:after="200" w:line="360"/>
        <w:ind w:firstLine="480"/>
      </w:pPr>
      <w:r>
        <w:rPr>
          <w:sz w:val="24"/>
          <w:szCs w:val="24"/>
        </w:rPr>
        <w:t xml:space="preserve">其三，推进数字化管理平台建设。数字化管理平台是提升运营效率的关键工具，包括租户管理系统、客流分析系统、能源管理系统和财务管理系统。数字化管理平台的建设需要持续投入，但长期回报显著。</w:t>
      </w:r>
    </w:p>
    <w:p>
      <w:pPr>
        <w:pStyle w:val="Heading3"/>
        <w:spacing w:after="100" w:before="200"/>
      </w:pPr>
      <w:r>
        <w:rPr>
          <w:b/>
          <w:bCs/>
          <w:sz w:val="26"/>
          <w:szCs w:val="26"/>
        </w:rPr>
        <w:t xml:space="preserve">6.3.3 资本层面：利用REITs工具，构建资本循环</w:t>
      </w:r>
    </w:p>
    <w:p>
      <w:pPr>
        <w:spacing w:after="200" w:line="360"/>
        <w:ind w:firstLine="480"/>
      </w:pPr>
      <w:r>
        <w:rPr>
          <w:sz w:val="24"/>
          <w:szCs w:val="24"/>
        </w:rPr>
        <w:t xml:space="preserve">在资本层面，本研究提出以下具体建议：</w:t>
      </w:r>
    </w:p>
    <w:p>
      <w:pPr>
        <w:spacing w:after="200" w:line="360"/>
        <w:ind w:firstLine="480"/>
      </w:pPr>
      <w:r>
        <w:rPr>
          <w:b/>
          <w:bCs/>
          <w:sz w:val="24"/>
          <w:szCs w:val="24"/>
        </w:rPr>
        <w:t xml:space="preserve">（1）REITs发行前准备（提前2-3年）</w:t>
      </w:r>
    </w:p>
    <w:p>
      <w:pPr>
        <w:spacing w:after="100"/>
      </w:pPr>
      <w:r>
        <w:rPr>
          <w:sz w:val="20"/>
          <w:szCs w:val="20"/>
        </w:rPr>
        <w:t xml:space="preserve">准备事项 | 具体内容 | 完成标准 | 时间节点</w:t>
      </w:r>
    </w:p>
    <w:p>
      <w:pPr>
        <w:spacing w:after="100"/>
      </w:pPr>
      <w:r>
        <w:rPr>
          <w:sz w:val="20"/>
          <w:szCs w:val="20"/>
        </w:rPr>
        <w:t xml:space="preserve">底层资产筛选 | 选择运营成熟、现金流稳定的项目 | NOI收益率≥5% | T-36个月</w:t>
      </w:r>
    </w:p>
    <w:p>
      <w:pPr>
        <w:spacing w:after="100"/>
      </w:pPr>
      <w:r>
        <w:rPr>
          <w:sz w:val="20"/>
          <w:szCs w:val="20"/>
        </w:rPr>
        <w:t xml:space="preserve">运营数据积累 | 建立完整的运营数据体系 | 连续3年完整数据 | T-24个月</w:t>
      </w:r>
    </w:p>
    <w:p>
      <w:pPr>
        <w:spacing w:after="100"/>
      </w:pPr>
      <w:r>
        <w:rPr>
          <w:sz w:val="20"/>
          <w:szCs w:val="20"/>
        </w:rPr>
        <w:t xml:space="preserve">交易结构设计 | 确定真实出售或权益并表结构 | 完成方案论证 | T-18个月</w:t>
      </w:r>
    </w:p>
    <w:p>
      <w:pPr>
        <w:spacing w:after="100"/>
      </w:pPr>
      <w:r>
        <w:rPr>
          <w:sz w:val="20"/>
          <w:szCs w:val="20"/>
        </w:rPr>
        <w:t xml:space="preserve">法律架构搭建 | 设立SPV、完成资产重组 | 取得法律意见书 | T-12个月</w:t>
      </w:r>
    </w:p>
    <w:p>
      <w:pPr>
        <w:spacing w:after="100"/>
      </w:pPr>
      <w:r>
        <w:rPr>
          <w:sz w:val="20"/>
          <w:szCs w:val="20"/>
        </w:rPr>
        <w:t xml:space="preserve">中介机构选聘 | 券商、律师、会计师、评估师 | 签署服务协议 | T-12个月</w:t>
      </w:r>
    </w:p>
    <w:p>
      <w:pPr>
        <w:spacing w:after="200" w:line="360"/>
        <w:ind w:firstLine="480"/>
      </w:pPr>
      <w:r>
        <w:rPr>
          <w:b/>
          <w:bCs/>
          <w:sz w:val="24"/>
          <w:szCs w:val="24"/>
        </w:rPr>
        <w:t xml:space="preserve">（2）交易结构选择</w:t>
      </w:r>
    </w:p>
    <w:p>
      <w:pPr>
        <w:spacing w:after="200" w:line="360"/>
        <w:ind w:firstLine="480"/>
      </w:pPr>
      <w:r>
        <w:rPr>
          <w:sz w:val="24"/>
          <w:szCs w:val="24"/>
        </w:rPr>
        <w:t xml:space="preserve">REITs发行的交易结构设计直接影响出表效果和资本回收效率。建议企业优先选择"真实出售"的交易结构，避免售后租回模式下租赁负债上表抵消资产负债率改善的问题。</w:t>
      </w:r>
    </w:p>
    <w:p>
      <w:pPr>
        <w:spacing w:after="200" w:line="360"/>
        <w:ind w:firstLine="480"/>
      </w:pPr>
      <w:r>
        <w:rPr>
          <w:b/>
          <w:bCs/>
          <w:sz w:val="24"/>
          <w:szCs w:val="24"/>
        </w:rPr>
        <w:t xml:space="preserve">交易结构对比：</w:t>
      </w:r>
    </w:p>
    <w:p>
      <w:pPr>
        <w:spacing w:after="100"/>
      </w:pPr>
      <w:r>
        <w:rPr>
          <w:sz w:val="20"/>
          <w:szCs w:val="20"/>
        </w:rPr>
        <w:t xml:space="preserve">结构类型 | 出表效果 | 资本回收 | 适用场景 | 风险提示</w:t>
      </w:r>
    </w:p>
    <w:p>
      <w:pPr>
        <w:spacing w:after="100"/>
      </w:pPr>
      <w:r>
        <w:rPr>
          <w:sz w:val="20"/>
          <w:szCs w:val="20"/>
        </w:rPr>
        <w:t xml:space="preserve">真实出售 | 优 | 高 | 资产成熟、运营独立 | 丧失资产控制权</w:t>
      </w:r>
    </w:p>
    <w:p>
      <w:pPr>
        <w:spacing w:after="100"/>
      </w:pPr>
      <w:r>
        <w:rPr>
          <w:sz w:val="20"/>
          <w:szCs w:val="20"/>
        </w:rPr>
        <w:t xml:space="preserve">权益并表 | 中 | 中 | 需保留控制权 | 并表比例影响效果</w:t>
      </w:r>
    </w:p>
    <w:p>
      <w:pPr>
        <w:spacing w:after="100"/>
      </w:pPr>
      <w:r>
        <w:rPr>
          <w:sz w:val="20"/>
          <w:szCs w:val="20"/>
        </w:rPr>
        <w:t xml:space="preserve">售后租回 | 差 | 低 | 短期融资需求 | 租赁负债上表</w:t>
      </w:r>
    </w:p>
    <w:p>
      <w:pPr>
        <w:spacing w:after="200" w:line="360"/>
        <w:ind w:firstLine="480"/>
      </w:pPr>
      <w:r>
        <w:rPr>
          <w:b/>
          <w:bCs/>
          <w:sz w:val="24"/>
          <w:szCs w:val="24"/>
        </w:rPr>
        <w:t xml:space="preserve">（3）资本循环机制构建</w:t>
      </w:r>
    </w:p>
    <w:p>
      <w:pPr>
        <w:spacing w:after="200" w:line="360"/>
        <w:ind w:firstLine="480"/>
      </w:pPr>
      <w:r>
        <w:rPr>
          <w:sz w:val="24"/>
          <w:szCs w:val="24"/>
        </w:rPr>
        <w:t xml:space="preserve">REITs发行不是终点，而是资本循环的起点。建议企业在REITs发行后，构建"培育-成熟-退出-再投资"的资本循环机制，将回笼资金用于新项目的获取和培育，实现资本的高效循环利用。</w:t>
      </w:r>
    </w:p>
    <w:p>
      <w:pPr>
        <w:spacing w:after="200" w:line="360"/>
        <w:ind w:firstLine="480"/>
      </w:pPr>
      <w:r>
        <w:rPr>
          <w:b/>
          <w:bCs/>
          <w:sz w:val="24"/>
          <w:szCs w:val="24"/>
        </w:rPr>
        <w:t xml:space="preserve">资本循环机制设计：</w:t>
      </w:r>
    </w:p>
    <w:p>
      <w:pPr>
        <w:spacing w:after="200" w:line="360"/>
        <w:ind w:firstLine="480"/>
      </w:pPr>
      <w:r>
        <w:rPr>
          <w:sz w:val="24"/>
          <w:szCs w:val="24"/>
        </w:rPr>
        <w:t xml:space="preserve">```</w:t>
      </w:r>
    </w:p>
    <w:p>
      <w:pPr>
        <w:spacing w:after="200" w:line="360"/>
        <w:ind w:firstLine="480"/>
      </w:pPr>
      <w:r>
        <w:rPr>
          <w:sz w:val="24"/>
          <w:szCs w:val="24"/>
        </w:rPr>
        <w:t xml:space="preserve">阶段1：资产培育（私募基金/自有资金）</w:t>
      </w:r>
    </w:p>
    <w:p>
      <w:pPr>
        <w:spacing w:after="200" w:line="360"/>
        <w:ind w:firstLine="480"/>
      </w:pPr>
      <w:r>
        <w:rPr>
          <w:sz w:val="24"/>
          <w:szCs w:val="24"/>
        </w:rPr>
        <w:t xml:space="preserve">↓</w:t>
      </w:r>
    </w:p>
    <w:p>
      <w:pPr>
        <w:spacing w:after="200" w:line="360"/>
        <w:ind w:firstLine="480"/>
      </w:pPr>
      <w:r>
        <w:rPr>
          <w:sz w:val="24"/>
          <w:szCs w:val="24"/>
        </w:rPr>
        <w:t xml:space="preserve">阶段2：资产成熟（运营优化、价值提升）</w:t>
      </w:r>
    </w:p>
    <w:p>
      <w:pPr>
        <w:spacing w:after="200" w:line="360"/>
        <w:ind w:firstLine="480"/>
      </w:pPr>
      <w:r>
        <w:rPr>
          <w:sz w:val="24"/>
          <w:szCs w:val="24"/>
        </w:rPr>
        <w:t xml:space="preserve">↓</w:t>
      </w:r>
    </w:p>
    <w:p>
      <w:pPr>
        <w:spacing w:after="200" w:line="360"/>
        <w:ind w:firstLine="480"/>
      </w:pPr>
      <w:r>
        <w:rPr>
          <w:sz w:val="24"/>
          <w:szCs w:val="24"/>
        </w:rPr>
        <w:t xml:space="preserve">阶段3：REITs退出（资本回收、资产出表）</w:t>
      </w:r>
    </w:p>
    <w:p>
      <w:pPr>
        <w:spacing w:after="200" w:line="360"/>
        <w:ind w:firstLine="480"/>
      </w:pPr>
      <w:r>
        <w:rPr>
          <w:sz w:val="24"/>
          <w:szCs w:val="24"/>
        </w:rPr>
        <w:t xml:space="preserve">↓</w:t>
      </w:r>
    </w:p>
    <w:p>
      <w:pPr>
        <w:spacing w:after="200" w:line="360"/>
        <w:ind w:firstLine="480"/>
      </w:pPr>
      <w:r>
        <w:rPr>
          <w:sz w:val="24"/>
          <w:szCs w:val="24"/>
        </w:rPr>
        <w:t xml:space="preserve">阶段4：再投资（新项目获取、循环往复）</w:t>
      </w:r>
    </w:p>
    <w:p>
      <w:pPr>
        <w:spacing w:after="200" w:line="360"/>
        <w:ind w:firstLine="480"/>
      </w:pPr>
      <w:r>
        <w:rPr>
          <w:sz w:val="24"/>
          <w:szCs w:val="24"/>
        </w:rPr>
        <w:t xml:space="preserve">```</w:t>
      </w:r>
    </w:p>
    <w:p>
      <w:pPr>
        <w:spacing w:after="200" w:line="360"/>
        <w:ind w:firstLine="480"/>
      </w:pPr>
      <w:r>
        <w:rPr>
          <w:b/>
          <w:bCs/>
          <w:sz w:val="24"/>
          <w:szCs w:val="24"/>
        </w:rPr>
        <w:t xml:space="preserve">（4）避免苏宁式错误</w:t>
      </w:r>
    </w:p>
    <w:p>
      <w:pPr>
        <w:spacing w:after="200" w:line="360"/>
        <w:ind w:firstLine="480"/>
      </w:pPr>
      <w:r>
        <w:rPr>
          <w:sz w:val="24"/>
          <w:szCs w:val="24"/>
        </w:rPr>
        <w:t xml:space="preserve">基于苏宁反面案例的教训，企业在利用REITs工具时应避免以下错误：</w:t>
      </w:r>
    </w:p>
    <w:p>
      <w:pPr>
        <w:spacing w:after="200" w:line="360"/>
        <w:ind w:firstLine="480"/>
      </w:pPr>
      <w:r>
        <w:rPr>
          <w:sz w:val="24"/>
          <w:szCs w:val="24"/>
        </w:rPr>
        <w:t xml:space="preserve">- ✗ 选择售后租回结构期望降杠杆（实际效果有限）</w:t>
      </w:r>
    </w:p>
    <w:p>
      <w:pPr>
        <w:spacing w:after="200" w:line="360"/>
        <w:ind w:firstLine="480"/>
      </w:pPr>
      <w:r>
        <w:rPr>
          <w:sz w:val="24"/>
          <w:szCs w:val="24"/>
        </w:rPr>
        <w:t xml:space="preserve">- ✗ 将募集资金用于偿还短期债务（未能优化资本结构）</w:t>
      </w:r>
    </w:p>
    <w:p>
      <w:pPr>
        <w:spacing w:after="200" w:line="360"/>
        <w:ind w:firstLine="480"/>
      </w:pPr>
      <w:r>
        <w:rPr>
          <w:sz w:val="24"/>
          <w:szCs w:val="24"/>
        </w:rPr>
        <w:t xml:space="preserve">- ✗ 缺乏"培育-退出-再投资"闭环（断点式发行）</w:t>
      </w:r>
    </w:p>
    <w:p>
      <w:pPr>
        <w:spacing w:after="200" w:line="360"/>
        <w:ind w:firstLine="480"/>
      </w:pPr>
      <w:r>
        <w:rPr>
          <w:sz w:val="24"/>
          <w:szCs w:val="24"/>
        </w:rPr>
        <w:t xml:space="preserve">- ✗ 忽视运营能力建设（轻资产脱离运营能力支撑）</w:t>
      </w:r>
    </w:p>
    <w:p>
      <w:pPr>
        <w:spacing w:after="200" w:line="360"/>
        <w:ind w:firstLine="480"/>
      </w:pPr>
      <w:r>
        <w:rPr>
          <w:sz w:val="24"/>
          <w:szCs w:val="24"/>
        </w:rPr>
        <w:t xml:space="preserve">- ✗ 战略方向频繁调整（缺乏转型定力）</w:t>
      </w:r>
    </w:p>
    <w:p>
      <w:pPr>
        <w:pStyle w:val="Heading2"/>
        <w:spacing w:after="150" w:before="300"/>
      </w:pPr>
      <w:r>
        <w:rPr>
          <w:b/>
          <w:bCs/>
          <w:sz w:val="28"/>
          <w:szCs w:val="28"/>
        </w:rPr>
        <w:t xml:space="preserve">6.4 对监管部门的建议</w:t>
      </w:r>
    </w:p>
    <w:p>
      <w:pPr>
        <w:pStyle w:val="Heading3"/>
        <w:spacing w:after="100" w:before="200"/>
      </w:pPr>
      <w:r>
        <w:rPr>
          <w:b/>
          <w:bCs/>
          <w:sz w:val="26"/>
          <w:szCs w:val="26"/>
        </w:rPr>
        <w:t xml:space="preserve">6.4.1 完善REITs制度环境</w:t>
      </w:r>
    </w:p>
    <w:p>
      <w:pPr>
        <w:spacing w:after="200" w:line="360"/>
        <w:ind w:firstLine="480"/>
      </w:pPr>
      <w:r>
        <w:rPr>
          <w:b/>
          <w:bCs/>
          <w:sz w:val="24"/>
          <w:szCs w:val="24"/>
        </w:rPr>
        <w:t xml:space="preserve">（1）扩大REITs底层资产范围</w:t>
      </w:r>
    </w:p>
    <w:p>
      <w:pPr>
        <w:spacing w:after="200" w:line="360"/>
        <w:ind w:firstLine="480"/>
      </w:pPr>
      <w:r>
        <w:rPr>
          <w:sz w:val="24"/>
          <w:szCs w:val="24"/>
        </w:rPr>
        <w:t xml:space="preserve">建议进一步扩大消费类基础设施REITs的底层资产范围，将更多的商业地产类型纳入REITs发行范围，为商业地产企业的轻资产转型提供更广阔的资本退出通道。</w:t>
      </w:r>
    </w:p>
    <w:p>
      <w:pPr>
        <w:spacing w:after="200" w:line="360"/>
        <w:ind w:firstLine="480"/>
      </w:pPr>
      <w:r>
        <w:rPr>
          <w:b/>
          <w:bCs/>
          <w:sz w:val="24"/>
          <w:szCs w:val="24"/>
        </w:rPr>
        <w:t xml:space="preserve">具体建议：</w:t>
      </w:r>
    </w:p>
    <w:p>
      <w:pPr>
        <w:spacing w:after="200" w:line="360"/>
        <w:ind w:firstLine="480"/>
      </w:pPr>
      <w:r>
        <w:rPr>
          <w:sz w:val="24"/>
          <w:szCs w:val="24"/>
        </w:rPr>
        <w:t xml:space="preserve">- 将社区商业、街区商业等纳入底层资产范围</w:t>
      </w:r>
    </w:p>
    <w:p>
      <w:pPr>
        <w:spacing w:after="200" w:line="360"/>
        <w:ind w:firstLine="480"/>
      </w:pPr>
      <w:r>
        <w:rPr>
          <w:sz w:val="24"/>
          <w:szCs w:val="24"/>
        </w:rPr>
        <w:t xml:space="preserve">- 允许混合用途项目（住宅+商业）中的商业部分发行REITs</w:t>
      </w:r>
    </w:p>
    <w:p>
      <w:pPr>
        <w:spacing w:after="200" w:line="360"/>
        <w:ind w:firstLine="480"/>
      </w:pPr>
      <w:r>
        <w:rPr>
          <w:sz w:val="24"/>
          <w:szCs w:val="24"/>
        </w:rPr>
        <w:t xml:space="preserve">- 探索长租公寓、产业地产等新型资产类型的REITs试点</w:t>
      </w:r>
    </w:p>
    <w:p>
      <w:pPr>
        <w:spacing w:after="200" w:line="360"/>
        <w:ind w:firstLine="480"/>
      </w:pPr>
      <w:r>
        <w:rPr>
          <w:b/>
          <w:bCs/>
          <w:sz w:val="24"/>
          <w:szCs w:val="24"/>
        </w:rPr>
        <w:t xml:space="preserve">（2）优化REITs税收政策</w:t>
      </w:r>
    </w:p>
    <w:p>
      <w:pPr>
        <w:spacing w:after="200" w:line="360"/>
        <w:ind w:firstLine="480"/>
      </w:pPr>
      <w:r>
        <w:rPr>
          <w:sz w:val="24"/>
          <w:szCs w:val="24"/>
        </w:rPr>
        <w:t xml:space="preserve">建议进一步优化REITs的税收政策，降低REITs发行的税负成本，特别是资产重组环节的土地增值税、契税等，提升REITs发行的经济可行性。</w:t>
      </w:r>
    </w:p>
    <w:p>
      <w:pPr>
        <w:spacing w:after="200" w:line="360"/>
        <w:ind w:firstLine="480"/>
      </w:pPr>
      <w:r>
        <w:rPr>
          <w:b/>
          <w:bCs/>
          <w:sz w:val="24"/>
          <w:szCs w:val="24"/>
        </w:rPr>
        <w:t xml:space="preserve">具体政策建议：</w:t>
      </w:r>
    </w:p>
    <w:p>
      <w:pPr>
        <w:spacing w:after="100"/>
      </w:pPr>
      <w:r>
        <w:rPr>
          <w:sz w:val="20"/>
          <w:szCs w:val="20"/>
        </w:rPr>
        <w:t xml:space="preserve">税种 | 现行政策 | 建议优化 | 预期效果</w:t>
      </w:r>
    </w:p>
    <w:p>
      <w:pPr>
        <w:spacing w:after="100"/>
      </w:pPr>
      <w:r>
        <w:rPr>
          <w:sz w:val="20"/>
          <w:szCs w:val="20"/>
        </w:rPr>
        <w:t xml:space="preserve">企业所得税 | 3号公告已明确递延 | 保持现行政策 | 降低重组成本</w:t>
      </w:r>
    </w:p>
    <w:p>
      <w:pPr>
        <w:spacing w:after="100"/>
      </w:pPr>
      <w:r>
        <w:rPr>
          <w:sz w:val="20"/>
          <w:szCs w:val="20"/>
        </w:rPr>
        <w:t xml:space="preserve">土地增值税 | 无明确优惠 | 明确REITs重组暂不征收 | 降低重组成本约3-5%</w:t>
      </w:r>
    </w:p>
    <w:p>
      <w:pPr>
        <w:spacing w:after="100"/>
      </w:pPr>
      <w:r>
        <w:rPr>
          <w:sz w:val="20"/>
          <w:szCs w:val="20"/>
        </w:rPr>
        <w:t xml:space="preserve">契税 | 无明确优惠 | 明确REITs重组免征 | 降低重组成本约1-3%</w:t>
      </w:r>
    </w:p>
    <w:p>
      <w:pPr>
        <w:spacing w:after="100"/>
      </w:pPr>
      <w:r>
        <w:rPr>
          <w:sz w:val="20"/>
          <w:szCs w:val="20"/>
        </w:rPr>
        <w:t xml:space="preserve">增值税 | 按不动产转让征收 | 明确REITs重组不征 | 简化税务处理</w:t>
      </w:r>
    </w:p>
    <w:p>
      <w:pPr>
        <w:spacing w:after="200" w:line="360"/>
        <w:ind w:firstLine="480"/>
      </w:pPr>
      <w:r>
        <w:rPr>
          <w:b/>
          <w:bCs/>
          <w:sz w:val="24"/>
          <w:szCs w:val="24"/>
        </w:rPr>
        <w:t xml:space="preserve">（3）简化REITs审批流程</w:t>
      </w:r>
    </w:p>
    <w:p>
      <w:pPr>
        <w:spacing w:after="200" w:line="360"/>
        <w:ind w:firstLine="480"/>
      </w:pPr>
      <w:r>
        <w:rPr>
          <w:sz w:val="24"/>
          <w:szCs w:val="24"/>
        </w:rPr>
        <w:t xml:space="preserve">建议进一步简化REITs发行的审批流程，缩短审批周期，提高审批效率，为企业把握市场窗口期发行REITs创造条件。</w:t>
      </w:r>
    </w:p>
    <w:p>
      <w:pPr>
        <w:spacing w:after="200" w:line="360"/>
        <w:ind w:firstLine="480"/>
      </w:pPr>
      <w:r>
        <w:rPr>
          <w:b/>
          <w:bCs/>
          <w:sz w:val="24"/>
          <w:szCs w:val="24"/>
        </w:rPr>
        <w:t xml:space="preserve">具体建议：</w:t>
      </w:r>
    </w:p>
    <w:p>
      <w:pPr>
        <w:spacing w:after="200" w:line="360"/>
        <w:ind w:firstLine="480"/>
      </w:pPr>
      <w:r>
        <w:rPr>
          <w:sz w:val="24"/>
          <w:szCs w:val="24"/>
        </w:rPr>
        <w:t xml:space="preserve">- 建立REITs发行"绿色通道"，对优质项目优先审核</w:t>
      </w:r>
    </w:p>
    <w:p>
      <w:pPr>
        <w:spacing w:after="200" w:line="360"/>
        <w:ind w:firstLine="480"/>
      </w:pPr>
      <w:r>
        <w:rPr>
          <w:sz w:val="24"/>
          <w:szCs w:val="24"/>
        </w:rPr>
        <w:t xml:space="preserve">- 明确各环节审批时限（受理、反馈、注册）</w:t>
      </w:r>
    </w:p>
    <w:p>
      <w:pPr>
        <w:spacing w:after="200" w:line="360"/>
        <w:ind w:firstLine="480"/>
      </w:pPr>
      <w:r>
        <w:rPr>
          <w:sz w:val="24"/>
          <w:szCs w:val="24"/>
        </w:rPr>
        <w:t xml:space="preserve">- 推行"一次申报、并联审批"模式</w:t>
      </w:r>
    </w:p>
    <w:p>
      <w:pPr>
        <w:pStyle w:val="Heading3"/>
        <w:spacing w:after="100" w:before="200"/>
      </w:pPr>
      <w:r>
        <w:rPr>
          <w:b/>
          <w:bCs/>
          <w:sz w:val="26"/>
          <w:szCs w:val="26"/>
        </w:rPr>
        <w:t xml:space="preserve">6.4.2 促进REITs市场发展</w:t>
      </w:r>
    </w:p>
    <w:p>
      <w:pPr>
        <w:spacing w:after="200" w:line="360"/>
        <w:ind w:firstLine="480"/>
      </w:pPr>
      <w:r>
        <w:rPr>
          <w:b/>
          <w:bCs/>
          <w:sz w:val="24"/>
          <w:szCs w:val="24"/>
        </w:rPr>
        <w:t xml:space="preserve">（1）鼓励REITs扩募和新发</w:t>
      </w:r>
    </w:p>
    <w:p>
      <w:pPr>
        <w:spacing w:after="200" w:line="360"/>
        <w:ind w:firstLine="480"/>
      </w:pPr>
      <w:r>
        <w:rPr>
          <w:sz w:val="24"/>
          <w:szCs w:val="24"/>
        </w:rPr>
        <w:t xml:space="preserve">建议出台鼓励REITs扩募和新发的政策措施，包括简化扩募审批流程、鼓励保险资金和社保基金投资REITs等，促进REITs市场的规模扩张和流动性提升。</w:t>
      </w:r>
    </w:p>
    <w:p>
      <w:pPr>
        <w:spacing w:after="200" w:line="360"/>
        <w:ind w:firstLine="480"/>
      </w:pPr>
      <w:r>
        <w:rPr>
          <w:b/>
          <w:bCs/>
          <w:sz w:val="24"/>
          <w:szCs w:val="24"/>
        </w:rPr>
        <w:t xml:space="preserve">具体措施：</w:t>
      </w:r>
    </w:p>
    <w:p>
      <w:pPr>
        <w:spacing w:after="200" w:line="360"/>
        <w:ind w:firstLine="480"/>
      </w:pPr>
      <w:r>
        <w:rPr>
          <w:sz w:val="24"/>
          <w:szCs w:val="24"/>
        </w:rPr>
        <w:t xml:space="preserve">- 简化REITs扩募审批程序，实行"备案制"</w:t>
      </w:r>
    </w:p>
    <w:p>
      <w:pPr>
        <w:spacing w:after="200" w:line="360"/>
        <w:ind w:firstLine="480"/>
      </w:pPr>
      <w:r>
        <w:rPr>
          <w:sz w:val="24"/>
          <w:szCs w:val="24"/>
        </w:rPr>
        <w:t xml:space="preserve">- 将REITs纳入保险资金投资范围</w:t>
      </w:r>
    </w:p>
    <w:p>
      <w:pPr>
        <w:spacing w:after="200" w:line="360"/>
        <w:ind w:firstLine="480"/>
      </w:pPr>
      <w:r>
        <w:rPr>
          <w:sz w:val="24"/>
          <w:szCs w:val="24"/>
        </w:rPr>
        <w:t xml:space="preserve">- 允许社保基金投资REITs产品</w:t>
      </w:r>
    </w:p>
    <w:p>
      <w:pPr>
        <w:spacing w:after="200" w:line="360"/>
        <w:ind w:firstLine="480"/>
      </w:pPr>
      <w:r>
        <w:rPr>
          <w:sz w:val="24"/>
          <w:szCs w:val="24"/>
        </w:rPr>
        <w:t xml:space="preserve">- 降低REITs投资者门槛（如从100万元降至50万元）</w:t>
      </w:r>
    </w:p>
    <w:p>
      <w:pPr>
        <w:spacing w:after="200" w:line="360"/>
        <w:ind w:firstLine="480"/>
      </w:pPr>
      <w:r>
        <w:rPr>
          <w:b/>
          <w:bCs/>
          <w:sz w:val="24"/>
          <w:szCs w:val="24"/>
        </w:rPr>
        <w:t xml:space="preserve">（2）加强REITs投资者保护</w:t>
      </w:r>
    </w:p>
    <w:p>
      <w:pPr>
        <w:spacing w:after="200" w:line="360"/>
        <w:ind w:firstLine="480"/>
      </w:pPr>
      <w:r>
        <w:rPr>
          <w:sz w:val="24"/>
          <w:szCs w:val="24"/>
        </w:rPr>
        <w:t xml:space="preserve">建议完善REITs的信息披露制度，加强对REITs管理人和运营管理机构的监管，保护REITs投资者的合法权益，提升REITs市场的投资者信心。</w:t>
      </w:r>
    </w:p>
    <w:p>
      <w:pPr>
        <w:spacing w:after="200" w:line="360"/>
        <w:ind w:firstLine="480"/>
      </w:pPr>
      <w:r>
        <w:rPr>
          <w:b/>
          <w:bCs/>
          <w:sz w:val="24"/>
          <w:szCs w:val="24"/>
        </w:rPr>
        <w:t xml:space="preserve">具体措施：</w:t>
      </w:r>
    </w:p>
    <w:p>
      <w:pPr>
        <w:spacing w:after="200" w:line="360"/>
        <w:ind w:firstLine="480"/>
      </w:pPr>
      <w:r>
        <w:rPr>
          <w:sz w:val="24"/>
          <w:szCs w:val="24"/>
        </w:rPr>
        <w:t xml:space="preserve">- 强制要求REITs披露底层资产运营数据（出租率、租金水平等）</w:t>
      </w:r>
    </w:p>
    <w:p>
      <w:pPr>
        <w:spacing w:after="200" w:line="360"/>
        <w:ind w:firstLine="480"/>
      </w:pPr>
      <w:r>
        <w:rPr>
          <w:sz w:val="24"/>
          <w:szCs w:val="24"/>
        </w:rPr>
        <w:t xml:space="preserve">- 建立REITs管理人评级体系</w:t>
      </w:r>
    </w:p>
    <w:p>
      <w:pPr>
        <w:spacing w:after="200" w:line="360"/>
        <w:ind w:firstLine="480"/>
      </w:pPr>
      <w:r>
        <w:rPr>
          <w:sz w:val="24"/>
          <w:szCs w:val="24"/>
        </w:rPr>
        <w:t xml:space="preserve">- 完善REITs投资者投诉和纠纷解决机制</w:t>
      </w:r>
    </w:p>
    <w:p>
      <w:pPr>
        <w:spacing w:after="200" w:line="360"/>
        <w:ind w:firstLine="480"/>
      </w:pPr>
      <w:r>
        <w:rPr>
          <w:b/>
          <w:bCs/>
          <w:sz w:val="24"/>
          <w:szCs w:val="24"/>
        </w:rPr>
        <w:t xml:space="preserve">（3）推动REITs市场国际化</w:t>
      </w:r>
    </w:p>
    <w:p>
      <w:pPr>
        <w:spacing w:after="200" w:line="360"/>
        <w:ind w:firstLine="480"/>
      </w:pPr>
      <w:r>
        <w:rPr>
          <w:sz w:val="24"/>
          <w:szCs w:val="24"/>
        </w:rPr>
        <w:t xml:space="preserve">建议推动中国REITs市场的国际化，吸引境外发行人和境外投资者参与，提升REITs市场的深度和广度。华夏凯德商业REIT的成功发行，为REITs市场国际化提供了有益经验。</w:t>
      </w:r>
    </w:p>
    <w:p>
      <w:pPr>
        <w:spacing w:after="200" w:line="360"/>
        <w:ind w:firstLine="480"/>
      </w:pPr>
      <w:r>
        <w:rPr>
          <w:b/>
          <w:bCs/>
          <w:sz w:val="24"/>
          <w:szCs w:val="24"/>
        </w:rPr>
        <w:t xml:space="preserve">具体措施：</w:t>
      </w:r>
    </w:p>
    <w:p>
      <w:pPr>
        <w:spacing w:after="200" w:line="360"/>
        <w:ind w:firstLine="480"/>
      </w:pPr>
      <w:r>
        <w:rPr>
          <w:sz w:val="24"/>
          <w:szCs w:val="24"/>
        </w:rPr>
        <w:t xml:space="preserve">- 允许境外优质REITs在境内交易所上市（如CDR模式）</w:t>
      </w:r>
    </w:p>
    <w:p>
      <w:pPr>
        <w:spacing w:after="200" w:line="360"/>
        <w:ind w:firstLine="480"/>
      </w:pPr>
      <w:r>
        <w:rPr>
          <w:sz w:val="24"/>
          <w:szCs w:val="24"/>
        </w:rPr>
        <w:t xml:space="preserve">- 简化境外投资者投资境内REITs的外汇管理程序</w:t>
      </w:r>
    </w:p>
    <w:p>
      <w:pPr>
        <w:spacing w:after="200" w:line="360"/>
        <w:ind w:firstLine="480"/>
      </w:pPr>
      <w:r>
        <w:rPr>
          <w:sz w:val="24"/>
          <w:szCs w:val="24"/>
        </w:rPr>
        <w:t xml:space="preserve">- 推动中国REITs纳入国际指数（如MSCI、富时）</w:t>
      </w:r>
    </w:p>
    <w:p>
      <w:pPr>
        <w:pStyle w:val="Heading3"/>
        <w:spacing w:after="100" w:before="200"/>
      </w:pPr>
      <w:r>
        <w:rPr>
          <w:b/>
          <w:bCs/>
          <w:sz w:val="26"/>
          <w:szCs w:val="26"/>
        </w:rPr>
        <w:t xml:space="preserve">6.4.3 防范REITs市场风险</w:t>
      </w:r>
    </w:p>
    <w:p>
      <w:pPr>
        <w:spacing w:after="200" w:line="360"/>
        <w:ind w:firstLine="480"/>
      </w:pPr>
      <w:r>
        <w:rPr>
          <w:sz w:val="24"/>
          <w:szCs w:val="24"/>
        </w:rPr>
        <w:t xml:space="preserve">基于苏宁反面案例的教训，监管部门应关注以下风险：</w:t>
      </w:r>
    </w:p>
    <w:p>
      <w:pPr>
        <w:spacing w:after="200" w:line="360"/>
        <w:ind w:firstLine="480"/>
      </w:pPr>
      <w:r>
        <w:rPr>
          <w:b/>
          <w:bCs/>
          <w:sz w:val="24"/>
          <w:szCs w:val="24"/>
        </w:rPr>
        <w:t xml:space="preserve">（1）交易结构风险</w:t>
      </w:r>
    </w:p>
    <w:p>
      <w:pPr>
        <w:spacing w:after="200" w:line="360"/>
        <w:ind w:firstLine="480"/>
      </w:pPr>
      <w:r>
        <w:rPr>
          <w:sz w:val="24"/>
          <w:szCs w:val="24"/>
        </w:rPr>
        <w:t xml:space="preserve">关注售后租回等交易结构可能导致的"假出表"问题，要求REITs发行人充分披露交易结构的风险。</w:t>
      </w:r>
    </w:p>
    <w:p>
      <w:pPr>
        <w:spacing w:after="200" w:line="360"/>
        <w:ind w:firstLine="480"/>
      </w:pPr>
      <w:r>
        <w:rPr>
          <w:b/>
          <w:bCs/>
          <w:sz w:val="24"/>
          <w:szCs w:val="24"/>
        </w:rPr>
        <w:t xml:space="preserve">（2）运营能力风险</w:t>
      </w:r>
    </w:p>
    <w:p>
      <w:pPr>
        <w:spacing w:after="200" w:line="360"/>
        <w:ind w:firstLine="480"/>
      </w:pPr>
      <w:r>
        <w:rPr>
          <w:sz w:val="24"/>
          <w:szCs w:val="24"/>
        </w:rPr>
        <w:t xml:space="preserve">关注底层资产运营质量，建立REITs底层资产的运营指标披露要求（出租率、租金收缴率等）。</w:t>
      </w:r>
    </w:p>
    <w:p>
      <w:pPr>
        <w:spacing w:after="200" w:line="360"/>
        <w:ind w:firstLine="480"/>
      </w:pPr>
      <w:r>
        <w:rPr>
          <w:b/>
          <w:bCs/>
          <w:sz w:val="24"/>
          <w:szCs w:val="24"/>
        </w:rPr>
        <w:t xml:space="preserve">（3）资本循环风险</w:t>
      </w:r>
    </w:p>
    <w:p>
      <w:pPr>
        <w:spacing w:after="200" w:line="360"/>
        <w:ind w:firstLine="480"/>
      </w:pPr>
      <w:r>
        <w:rPr>
          <w:sz w:val="24"/>
          <w:szCs w:val="24"/>
        </w:rPr>
        <w:t xml:space="preserve">关注REITs募集资金用途，要求发行人披露资金使用计划和资本循环机制。</w:t>
      </w:r>
    </w:p>
    <w:p>
      <w:pPr>
        <w:pStyle w:val="Heading2"/>
        <w:spacing w:after="150" w:before="300"/>
      </w:pPr>
      <w:r>
        <w:rPr>
          <w:b/>
          <w:bCs/>
          <w:sz w:val="28"/>
          <w:szCs w:val="28"/>
        </w:rPr>
        <w:t xml:space="preserve">6.5 研究局限性与未来研究方向</w:t>
      </w:r>
    </w:p>
    <w:p>
      <w:pPr>
        <w:pStyle w:val="Heading3"/>
        <w:spacing w:after="100" w:before="200"/>
      </w:pPr>
      <w:r>
        <w:rPr>
          <w:b/>
          <w:bCs/>
          <w:sz w:val="26"/>
          <w:szCs w:val="26"/>
        </w:rPr>
        <w:t xml:space="preserve">6.5.1 研究局限性</w:t>
      </w:r>
    </w:p>
    <w:p>
      <w:pPr>
        <w:spacing w:after="200" w:line="360"/>
        <w:ind w:firstLine="480"/>
      </w:pPr>
      <w:r>
        <w:rPr>
          <w:sz w:val="24"/>
          <w:szCs w:val="24"/>
        </w:rPr>
        <w:t xml:space="preserve">本研究存在以下局限性：</w:t>
      </w:r>
    </w:p>
    <w:p>
      <w:pPr>
        <w:spacing w:after="200" w:line="360"/>
        <w:ind w:firstLine="480"/>
      </w:pPr>
      <w:r>
        <w:rPr>
          <w:sz w:val="24"/>
          <w:szCs w:val="24"/>
        </w:rPr>
        <w:t xml:space="preserve">其一，案例数量的局限。本研究采用单案例深度分析与多案例验证相结合的设计，主案例为华润、验证案例为凯德、反面案例为苏宁，案例数量有限。虽然三个案例的转型路径具有典型性和互补性，但研究结论的普适性仍需更多案例的检验。</w:t>
      </w:r>
    </w:p>
    <w:p>
      <w:pPr>
        <w:spacing w:after="200" w:line="360"/>
        <w:ind w:firstLine="480"/>
      </w:pPr>
      <w:r>
        <w:rPr>
          <w:sz w:val="24"/>
          <w:szCs w:val="24"/>
        </w:rPr>
        <w:t xml:space="preserve">其二，数据时间跨度的局限。中国公募REITs市场2020年才起步，华润商业REIT 2024年才上市，REITs发行后的财务效应观察期较短。REITs驱动轻资产转型的长期效应（如资本循环效率、协同效应的累积效果）尚需更长时间的观察。</w:t>
      </w:r>
    </w:p>
    <w:p>
      <w:pPr>
        <w:spacing w:after="200" w:line="360"/>
        <w:ind w:firstLine="480"/>
      </w:pPr>
      <w:r>
        <w:rPr>
          <w:sz w:val="24"/>
          <w:szCs w:val="24"/>
        </w:rPr>
        <w:t xml:space="preserve">其三，定量分析的局限。本研究主要采用定性案例分析和描述性统计分析，未采用计量经济学方法进行因果推断。财务效应的变化可能受到行业周期、宏观政策等多重因素影响，难以完全归因于REITs驱动轻资产转型。</w:t>
      </w:r>
    </w:p>
    <w:p>
      <w:pPr>
        <w:spacing w:after="200" w:line="360"/>
        <w:ind w:firstLine="480"/>
      </w:pPr>
      <w:r>
        <w:rPr>
          <w:sz w:val="24"/>
          <w:szCs w:val="24"/>
        </w:rPr>
        <w:t xml:space="preserve">其四，国际比较的局限。凯德集团作为验证案例，其制度环境（新加坡）与主案例（中国）存在差异，跨案例比较需要控制制度环境差异的影响。本研究虽已识别制度环境差异对转型路径的影响，但未能系统控制这一变量。</w:t>
      </w:r>
    </w:p>
    <w:p>
      <w:pPr>
        <w:pStyle w:val="Heading3"/>
        <w:spacing w:after="100" w:before="200"/>
      </w:pPr>
      <w:r>
        <w:rPr>
          <w:b/>
          <w:bCs/>
          <w:sz w:val="26"/>
          <w:szCs w:val="26"/>
        </w:rPr>
        <w:t xml:space="preserve">6.5.2 未来研究方向</w:t>
      </w:r>
    </w:p>
    <w:p>
      <w:pPr>
        <w:spacing w:after="200" w:line="360"/>
        <w:ind w:firstLine="480"/>
      </w:pPr>
      <w:r>
        <w:rPr>
          <w:sz w:val="24"/>
          <w:szCs w:val="24"/>
        </w:rPr>
        <w:t xml:space="preserve">基于上述局限性，本研究提出以下未来研究方向：</w:t>
      </w:r>
    </w:p>
    <w:p>
      <w:pPr>
        <w:spacing w:after="200" w:line="360"/>
        <w:ind w:firstLine="480"/>
      </w:pPr>
      <w:r>
        <w:rPr>
          <w:sz w:val="24"/>
          <w:szCs w:val="24"/>
        </w:rPr>
        <w:t xml:space="preserve">其一，扩大案例样本。未来研究可扩大案例样本，纳入万达、新城、龙湖、越秀等更多商业地产企业的转型实践，采用多案例比较研究设计，检验本研究结论的普适性。</w:t>
      </w:r>
    </w:p>
    <w:p>
      <w:pPr>
        <w:spacing w:after="200" w:line="360"/>
        <w:ind w:firstLine="480"/>
      </w:pPr>
      <w:r>
        <w:rPr>
          <w:sz w:val="24"/>
          <w:szCs w:val="24"/>
        </w:rPr>
        <w:t xml:space="preserve">其二，延长观察期。随着中国REITs市场的发展和企业REITs发行的推进，未来研究可延长观察期，跟踪REITs发行后3-5年的财务效应和运营效应变化，评估转型的长期效果。</w:t>
      </w:r>
    </w:p>
    <w:p>
      <w:pPr>
        <w:spacing w:after="200" w:line="360"/>
        <w:ind w:firstLine="480"/>
      </w:pPr>
      <w:r>
        <w:rPr>
          <w:sz w:val="24"/>
          <w:szCs w:val="24"/>
        </w:rPr>
        <w:t xml:space="preserve">其三，引入定量方法。未来研究可采用双重差分法（DID）或倾向得分匹配法（PSM）等计量经济学方法，控制行业周期和宏观政策等混淆因素，更精确地识别REITs驱动轻资产转型的因果效应。</w:t>
      </w:r>
    </w:p>
    <w:p>
      <w:pPr>
        <w:spacing w:after="200" w:line="360"/>
        <w:ind w:firstLine="480"/>
      </w:pPr>
      <w:r>
        <w:rPr>
          <w:sz w:val="24"/>
          <w:szCs w:val="24"/>
        </w:rPr>
        <w:t xml:space="preserve">其四，深化机制研究。未来研究可进一步深化对"三重驱动、双重闭环"机制的研究，特别是资本闭环和能力闭环的协同效应、不同市场环境下转型路径的差异、REITs扩募对资本循环效率的影响等。</w:t>
      </w:r>
    </w:p>
    <w:p>
      <w:pPr>
        <w:spacing w:after="200" w:line="360"/>
        <w:ind w:firstLine="480"/>
      </w:pPr>
      <w:r>
        <w:rPr>
          <w:sz w:val="24"/>
          <w:szCs w:val="24"/>
        </w:rPr>
        <w:t xml:space="preserve">其五，拓展研究范围。未来研究可将研究范围从商业地产拓展到产业地产、物流地产、保障性租赁住房等领域，检验REITs驱动轻资产转型机制在不同资产类型中的适用性。</w:t>
      </w:r>
    </w:p>
    <w:p>
      <w:pPr>
        <w:spacing w:after="200" w:line="360"/>
        <w:ind w:firstLine="480"/>
      </w:pPr>
      <w:r>
        <w:rPr>
          <w:sz w:val="24"/>
          <w:szCs w:val="24"/>
        </w:rPr>
        <w:t xml:space="preserve">其六，深化反面案例研究。未来研究可进一步挖掘REITs发行未能实现轻资产转型的案例，系统分析失败原因，完善边界条件理论。</w:t>
      </w:r>
    </w:p>
    <w:p>
      <w:pPr>
        <w:pStyle w:val="Heading2"/>
        <w:spacing w:after="150" w:before="300"/>
      </w:pPr>
      <w:r>
        <w:rPr>
          <w:b/>
          <w:bCs/>
          <w:sz w:val="28"/>
          <w:szCs w:val="28"/>
        </w:rPr>
        <w:t xml:space="preserve">6.6 结语</w:t>
      </w:r>
    </w:p>
    <w:p>
      <w:pPr>
        <w:spacing w:after="200" w:line="360"/>
        <w:ind w:firstLine="480"/>
      </w:pPr>
      <w:r>
        <w:rPr>
          <w:sz w:val="24"/>
          <w:szCs w:val="24"/>
        </w:rPr>
        <w:t xml:space="preserve">REITs驱动商业地产企业轻资产转型，是中国不动产金融创新与企业战略变革交汇的重要议题。本研究通过华润、凯德的深度案例分析和苏宁的反面案例对比，揭示了REITs驱动轻资产转型的路径、效应和机制，识别了转型成功的边界条件，为理论发展和实践指导提供了参考。</w:t>
      </w:r>
    </w:p>
    <w:p>
      <w:pPr>
        <w:spacing w:after="200" w:line="360"/>
        <w:ind w:firstLine="480"/>
      </w:pPr>
      <w:r>
        <w:rPr>
          <w:sz w:val="24"/>
          <w:szCs w:val="24"/>
        </w:rPr>
        <w:t xml:space="preserve">中国REITs市场仍处于发展初期，商业地产企业的轻资产转型也仍在推进中。随着REITs制度的完善、市场规模的扩张和企业转型的深化，REITs驱动轻资产转型的效应将更加充分地显现。本研究期待为这一进程贡献学术洞见和实践智慧。</w:t>
      </w:r>
    </w:p>
    <w:p>
      <w:pPr>
        <w:pStyle w:val="Heading1"/>
        <w:spacing w:after="200" w:before="400"/>
      </w:pPr>
      <w:r>
        <w:rPr>
          <w:b/>
          <w:bCs/>
          <w:sz w:val="32"/>
          <w:szCs w:val="32"/>
        </w:rPr>
        <w:t xml:space="preserve">参考文献</w:t>
      </w:r>
    </w:p>
    <w:p>
      <w:pPr>
        <w:pStyle w:val="Heading2"/>
        <w:spacing w:after="150" w:before="300"/>
      </w:pPr>
      <w:r>
        <w:rPr>
          <w:b/>
          <w:bCs/>
          <w:sz w:val="28"/>
          <w:szCs w:val="28"/>
        </w:rPr>
        <w:t xml:space="preserve">英文文献</w:t>
      </w:r>
    </w:p>
    <w:p>
      <w:pPr>
        <w:spacing w:after="200" w:line="360"/>
        <w:ind w:firstLine="480"/>
      </w:pPr>
      <w:r>
        <w:rPr>
          <w:sz w:val="24"/>
          <w:szCs w:val="24"/>
        </w:rPr>
        <w:t xml:space="preserve">[1] Barney J. Strategic Factor Markets: Expectations, Luck, and Business Strategy[J]. *Strategic Management Journal*, 1986, 7(1): 49-61.</w:t>
      </w:r>
    </w:p>
    <w:p>
      <w:pPr>
        <w:spacing w:after="200" w:line="360"/>
        <w:ind w:firstLine="480"/>
      </w:pPr>
      <w:r>
        <w:rPr>
          <w:sz w:val="24"/>
          <w:szCs w:val="24"/>
        </w:rPr>
        <w:t xml:space="preserve">[2] Prahalad C K, Hamel G. The Core Competence of the Corporation[J]. *Harvard Business Review*, 1990, 68(3): 79-91.</w:t>
      </w:r>
    </w:p>
    <w:p>
      <w:pPr>
        <w:spacing w:after="200" w:line="360"/>
        <w:ind w:firstLine="480"/>
      </w:pPr>
      <w:r>
        <w:rPr>
          <w:sz w:val="24"/>
          <w:szCs w:val="24"/>
        </w:rPr>
        <w:t xml:space="preserve">[3] Osterwalder A, Pigneur Y. *Business Model Generation: A Handbook for Visionaries, Game Changers, and Challengers*[M]. Hoboken: John Wiley &amp; Sons, 2010.</w:t>
      </w:r>
    </w:p>
    <w:p>
      <w:pPr>
        <w:spacing w:after="200" w:line="360"/>
        <w:ind w:firstLine="480"/>
      </w:pPr>
      <w:r>
        <w:rPr>
          <w:sz w:val="24"/>
          <w:szCs w:val="24"/>
        </w:rPr>
        <w:t xml:space="preserve">[4] Sohn J, Tang C, Jang S. Can an Asset-Light and Fee-Oriented Strategy Create Value?: Evidence from Hotel Initial Public Offerings[J]. *International Journal of Hospitality Management*, 2013, 32: 144-152.</w:t>
      </w:r>
    </w:p>
    <w:p>
      <w:pPr>
        <w:spacing w:after="200" w:line="360"/>
        <w:ind w:firstLine="480"/>
      </w:pPr>
      <w:r>
        <w:rPr>
          <w:sz w:val="24"/>
          <w:szCs w:val="24"/>
        </w:rPr>
        <w:t xml:space="preserve">[5] Turner M J, Guilding C. Hotel Management Contracts: An Analysis of the Perceptions of Owner and Operator Objectives[J]. *Journal of Hospitality &amp; Tourism Education*, 2010, 22(1): 5-15.</w:t>
      </w:r>
    </w:p>
    <w:p>
      <w:pPr>
        <w:spacing w:after="200" w:line="360"/>
        <w:ind w:firstLine="480"/>
      </w:pPr>
      <w:r>
        <w:rPr>
          <w:sz w:val="24"/>
          <w:szCs w:val="24"/>
        </w:rPr>
        <w:t xml:space="preserve">[6] Boudry W I, Coulson N E, Kallberg J G, et al. The Hybrid Nature of REITs[J]. *Journal of Real Estate Finance and Economics*, 2012, 44(1-2): 230-253.</w:t>
      </w:r>
    </w:p>
    <w:p>
      <w:pPr>
        <w:spacing w:after="200" w:line="360"/>
        <w:ind w:firstLine="480"/>
      </w:pPr>
      <w:r>
        <w:rPr>
          <w:sz w:val="24"/>
          <w:szCs w:val="24"/>
        </w:rPr>
        <w:t xml:space="preserve">[7] Hardin W G, Wu Z. Banking Relationships and REIT Capital Structure[J]. *Real Estate Economics*, 2010, 38(1): 1-23.</w:t>
      </w:r>
    </w:p>
    <w:p>
      <w:pPr>
        <w:spacing w:after="200" w:line="360"/>
        <w:ind w:firstLine="480"/>
      </w:pPr>
      <w:r>
        <w:rPr>
          <w:sz w:val="24"/>
          <w:szCs w:val="24"/>
        </w:rPr>
        <w:t xml:space="preserve">[8] Capozza D R, Seguin P J. Inside Ownership, Risk Sharing, and Tobin's Q-Ratios: Evidence from REITs[J]. *Real Estate Economics*, 2003, 31(3): 367-404.</w:t>
      </w:r>
    </w:p>
    <w:p>
      <w:pPr>
        <w:spacing w:after="200" w:line="360"/>
        <w:ind w:firstLine="480"/>
      </w:pPr>
      <w:r>
        <w:rPr>
          <w:sz w:val="24"/>
          <w:szCs w:val="24"/>
        </w:rPr>
        <w:t xml:space="preserve">[9] Ambrose B W, Linneman P D. REIT Organizational Structure and Operating Characteristics[J]. *Journal of Real Estate Research*, 2001, 21(3): 141-162.</w:t>
      </w:r>
    </w:p>
    <w:p>
      <w:pPr>
        <w:spacing w:after="200" w:line="360"/>
        <w:ind w:firstLine="480"/>
      </w:pPr>
      <w:r>
        <w:rPr>
          <w:sz w:val="24"/>
          <w:szCs w:val="24"/>
        </w:rPr>
        <w:t xml:space="preserve">[10] Ghosh C, Sirmans C F. Board Independence, Ownership Structure and Performance: Evidence from Real Estate Investment Trusts[J]. *Journal of Real Estate Finance and Economics*, 2003, 26(2-3): 287-318.</w:t>
      </w:r>
    </w:p>
    <w:p>
      <w:pPr>
        <w:spacing w:after="200" w:line="360"/>
        <w:ind w:firstLine="480"/>
      </w:pPr>
      <w:r>
        <w:rPr>
          <w:sz w:val="24"/>
          <w:szCs w:val="24"/>
        </w:rPr>
        <w:t xml:space="preserve">[11] Kotter J P. *Leading Change*[M]. Boston: Harvard Business School Press, 1996.</w:t>
      </w:r>
    </w:p>
    <w:p>
      <w:pPr>
        <w:spacing w:after="200" w:line="360"/>
        <w:ind w:firstLine="480"/>
      </w:pPr>
      <w:r>
        <w:rPr>
          <w:sz w:val="24"/>
          <w:szCs w:val="24"/>
        </w:rPr>
        <w:t xml:space="preserve">[12] Teece D J. Dynamic Capabilities and Strategic Management[M]//*Dynamic Capabilities and Strategic Management: Organizing for Innovation and Growth*. Oxford: Oxford University Press, 2009: 1-33.</w:t>
      </w:r>
    </w:p>
    <w:p>
      <w:pPr>
        <w:spacing w:after="200" w:line="360"/>
        <w:ind w:firstLine="480"/>
      </w:pPr>
      <w:r>
        <w:rPr>
          <w:sz w:val="24"/>
          <w:szCs w:val="24"/>
        </w:rPr>
        <w:t xml:space="preserve">[13] Penrose E T. *The Theory of the Growth of the Firm*[M]. New York: John Wiley &amp; Sons, 1959.</w:t>
      </w:r>
    </w:p>
    <w:p>
      <w:pPr>
        <w:spacing w:after="200" w:line="360"/>
        <w:ind w:firstLine="480"/>
      </w:pPr>
      <w:r>
        <w:rPr>
          <w:sz w:val="24"/>
          <w:szCs w:val="24"/>
        </w:rPr>
        <w:t xml:space="preserve">[14] Porter M E. *Competitive Advantage: Creating and Sustaining Superior Performance*[M]. New York: Free Press, 1985.</w:t>
      </w:r>
    </w:p>
    <w:p>
      <w:pPr>
        <w:spacing w:after="200" w:line="360"/>
        <w:ind w:firstLine="480"/>
      </w:pPr>
      <w:r>
        <w:rPr>
          <w:sz w:val="24"/>
          <w:szCs w:val="24"/>
        </w:rPr>
        <w:t xml:space="preserve">[15] Furrer O, Thomas H, Goussevskaia A. The Structure and Evolution of the Strategic Management Field: A Content Analysis of 26 Years of Strategic Management Research[J]. *Strategic Management Journal*, 2004, 25(8): 737-748.</w:t>
      </w:r>
    </w:p>
    <w:p>
      <w:pPr>
        <w:pStyle w:val="Heading2"/>
        <w:spacing w:after="150" w:before="300"/>
      </w:pPr>
      <w:r>
        <w:rPr>
          <w:b/>
          <w:bCs/>
          <w:sz w:val="28"/>
          <w:szCs w:val="28"/>
        </w:rPr>
        <w:t xml:space="preserve">中文文献</w:t>
      </w:r>
    </w:p>
    <w:p>
      <w:pPr>
        <w:spacing w:after="200" w:line="360"/>
        <w:ind w:firstLine="480"/>
      </w:pPr>
      <w:r>
        <w:rPr>
          <w:sz w:val="24"/>
          <w:szCs w:val="24"/>
        </w:rPr>
        <w:t xml:space="preserve">[16] 杨奕, 郭杰群. 凯德模式：私募基金+REITs的资本闭环[J]. 北大金融评论, 2024(1): 85-92.</w:t>
      </w:r>
    </w:p>
    <w:p>
      <w:pPr>
        <w:spacing w:after="200" w:line="360"/>
        <w:ind w:firstLine="480"/>
      </w:pPr>
      <w:r>
        <w:rPr>
          <w:sz w:val="24"/>
          <w:szCs w:val="24"/>
        </w:rPr>
        <w:t xml:space="preserve">[17] 张红, 陈骁. 万达商管轻资产转型路径研究[J]. 中国房地产, 2022(15): 24-31.</w:t>
      </w:r>
    </w:p>
    <w:p>
      <w:pPr>
        <w:spacing w:after="200" w:line="360"/>
        <w:ind w:firstLine="480"/>
      </w:pPr>
      <w:r>
        <w:rPr>
          <w:sz w:val="24"/>
          <w:szCs w:val="24"/>
        </w:rPr>
        <w:t xml:space="preserve">[18] 陈启宗, 刘志强. REITs对商业地产企业资本结构的影响研究——以越秀房产基金为例[J]. 证券市场导报, 2023(8): 45-52.</w:t>
      </w:r>
    </w:p>
    <w:p>
      <w:pPr>
        <w:pStyle w:val="Heading2"/>
        <w:spacing w:after="150" w:before="300"/>
      </w:pPr>
      <w:r>
        <w:rPr>
          <w:b/>
          <w:bCs/>
          <w:sz w:val="28"/>
          <w:szCs w:val="28"/>
        </w:rPr>
        <w:t xml:space="preserve">政策文件与行业报告</w:t>
      </w:r>
    </w:p>
    <w:p>
      <w:pPr>
        <w:spacing w:after="200" w:line="360"/>
        <w:ind w:firstLine="480"/>
      </w:pPr>
      <w:r>
        <w:rPr>
          <w:sz w:val="24"/>
          <w:szCs w:val="24"/>
        </w:rPr>
        <w:t xml:space="preserve">[19] 财政部, 税务总局. 关于基础设施领域不动产投资信托基金（REITs）试点税收政策的公告[Z]. 财政部公告2022年第3号, 2022.</w:t>
      </w:r>
    </w:p>
    <w:p>
      <w:pPr>
        <w:spacing w:after="200" w:line="360"/>
        <w:ind w:firstLine="480"/>
      </w:pPr>
      <w:r>
        <w:rPr>
          <w:sz w:val="24"/>
          <w:szCs w:val="24"/>
        </w:rPr>
        <w:t xml:space="preserve">[20] 国家发展改革委, 中国证监会. 关于推进基础设施领域不动产投资信托基金（REITs）试点相关工作的通知[Z]. 发改投资〔2020〕586号, 2020.</w:t>
      </w:r>
    </w:p>
    <w:p>
      <w:pPr>
        <w:spacing w:after="200" w:line="360"/>
        <w:ind w:firstLine="480"/>
      </w:pPr>
      <w:r>
        <w:rPr>
          <w:sz w:val="24"/>
          <w:szCs w:val="24"/>
        </w:rPr>
        <w:t xml:space="preserve">[21] 中国证监会. 公开募集基础设施证券投资基金指引（试行）[Z]. 证监会公告〔2020〕54号, 2020.</w:t>
      </w:r>
    </w:p>
    <w:p>
      <w:pPr>
        <w:spacing w:after="200" w:line="360"/>
        <w:ind w:firstLine="480"/>
      </w:pPr>
      <w:r>
        <w:rPr>
          <w:sz w:val="24"/>
          <w:szCs w:val="24"/>
        </w:rPr>
        <w:t xml:space="preserve">[22] 上海证券交易所, 深圳证券交易所. 公开募集基础设施证券投资基金业务办法（试行）[Z]. 2021.</w:t>
      </w:r>
    </w:p>
    <w:p>
      <w:pPr>
        <w:spacing w:after="200" w:line="360"/>
        <w:ind w:firstLine="480"/>
      </w:pPr>
      <w:r>
        <w:rPr>
          <w:sz w:val="24"/>
          <w:szCs w:val="24"/>
        </w:rPr>
        <w:t xml:space="preserve">[23] 华润置地有限公司. 2020-2024年年度报告[R]. 香港: 华润置地有限公司, 2021-2025.</w:t>
      </w:r>
    </w:p>
    <w:p>
      <w:pPr>
        <w:spacing w:after="200" w:line="360"/>
        <w:ind w:firstLine="480"/>
      </w:pPr>
      <w:r>
        <w:rPr>
          <w:sz w:val="24"/>
          <w:szCs w:val="24"/>
        </w:rPr>
        <w:t xml:space="preserve">[24] 华润万象生活有限公司. 2020-2024年年度报告[R]. 香港: 华润万象生活有限公司, 2021-2025.</w:t>
      </w:r>
    </w:p>
    <w:p>
      <w:pPr>
        <w:spacing w:after="200" w:line="360"/>
        <w:ind w:firstLine="480"/>
      </w:pPr>
      <w:r>
        <w:rPr>
          <w:sz w:val="24"/>
          <w:szCs w:val="24"/>
        </w:rPr>
        <w:t xml:space="preserve">[25] 凯德投资. 2020-2024年年度报告[R]. 新加坡: 凯德投资, 2021-2025.</w:t>
      </w:r>
    </w:p>
    <w:p>
      <w:pPr>
        <w:spacing w:after="200" w:line="360"/>
        <w:ind w:firstLine="480"/>
      </w:pPr>
      <w:r>
        <w:rPr>
          <w:sz w:val="24"/>
          <w:szCs w:val="24"/>
        </w:rPr>
        <w:t xml:space="preserve">[26] 苏宁易购集团股份有限公司. 2015-2023年年度报告[R]. 南京: 苏宁易购, 2016-2024.</w:t>
      </w:r>
    </w:p>
    <w:p>
      <w:pPr>
        <w:spacing w:after="200" w:line="360"/>
        <w:ind w:firstLine="480"/>
      </w:pPr>
      <w:r>
        <w:rPr>
          <w:sz w:val="24"/>
          <w:szCs w:val="24"/>
        </w:rPr>
        <w:t xml:space="preserve">[27] 国家发展和改革委员会. 基础设施领域不动产投资信托基金（REITs）试点项目申报要求[Z]. 2020.</w:t>
      </w:r>
    </w:p>
    <w:p>
      <w:pPr>
        <w:spacing w:after="200" w:line="360"/>
        <w:ind w:firstLine="480"/>
      </w:pPr>
      <w:r>
        <w:rPr>
          <w:sz w:val="24"/>
          <w:szCs w:val="24"/>
        </w:rPr>
        <w:t xml:space="preserve">[28] 中国证券投资基金业协会. 公开募集基础设施证券投资基金尽职调查工作指引（试行）[Z]. 2021.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jc w:val="center"/>
    </w:pPr>
    <w:rPr>
      <w:rFonts w:ascii="黑体" w:cs="黑体" w:eastAsia="黑体" w:hAnsi="黑体"/>
      <w:b/>
      <w:bCs/>
      <w:sz w:val="32"/>
      <w:szCs w:val="32"/>
    </w:rPr>
  </w:style>
  <w:style w:type="paragraph" w:styleId="Heading2">
    <w:name w:val="Heading 2"/>
    <w:basedOn w:val="Normal"/>
    <w:next w:val="Normal"/>
    <w:qFormat/>
    <w:pPr>
      <w:spacing w:after="150" w:before="300"/>
    </w:pPr>
    <w:rPr>
      <w:rFonts w:ascii="黑体" w:cs="黑体" w:eastAsia="黑体" w:hAnsi="黑体"/>
      <w:b/>
      <w:bCs/>
      <w:sz w:val="28"/>
      <w:szCs w:val="28"/>
    </w:rPr>
  </w:style>
  <w:style w:type="paragraph" w:styleId="Heading3">
    <w:name w:val="Heading 3"/>
    <w:basedOn w:val="Normal"/>
    <w:next w:val="Normal"/>
    <w:qFormat/>
    <w:pPr>
      <w:spacing w:after="100" w:before="200"/>
    </w:pPr>
    <w:rPr>
      <w:rFonts w:ascii="黑体" w:cs="黑体" w:eastAsia="黑体" w:hAnsi="黑体"/>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2026-05-25T09:33:58.110Z</dcterms:created>
  <dcterms:modified xsi:type="dcterms:W3CDTF">2026-05-25T09:33:58.111Z</dcterms:modified>
</cp:coreProperties>
</file>

<file path=docProps/custom.xml><?xml version="1.0" encoding="utf-8"?>
<Properties xmlns="http://schemas.openxmlformats.org/officeDocument/2006/custom-properties" xmlns:vt="http://schemas.openxmlformats.org/officeDocument/2006/docPropsVTypes"/>
</file>