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E7D32"/>
          <w:sz w:val="48"/>
          <w:szCs w:val="48"/>
        </w:rPr>
        <w:t xml:space="preserve">AI Model Progress Report</w:t>
      </w:r>
    </w:p>
    <w:p>
      <w:pPr>
        <w:spacing w:after="40"/>
        <w:jc w:val="center"/>
      </w:pPr>
      <w:r>
        <w:rPr>
          <w:rFonts w:ascii="Arial" w:cs="Arial" w:eastAsia="Arial" w:hAnsi="Arial"/>
          <w:color w:val="555555"/>
          <w:sz w:val="26"/>
          <w:szCs w:val="26"/>
        </w:rPr>
        <w:t xml:space="preserve">YOLO26s-Based Maize Tassel Detection</w:t>
      </w:r>
    </w:p>
    <w:p>
      <w:pPr>
        <w:spacing w:after="300"/>
        <w:jc w:val="center"/>
      </w:pPr>
      <w:r>
        <w:rPr>
          <w:rFonts w:ascii="Arial" w:cs="Arial" w:eastAsia="Arial" w:hAnsi="Arial"/>
          <w:color w:val="888888"/>
          <w:sz w:val="22"/>
          <w:szCs w:val="22"/>
        </w:rPr>
        <w:t xml:space="preserve">FYP-26-S2-7 | Week 10 | 13 June 2026</w:t>
      </w:r>
    </w:p>
    <w:p>
      <w:pPr>
        <w:pStyle w:val="Heading1"/>
      </w:pPr>
      <w:r>
        <w:t xml:space="preserve">1. Dataset Source Explanation</w:t>
      </w:r>
    </w:p>
    <w:p>
      <w:pPr>
        <w:spacing w:after="120"/>
      </w:pPr>
      <w:r>
        <w:t xml:space="preserve">The model is trained on two publicly available maize tassel datasets, combining ground-level and UAV (drone) imagery to ensure robust detection across different capture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300"/>
        <w:gridCol w:w="1600"/>
        <w:gridCol w:w="1160"/>
      </w:tblGrid>
      <w:tr>
        <w:tc>
          <w:tcPr>
            <w:tcW w:type="dxa" w:w="2500"/>
            <w:tcBorders>
              <w:top w:val="single" w:color="BBBBBB" w:sz="1"/>
              <w:left w:val="single" w:color="BBBBBB" w:sz="1"/>
              <w:bottom w:val="single" w:color="BBBBBB" w:sz="1"/>
              <w:right w:val="single" w:color="BBBBBB" w:sz="1"/>
            </w:tcBorders>
            <w:shd w:fill="2E7D32"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Dataset</w:t>
            </w:r>
          </w:p>
        </w:tc>
        <w:tc>
          <w:tcPr>
            <w:tcW w:type="dxa" w:w="1800"/>
            <w:tcBorders>
              <w:top w:val="single" w:color="BBBBBB" w:sz="1"/>
              <w:left w:val="single" w:color="BBBBBB" w:sz="1"/>
              <w:bottom w:val="single" w:color="BBBBBB" w:sz="1"/>
              <w:right w:val="single" w:color="BBBBBB" w:sz="1"/>
            </w:tcBorders>
            <w:shd w:fill="2E7D32"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Source</w:t>
            </w:r>
          </w:p>
        </w:tc>
        <w:tc>
          <w:tcPr>
            <w:tcW w:type="dxa" w:w="2300"/>
            <w:tcBorders>
              <w:top w:val="single" w:color="BBBBBB" w:sz="1"/>
              <w:left w:val="single" w:color="BBBBBB" w:sz="1"/>
              <w:bottom w:val="single" w:color="BBBBBB" w:sz="1"/>
              <w:right w:val="single" w:color="BBBBBB" w:sz="1"/>
            </w:tcBorders>
            <w:shd w:fill="2E7D32"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Annotation</w:t>
            </w:r>
          </w:p>
        </w:tc>
        <w:tc>
          <w:tcPr>
            <w:tcW w:type="dxa" w:w="1600"/>
            <w:tcBorders>
              <w:top w:val="single" w:color="BBBBBB" w:sz="1"/>
              <w:left w:val="single" w:color="BBBBBB" w:sz="1"/>
              <w:bottom w:val="single" w:color="BBBBBB" w:sz="1"/>
              <w:right w:val="single" w:color="BBBBBB" w:sz="1"/>
            </w:tcBorders>
            <w:shd w:fill="2E7D32"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Images</w:t>
            </w:r>
          </w:p>
        </w:tc>
        <w:tc>
          <w:tcPr>
            <w:tcW w:type="dxa" w:w="1160"/>
            <w:tcBorders>
              <w:top w:val="single" w:color="BBBBBB" w:sz="1"/>
              <w:left w:val="single" w:color="BBBBBB" w:sz="1"/>
              <w:bottom w:val="single" w:color="BBBBBB" w:sz="1"/>
              <w:right w:val="single" w:color="BBBBBB" w:sz="1"/>
            </w:tcBorders>
            <w:shd w:fill="2E7D32"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Type</w:t>
            </w:r>
          </w:p>
        </w:tc>
      </w:tr>
      <w:tr>
        <w:tc>
          <w:tcPr>
            <w:tcW w:type="dxa" w:w="250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left"/>
            </w:pPr>
            <w:r>
              <w:rPr>
                <w:rFonts w:ascii="Arial" w:cs="Arial" w:eastAsia="Arial" w:hAnsi="Arial"/>
                <w:sz w:val="17"/>
                <w:szCs w:val="17"/>
              </w:rPr>
              <w:t xml:space="preserve">MCD (Maize Counting Dataset)</w:t>
            </w:r>
          </w:p>
        </w:tc>
        <w:tc>
          <w:tcPr>
            <w:tcW w:type="dxa" w:w="180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left"/>
            </w:pPr>
            <w:r>
              <w:rPr>
                <w:rFonts w:ascii="Arial" w:cs="Arial" w:eastAsia="Arial" w:hAnsi="Arial"/>
                <w:sz w:val="17"/>
                <w:szCs w:val="17"/>
              </w:rPr>
              <w:t xml:space="preserve">Dryad / OPIA</w:t>
            </w:r>
          </w:p>
        </w:tc>
        <w:tc>
          <w:tcPr>
            <w:tcW w:type="dxa" w:w="230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left"/>
            </w:pPr>
            <w:r>
              <w:rPr>
                <w:rFonts w:ascii="Arial" w:cs="Arial" w:eastAsia="Arial" w:hAnsi="Arial"/>
                <w:sz w:val="17"/>
                <w:szCs w:val="17"/>
              </w:rPr>
              <w:t xml:space="preserve">.mat structs (bndbox)</w:t>
            </w:r>
          </w:p>
        </w:tc>
        <w:tc>
          <w:tcPr>
            <w:tcW w:type="dxa" w:w="160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center"/>
            </w:pPr>
            <w:r>
              <w:rPr>
                <w:rFonts w:ascii="Arial" w:cs="Arial" w:eastAsia="Arial" w:hAnsi="Arial"/>
                <w:sz w:val="17"/>
                <w:szCs w:val="17"/>
              </w:rPr>
              <w:t xml:space="preserve">361 images</w:t>
            </w:r>
          </w:p>
        </w:tc>
        <w:tc>
          <w:tcPr>
            <w:tcW w:type="dxa" w:w="116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center"/>
            </w:pPr>
            <w:r>
              <w:rPr>
                <w:rFonts w:ascii="Arial" w:cs="Arial" w:eastAsia="Arial" w:hAnsi="Arial"/>
                <w:sz w:val="17"/>
                <w:szCs w:val="17"/>
              </w:rPr>
              <w:t xml:space="preserve">Ground-level</w:t>
            </w:r>
          </w:p>
        </w:tc>
      </w:tr>
      <w:tr>
        <w:tc>
          <w:tcPr>
            <w:tcW w:type="dxa" w:w="2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left"/>
            </w:pPr>
            <w:r>
              <w:rPr>
                <w:rFonts w:ascii="Arial" w:cs="Arial" w:eastAsia="Arial" w:hAnsi="Arial"/>
                <w:sz w:val="17"/>
                <w:szCs w:val="17"/>
              </w:rPr>
              <w:t xml:space="preserve">MTDC-UAV</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left"/>
            </w:pPr>
            <w:r>
              <w:rPr>
                <w:rFonts w:ascii="Arial" w:cs="Arial" w:eastAsia="Arial" w:hAnsi="Arial"/>
                <w:sz w:val="17"/>
                <w:szCs w:val="17"/>
              </w:rPr>
              <w:t xml:space="preserve">Dryad / OPIA</w:t>
            </w:r>
          </w:p>
        </w:tc>
        <w:tc>
          <w:tcPr>
            <w:tcW w:type="dxa" w:w="2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left"/>
            </w:pPr>
            <w:r>
              <w:rPr>
                <w:rFonts w:ascii="Arial" w:cs="Arial" w:eastAsia="Arial" w:hAnsi="Arial"/>
                <w:sz w:val="17"/>
                <w:szCs w:val="17"/>
              </w:rPr>
              <w:t xml:space="preserve">Pascal VOC XML (&lt;bndbox&gt;)</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center"/>
            </w:pPr>
            <w:r>
              <w:rPr>
                <w:rFonts w:ascii="Arial" w:cs="Arial" w:eastAsia="Arial" w:hAnsi="Arial"/>
                <w:sz w:val="17"/>
                <w:szCs w:val="17"/>
              </w:rPr>
              <w:t xml:space="preserve">800 images</w:t>
            </w:r>
          </w:p>
        </w:tc>
        <w:tc>
          <w:tcPr>
            <w:tcW w:type="dxa" w:w="1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center"/>
            </w:pPr>
            <w:r>
              <w:rPr>
                <w:rFonts w:ascii="Arial" w:cs="Arial" w:eastAsia="Arial" w:hAnsi="Arial"/>
                <w:sz w:val="17"/>
                <w:szCs w:val="17"/>
              </w:rPr>
              <w:t xml:space="preserve">Drone / UAV</w:t>
            </w:r>
          </w:p>
        </w:tc>
      </w:tr>
    </w:tbl>
    <w:p>
      <w:pPr>
        <w:spacing w:after="60" w:before="60"/>
      </w:pPr>
      <w:r>
        <w:rPr>
          <w:b/>
          <w:bCs/>
          <w:i/>
          <w:iCs/>
        </w:rPr>
        <w:t xml:space="preserve">Table 1: </w:t>
      </w:r>
      <w:r>
        <w:rPr>
          <w:i/>
          <w:iCs/>
        </w:rPr>
        <w:t xml:space="preserve">Training datasets used for YOLO26s maize tassel detection</w:t>
      </w:r>
    </w:p>
    <w:p>
      <w:pPr>
        <w:spacing w:after="80"/>
      </w:pPr>
      <w:r>
        <w:t xml:space="preserve">After SAHI tiling (640x640, 40% overlap), the combined dataset yields: </w:t>
      </w:r>
      <w:r>
        <w:rPr>
          <w:b/>
          <w:bCs/>
        </w:rPr>
        <w:t xml:space="preserve">train: 10,919 | val: 2,726 | test: 8,698</w:t>
      </w:r>
      <w:r>
        <w:t xml:space="preserve"> tiles. MCD contributes 251 ground-level images; the remaining are UAV tiles.</w:t>
      </w:r>
    </w:p>
    <w:p>
      <w:r>
        <w:br w:type="page"/>
      </w:r>
    </w:p>
    <w:p>
      <w:pPr>
        <w:pStyle w:val="Heading1"/>
      </w:pPr>
      <w:r>
        <w:t xml:space="preserve">2. Maize Image Samples</w:t>
      </w:r>
    </w:p>
    <w:p>
      <w:pPr>
        <w:spacing w:after="120"/>
      </w:pPr>
      <w:r>
        <w:t xml:space="preserve">Below are original maize field images from the MTDC-UAV dataset. These drone-captured images show maize crops at various growth stages and field conditions, used as input to the tassel detection pipeline.</w:t>
      </w:r>
    </w:p>
    <w:p>
      <w:pPr>
        <w:spacing w:after="60" w:before="60"/>
        <w:jc w:val="center"/>
      </w:pPr>
      <w:r>
        <w:drawing>
          <wp:inline distT="0" distB="0" distL="0" distR="0">
            <wp:extent cx="3810000" cy="2857500"/>
            <wp:effectExtent t="0" r="0" b="0" l="0"/>
            <wp:docPr id="1" name="ai/samples/DJI_0243 (2).JPG" descr="ai/samples/DJI_0243 (2).JPG" title="ai/samples/DJI_0243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857500"/>
                    </a:xfrm>
                    <a:prstGeom prst="rect">
                      <a:avLst/>
                    </a:prstGeom>
                  </pic:spPr>
                </pic:pic>
              </a:graphicData>
            </a:graphic>
          </wp:inline>
        </w:drawing>
      </w:r>
    </w:p>
    <w:p>
      <w:pPr>
        <w:spacing w:after="140"/>
        <w:jc w:val="center"/>
      </w:pPr>
      <w:r>
        <w:rPr>
          <w:rFonts w:ascii="Arial" w:cs="Arial" w:eastAsia="Arial" w:hAnsi="Arial"/>
          <w:i/>
          <w:iCs/>
          <w:color w:val="555555"/>
          <w:sz w:val="18"/>
          <w:szCs w:val="18"/>
        </w:rPr>
        <w:t xml:space="preserve">Figure 1: DJI_0243 (2).JPG (Original UAV image)</w:t>
      </w:r>
    </w:p>
    <w:p>
      <w:pPr>
        <w:spacing w:after="60" w:before="60"/>
        <w:jc w:val="center"/>
      </w:pPr>
      <w:r>
        <w:drawing>
          <wp:inline distT="0" distB="0" distL="0" distR="0">
            <wp:extent cx="3810000" cy="2857500"/>
            <wp:effectExtent t="0" r="0" b="0" l="0"/>
            <wp:docPr id="1" name="ai/samples/DJI_0298 (2)_0_0.JPG" descr="ai/samples/DJI_0298 (2)_0_0.JPG" title="ai/samples/DJI_0298 (2)_0_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857500"/>
                    </a:xfrm>
                    <a:prstGeom prst="rect">
                      <a:avLst/>
                    </a:prstGeom>
                  </pic:spPr>
                </pic:pic>
              </a:graphicData>
            </a:graphic>
          </wp:inline>
        </w:drawing>
      </w:r>
    </w:p>
    <w:p>
      <w:pPr>
        <w:spacing w:after="140"/>
        <w:jc w:val="center"/>
      </w:pPr>
      <w:r>
        <w:rPr>
          <w:rFonts w:ascii="Arial" w:cs="Arial" w:eastAsia="Arial" w:hAnsi="Arial"/>
          <w:i/>
          <w:iCs/>
          <w:color w:val="555555"/>
          <w:sz w:val="18"/>
          <w:szCs w:val="18"/>
        </w:rPr>
        <w:t xml:space="preserve">Figure 2: DJI_0298 (2)_0_0.JPG (Original UAV image)</w:t>
      </w:r>
    </w:p>
    <w:p>
      <w:pPr>
        <w:spacing w:after="60" w:before="60"/>
        <w:jc w:val="center"/>
      </w:pPr>
      <w:r>
        <w:drawing>
          <wp:inline distT="0" distB="0" distL="0" distR="0">
            <wp:extent cx="3810000" cy="2857500"/>
            <wp:effectExtent t="0" r="0" b="0" l="0"/>
            <wp:docPr id="1" name="ai/samples/DJI_0408 (2)_0_1.JPG" descr="ai/samples/DJI_0408 (2)_0_1.JPG" title="ai/samples/DJI_0408 (2)_0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857500"/>
                    </a:xfrm>
                    <a:prstGeom prst="rect">
                      <a:avLst/>
                    </a:prstGeom>
                  </pic:spPr>
                </pic:pic>
              </a:graphicData>
            </a:graphic>
          </wp:inline>
        </w:drawing>
      </w:r>
    </w:p>
    <w:p>
      <w:pPr>
        <w:spacing w:after="140"/>
        <w:jc w:val="center"/>
      </w:pPr>
      <w:r>
        <w:rPr>
          <w:rFonts w:ascii="Arial" w:cs="Arial" w:eastAsia="Arial" w:hAnsi="Arial"/>
          <w:i/>
          <w:iCs/>
          <w:color w:val="555555"/>
          <w:sz w:val="18"/>
          <w:szCs w:val="18"/>
        </w:rPr>
        <w:t xml:space="preserve">Figure 3: DJI_0408 (2)_0_1.JPG (Original UAV image)</w:t>
      </w:r>
    </w:p>
    <w:p>
      <w:pPr>
        <w:spacing w:after="60" w:before="60"/>
        <w:jc w:val="center"/>
      </w:pPr>
      <w:r>
        <w:drawing>
          <wp:inline distT="0" distB="0" distL="0" distR="0">
            <wp:extent cx="3810000" cy="2857500"/>
            <wp:effectExtent t="0" r="0" b="0" l="0"/>
            <wp:docPr id="1" name="ai/samples/DJI_0617_0_0.JPG" descr="ai/samples/DJI_0617_0_0.JPG" title="ai/samples/DJI_0617_0_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857500"/>
                    </a:xfrm>
                    <a:prstGeom prst="rect">
                      <a:avLst/>
                    </a:prstGeom>
                  </pic:spPr>
                </pic:pic>
              </a:graphicData>
            </a:graphic>
          </wp:inline>
        </w:drawing>
      </w:r>
    </w:p>
    <w:p>
      <w:pPr>
        <w:spacing w:after="140"/>
        <w:jc w:val="center"/>
      </w:pPr>
      <w:r>
        <w:rPr>
          <w:rFonts w:ascii="Arial" w:cs="Arial" w:eastAsia="Arial" w:hAnsi="Arial"/>
          <w:i/>
          <w:iCs/>
          <w:color w:val="555555"/>
          <w:sz w:val="18"/>
          <w:szCs w:val="18"/>
        </w:rPr>
        <w:t xml:space="preserve">Figure 4: DJI_0617_0_0.JPG (Original UAV image)</w:t>
      </w:r>
    </w:p>
    <w:p>
      <w:r>
        <w:br w:type="page"/>
      </w:r>
    </w:p>
    <w:p>
      <w:pPr>
        <w:pStyle w:val="Heading1"/>
      </w:pPr>
      <w:r>
        <w:t xml:space="preserve">3. Annotation Method</w:t>
      </w:r>
    </w:p>
    <w:p>
      <w:pPr>
        <w:spacing w:after="120"/>
      </w:pPr>
      <w:r>
        <w:t xml:space="preserve">Annotations are converted from their original formats into the YOLO normalized format: </w:t>
      </w:r>
      <w:r>
        <w:rPr>
          <w:b/>
          <w:bCs/>
        </w:rPr>
        <w:t xml:space="preserve">[class_id x_center y_center width height]</w:t>
      </w:r>
      <w:r>
        <w:t xml:space="preserve">, where all coordinates are normalized to [0,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BBBBBB" w:sz="1"/>
              <w:left w:val="single" w:color="BBBBBB" w:sz="1"/>
              <w:bottom w:val="single" w:color="BBBBBB" w:sz="1"/>
              <w:right w:val="single" w:color="BBBBBB" w:sz="1"/>
            </w:tcBorders>
            <w:shd w:fill="2E7D32"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Dataset</w:t>
            </w:r>
          </w:p>
        </w:tc>
        <w:tc>
          <w:tcPr>
            <w:tcW w:type="dxa" w:w="2400"/>
            <w:tcBorders>
              <w:top w:val="single" w:color="BBBBBB" w:sz="1"/>
              <w:left w:val="single" w:color="BBBBBB" w:sz="1"/>
              <w:bottom w:val="single" w:color="BBBBBB" w:sz="1"/>
              <w:right w:val="single" w:color="BBBBBB" w:sz="1"/>
            </w:tcBorders>
            <w:shd w:fill="2E7D32"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Original Format</w:t>
            </w:r>
          </w:p>
        </w:tc>
        <w:tc>
          <w:tcPr>
            <w:tcW w:type="dxa" w:w="2400"/>
            <w:tcBorders>
              <w:top w:val="single" w:color="BBBBBB" w:sz="1"/>
              <w:left w:val="single" w:color="BBBBBB" w:sz="1"/>
              <w:bottom w:val="single" w:color="BBBBBB" w:sz="1"/>
              <w:right w:val="single" w:color="BBBBBB" w:sz="1"/>
            </w:tcBorders>
            <w:shd w:fill="2E7D32"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Annotation Tool</w:t>
            </w:r>
          </w:p>
        </w:tc>
        <w:tc>
          <w:tcPr>
            <w:tcW w:type="dxa" w:w="2360"/>
            <w:tcBorders>
              <w:top w:val="single" w:color="BBBBBB" w:sz="1"/>
              <w:left w:val="single" w:color="BBBBBB" w:sz="1"/>
              <w:bottom w:val="single" w:color="BBBBBB" w:sz="1"/>
              <w:right w:val="single" w:color="BBBBBB" w:sz="1"/>
            </w:tcBorders>
            <w:shd w:fill="2E7D32"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Output Format</w:t>
            </w:r>
          </w:p>
        </w:tc>
      </w:tr>
      <w:tr>
        <w:tc>
          <w:tcPr>
            <w:tcW w:type="dxa" w:w="220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left"/>
            </w:pPr>
            <w:r>
              <w:rPr>
                <w:rFonts w:ascii="Arial" w:cs="Arial" w:eastAsia="Arial" w:hAnsi="Arial"/>
                <w:sz w:val="17"/>
                <w:szCs w:val="17"/>
              </w:rPr>
              <w:t xml:space="preserve">MCD</w:t>
            </w:r>
          </w:p>
        </w:tc>
        <w:tc>
          <w:tcPr>
            <w:tcW w:type="dxa" w:w="240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left"/>
            </w:pPr>
            <w:r>
              <w:rPr>
                <w:rFonts w:ascii="Arial" w:cs="Arial" w:eastAsia="Arial" w:hAnsi="Arial"/>
                <w:sz w:val="17"/>
                <w:szCs w:val="17"/>
              </w:rPr>
              <w:t xml:space="preserve">.mat structs (x, y, w, h)</w:t>
            </w:r>
          </w:p>
        </w:tc>
        <w:tc>
          <w:tcPr>
            <w:tcW w:type="dxa" w:w="240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center"/>
            </w:pPr>
            <w:r>
              <w:rPr>
                <w:rFonts w:ascii="Arial" w:cs="Arial" w:eastAsia="Arial" w:hAnsi="Arial"/>
                <w:sz w:val="17"/>
                <w:szCs w:val="17"/>
              </w:rPr>
              <w:t xml:space="preserve">MATLAB annotation tools</w:t>
            </w:r>
          </w:p>
        </w:tc>
        <w:tc>
          <w:tcPr>
            <w:tcW w:type="dxa" w:w="236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center"/>
            </w:pPr>
            <w:r>
              <w:rPr>
                <w:rFonts w:ascii="Arial" w:cs="Arial" w:eastAsia="Arial" w:hAnsi="Arial"/>
                <w:sz w:val="17"/>
                <w:szCs w:val="17"/>
              </w:rPr>
              <w:t xml:space="preserve">YOLO (normalized)</w:t>
            </w:r>
          </w:p>
        </w:tc>
      </w:tr>
      <w:tr>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left"/>
            </w:pPr>
            <w:r>
              <w:rPr>
                <w:rFonts w:ascii="Arial" w:cs="Arial" w:eastAsia="Arial" w:hAnsi="Arial"/>
                <w:sz w:val="17"/>
                <w:szCs w:val="17"/>
              </w:rPr>
              <w:t xml:space="preserve">MTDC-UAV</w:t>
            </w:r>
          </w:p>
        </w:tc>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left"/>
            </w:pPr>
            <w:r>
              <w:rPr>
                <w:rFonts w:ascii="Arial" w:cs="Arial" w:eastAsia="Arial" w:hAnsi="Arial"/>
                <w:sz w:val="17"/>
                <w:szCs w:val="17"/>
              </w:rPr>
              <w:t xml:space="preserve">Pascal VOC XML (xmin, ymin, xmax, ymax)</w:t>
            </w:r>
          </w:p>
        </w:tc>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center"/>
            </w:pPr>
            <w:r>
              <w:rPr>
                <w:rFonts w:ascii="Arial" w:cs="Arial" w:eastAsia="Arial" w:hAnsi="Arial"/>
                <w:sz w:val="17"/>
                <w:szCs w:val="17"/>
              </w:rPr>
              <w:t xml:space="preserve">LabelImg / Roboflow</w:t>
            </w:r>
          </w:p>
        </w:tc>
        <w:tc>
          <w:tcPr>
            <w:tcW w:type="dxa" w:w="2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center"/>
            </w:pPr>
            <w:r>
              <w:rPr>
                <w:rFonts w:ascii="Arial" w:cs="Arial" w:eastAsia="Arial" w:hAnsi="Arial"/>
                <w:sz w:val="17"/>
                <w:szCs w:val="17"/>
              </w:rPr>
              <w:t xml:space="preserve">YOLO (normalized)</w:t>
            </w:r>
          </w:p>
        </w:tc>
      </w:tr>
    </w:tbl>
    <w:p>
      <w:pPr>
        <w:spacing w:after="80" w:before="60"/>
      </w:pPr>
      <w:r>
        <w:rPr>
          <w:b/>
          <w:bCs/>
          <w:i/>
          <w:iCs/>
        </w:rPr>
        <w:t xml:space="preserve">Table 2: </w:t>
      </w:r>
      <w:r>
        <w:rPr>
          <w:i/>
          <w:iCs/>
        </w:rPr>
        <w:t xml:space="preserve">Annotation format conversion pipeline</w:t>
      </w:r>
    </w:p>
    <w:p>
      <w:pPr>
        <w:spacing w:after="80"/>
      </w:pPr>
      <w:r>
        <w:t xml:space="preserve">MCD .mat files store bounding boxes as </w:t>
      </w:r>
      <w:r>
        <w:rPr>
          <w:b/>
          <w:bCs/>
        </w:rPr>
        <w:t xml:space="preserve">[x_min, y_min, width, height]</w:t>
      </w:r>
      <w:r>
        <w:t xml:space="preserve"> in pixel coordinates. These are normalized by dividing by image dimensions. UAV Pascal VOC XML annotations use </w:t>
      </w:r>
      <w:r>
        <w:rPr>
          <w:b/>
          <w:bCs/>
        </w:rPr>
        <w:t xml:space="preserve">&lt;bndbox&gt;</w:t>
      </w:r>
      <w:r>
        <w:t xml:space="preserve"> elements with xmin/ymin/xmax/ymax pixel coordinates, converted to YOLO center-based normalized format.</w:t>
      </w:r>
    </w:p>
    <w:p>
      <w:pPr>
        <w:pStyle w:val="Heading1"/>
      </w:pPr>
      <w:r>
        <w:t xml:space="preserve">4. Model Selection</w:t>
      </w:r>
    </w:p>
    <w:p>
      <w:pPr>
        <w:spacing w:after="80"/>
      </w:pPr>
      <w:r>
        <w:t xml:space="preserve">The project uses </w:t>
      </w:r>
      <w:r>
        <w:rPr>
          <w:b/>
          <w:bCs/>
          <w:color w:val="2E7D32"/>
        </w:rPr>
        <w:t xml:space="preserve">YOLO26s</w:t>
      </w:r>
      <w:r>
        <w:t xml:space="preserve"> (Ultralytics YOLO family, v8.4.x), a state-of-the-art one-stage object detector built on PyTorch. Model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BBBBBB" w:sz="1"/>
              <w:left w:val="single" w:color="BBBBBB" w:sz="1"/>
              <w:bottom w:val="single" w:color="BBBBBB" w:sz="1"/>
              <w:right w:val="single" w:color="BBBBBB" w:sz="1"/>
            </w:tcBorders>
            <w:shd w:fill="2E7D32"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Parameter</w:t>
            </w:r>
          </w:p>
        </w:tc>
        <w:tc>
          <w:tcPr>
            <w:tcW w:type="dxa" w:w="2800"/>
            <w:tcBorders>
              <w:top w:val="single" w:color="BBBBBB" w:sz="1"/>
              <w:left w:val="single" w:color="BBBBBB" w:sz="1"/>
              <w:bottom w:val="single" w:color="BBBBBB" w:sz="1"/>
              <w:right w:val="single" w:color="BBBBBB" w:sz="1"/>
            </w:tcBorders>
            <w:shd w:fill="2E7D32"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Value</w:t>
            </w:r>
          </w:p>
        </w:tc>
        <w:tc>
          <w:tcPr>
            <w:tcW w:type="dxa" w:w="3060"/>
            <w:tcBorders>
              <w:top w:val="single" w:color="BBBBBB" w:sz="1"/>
              <w:left w:val="single" w:color="BBBBBB" w:sz="1"/>
              <w:bottom w:val="single" w:color="BBBBBB" w:sz="1"/>
              <w:right w:val="single" w:color="BBBBBB" w:sz="1"/>
            </w:tcBorders>
            <w:shd w:fill="2E7D32"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Rationale</w:t>
            </w:r>
          </w:p>
        </w:tc>
      </w:tr>
      <w:tr>
        <w:tc>
          <w:tcPr>
            <w:tcW w:type="dxa" w:w="350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left"/>
            </w:pPr>
            <w:r>
              <w:rPr>
                <w:rFonts w:ascii="Arial" w:cs="Arial" w:eastAsia="Arial" w:hAnsi="Arial"/>
                <w:sz w:val="17"/>
                <w:szCs w:val="17"/>
              </w:rPr>
              <w:t xml:space="preserve">Architecture</w:t>
            </w:r>
          </w:p>
        </w:tc>
        <w:tc>
          <w:tcPr>
            <w:tcW w:type="dxa" w:w="280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left"/>
            </w:pPr>
            <w:r>
              <w:rPr>
                <w:rFonts w:ascii="Arial" w:cs="Arial" w:eastAsia="Arial" w:hAnsi="Arial"/>
                <w:sz w:val="17"/>
                <w:szCs w:val="17"/>
              </w:rPr>
              <w:t xml:space="preserve">YOLO26s</w:t>
            </w:r>
          </w:p>
        </w:tc>
        <w:tc>
          <w:tcPr>
            <w:tcW w:type="dxa" w:w="306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left"/>
            </w:pPr>
            <w:r>
              <w:rPr>
                <w:rFonts w:ascii="Arial" w:cs="Arial" w:eastAsia="Arial" w:hAnsi="Arial"/>
                <w:sz w:val="17"/>
                <w:szCs w:val="17"/>
              </w:rPr>
              <w:t xml:space="preserve">One-to-one detection head; eliminates NMS during training</w:t>
            </w:r>
          </w:p>
        </w:tc>
      </w:tr>
      <w:tr>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left"/>
            </w:pPr>
            <w:r>
              <w:rPr>
                <w:rFonts w:ascii="Arial" w:cs="Arial" w:eastAsia="Arial" w:hAnsi="Arial"/>
                <w:sz w:val="17"/>
                <w:szCs w:val="17"/>
              </w:rPr>
              <w:t xml:space="preserve">Parameters</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left"/>
            </w:pPr>
            <w:r>
              <w:rPr>
                <w:rFonts w:ascii="Arial" w:cs="Arial" w:eastAsia="Arial" w:hAnsi="Arial"/>
                <w:sz w:val="17"/>
                <w:szCs w:val="17"/>
              </w:rPr>
              <w:t xml:space="preserve">9.95M</w:t>
            </w:r>
          </w:p>
        </w:tc>
        <w:tc>
          <w:tcPr>
            <w:tcW w:type="dxa" w:w="3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left"/>
            </w:pPr>
            <w:r>
              <w:rPr>
                <w:rFonts w:ascii="Arial" w:cs="Arial" w:eastAsia="Arial" w:hAnsi="Arial"/>
                <w:sz w:val="17"/>
                <w:szCs w:val="17"/>
              </w:rPr>
              <w:t xml:space="preserve">Lightweight enough for edge deployment, accurate enough for tassel detection</w:t>
            </w:r>
          </w:p>
        </w:tc>
      </w:tr>
      <w:tr>
        <w:tc>
          <w:tcPr>
            <w:tcW w:type="dxa" w:w="350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left"/>
            </w:pPr>
            <w:r>
              <w:rPr>
                <w:rFonts w:ascii="Arial" w:cs="Arial" w:eastAsia="Arial" w:hAnsi="Arial"/>
                <w:sz w:val="17"/>
                <w:szCs w:val="17"/>
              </w:rPr>
              <w:t xml:space="preserve">GFLOPs</w:t>
            </w:r>
          </w:p>
        </w:tc>
        <w:tc>
          <w:tcPr>
            <w:tcW w:type="dxa" w:w="280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left"/>
            </w:pPr>
            <w:r>
              <w:rPr>
                <w:rFonts w:ascii="Arial" w:cs="Arial" w:eastAsia="Arial" w:hAnsi="Arial"/>
                <w:sz w:val="17"/>
                <w:szCs w:val="17"/>
              </w:rPr>
              <w:t xml:space="preserve">22.5</w:t>
            </w:r>
          </w:p>
        </w:tc>
        <w:tc>
          <w:tcPr>
            <w:tcW w:type="dxa" w:w="306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left"/>
            </w:pPr>
            <w:r>
              <w:rPr>
                <w:rFonts w:ascii="Arial" w:cs="Arial" w:eastAsia="Arial" w:hAnsi="Arial"/>
                <w:sz w:val="17"/>
                <w:szCs w:val="17"/>
              </w:rPr>
              <w:t xml:space="preserve">Balanced speed-accuracy trade-off for UAV imagery</w:t>
            </w:r>
          </w:p>
        </w:tc>
      </w:tr>
      <w:tr>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left"/>
            </w:pPr>
            <w:r>
              <w:rPr>
                <w:rFonts w:ascii="Arial" w:cs="Arial" w:eastAsia="Arial" w:hAnsi="Arial"/>
                <w:sz w:val="17"/>
                <w:szCs w:val="17"/>
              </w:rPr>
              <w:t xml:space="preserve">Framework</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left"/>
            </w:pPr>
            <w:r>
              <w:rPr>
                <w:rFonts w:ascii="Arial" w:cs="Arial" w:eastAsia="Arial" w:hAnsi="Arial"/>
                <w:sz w:val="17"/>
                <w:szCs w:val="17"/>
              </w:rPr>
              <w:t xml:space="preserve">PyTorch + Ultralytics</w:t>
            </w:r>
          </w:p>
        </w:tc>
        <w:tc>
          <w:tcPr>
            <w:tcW w:type="dxa" w:w="3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left"/>
            </w:pPr>
            <w:r>
              <w:rPr>
                <w:rFonts w:ascii="Arial" w:cs="Arial" w:eastAsia="Arial" w:hAnsi="Arial"/>
                <w:sz w:val="17"/>
                <w:szCs w:val="17"/>
              </w:rPr>
              <w:t xml:space="preserve">Industry-standard with strong community support</w:t>
            </w:r>
          </w:p>
        </w:tc>
      </w:tr>
      <w:tr>
        <w:tc>
          <w:tcPr>
            <w:tcW w:type="dxa" w:w="350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left"/>
            </w:pPr>
            <w:r>
              <w:rPr>
                <w:rFonts w:ascii="Arial" w:cs="Arial" w:eastAsia="Arial" w:hAnsi="Arial"/>
                <w:sz w:val="17"/>
                <w:szCs w:val="17"/>
              </w:rPr>
              <w:t xml:space="preserve">Input Resolution</w:t>
            </w:r>
          </w:p>
        </w:tc>
        <w:tc>
          <w:tcPr>
            <w:tcW w:type="dxa" w:w="280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left"/>
            </w:pPr>
            <w:r>
              <w:rPr>
                <w:rFonts w:ascii="Arial" w:cs="Arial" w:eastAsia="Arial" w:hAnsi="Arial"/>
                <w:sz w:val="17"/>
                <w:szCs w:val="17"/>
              </w:rPr>
              <w:t xml:space="preserve">640x640 (train), 1280px (fine-tune)</w:t>
            </w:r>
          </w:p>
        </w:tc>
        <w:tc>
          <w:tcPr>
            <w:tcW w:type="dxa" w:w="306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left"/>
            </w:pPr>
            <w:r>
              <w:rPr>
                <w:rFonts w:ascii="Arial" w:cs="Arial" w:eastAsia="Arial" w:hAnsi="Arial"/>
                <w:sz w:val="17"/>
                <w:szCs w:val="17"/>
              </w:rPr>
              <w:t xml:space="preserve">SAHI tiling at 640px; high-res fine-tune for detail</w:t>
            </w:r>
          </w:p>
        </w:tc>
      </w:tr>
      <w:tr>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left"/>
            </w:pPr>
            <w:r>
              <w:rPr>
                <w:rFonts w:ascii="Arial" w:cs="Arial" w:eastAsia="Arial" w:hAnsi="Arial"/>
                <w:sz w:val="17"/>
                <w:szCs w:val="17"/>
              </w:rPr>
              <w:t xml:space="preserve">Optimizer</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left"/>
            </w:pPr>
            <w:r>
              <w:rPr>
                <w:rFonts w:ascii="Arial" w:cs="Arial" w:eastAsia="Arial" w:hAnsi="Arial"/>
                <w:sz w:val="17"/>
                <w:szCs w:val="17"/>
              </w:rPr>
              <w:t xml:space="preserve">AdamW → MuSGD</w:t>
            </w:r>
          </w:p>
        </w:tc>
        <w:tc>
          <w:tcPr>
            <w:tcW w:type="dxa" w:w="3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left"/>
            </w:pPr>
            <w:r>
              <w:rPr>
                <w:rFonts w:ascii="Arial" w:cs="Arial" w:eastAsia="Arial" w:hAnsi="Arial"/>
                <w:sz w:val="17"/>
                <w:szCs w:val="17"/>
              </w:rPr>
              <w:t xml:space="preserve">Frozen backbone warmup → full-network training with mixup/copy-paste augmentation</w:t>
            </w:r>
          </w:p>
        </w:tc>
      </w:tr>
    </w:tbl>
    <w:p>
      <w:pPr>
        <w:spacing w:before="60"/>
      </w:pPr>
      <w:r>
        <w:rPr>
          <w:b/>
          <w:bCs/>
          <w:i/>
          <w:iCs/>
        </w:rPr>
        <w:t xml:space="preserve">Table 3: </w:t>
      </w:r>
      <w:r>
        <w:rPr>
          <w:i/>
          <w:iCs/>
        </w:rPr>
        <w:t xml:space="preserve">YOLO26s model configuration</w:t>
      </w:r>
    </w:p>
    <w:p>
      <w:r>
        <w:br w:type="page"/>
      </w:r>
    </w:p>
    <w:p>
      <w:pPr>
        <w:pStyle w:val="Heading1"/>
      </w:pPr>
      <w:r>
        <w:t xml:space="preserve">5. Training Progress</w:t>
      </w:r>
    </w:p>
    <w:p>
      <w:pPr>
        <w:spacing w:after="80"/>
      </w:pPr>
      <w:r>
        <w:t xml:space="preserve">Training follows a three-stage pipeline designed to progressively improve detection accuracy while preventing overfitting on the limited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1700"/>
        <w:gridCol w:w="1700"/>
        <w:gridCol w:w="1860"/>
      </w:tblGrid>
      <w:tr>
        <w:tc>
          <w:tcPr>
            <w:tcW w:type="dxa" w:w="1800"/>
            <w:tcBorders>
              <w:top w:val="single" w:color="BBBBBB" w:sz="1"/>
              <w:left w:val="single" w:color="BBBBBB" w:sz="1"/>
              <w:bottom w:val="single" w:color="BBBBBB" w:sz="1"/>
              <w:right w:val="single" w:color="BBBBBB" w:sz="1"/>
            </w:tcBorders>
            <w:shd w:fill="2E7D32"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Stage</w:t>
            </w:r>
          </w:p>
        </w:tc>
        <w:tc>
          <w:tcPr>
            <w:tcW w:type="dxa" w:w="2300"/>
            <w:tcBorders>
              <w:top w:val="single" w:color="BBBBBB" w:sz="1"/>
              <w:left w:val="single" w:color="BBBBBB" w:sz="1"/>
              <w:bottom w:val="single" w:color="BBBBBB" w:sz="1"/>
              <w:right w:val="single" w:color="BBBBBB" w:sz="1"/>
            </w:tcBorders>
            <w:shd w:fill="2E7D32"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Configuration</w:t>
            </w:r>
          </w:p>
        </w:tc>
        <w:tc>
          <w:tcPr>
            <w:tcW w:type="dxa" w:w="1700"/>
            <w:tcBorders>
              <w:top w:val="single" w:color="BBBBBB" w:sz="1"/>
              <w:left w:val="single" w:color="BBBBBB" w:sz="1"/>
              <w:bottom w:val="single" w:color="BBBBBB" w:sz="1"/>
              <w:right w:val="single" w:color="BBBBBB" w:sz="1"/>
            </w:tcBorders>
            <w:shd w:fill="2E7D32"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Dataset</w:t>
            </w:r>
          </w:p>
        </w:tc>
        <w:tc>
          <w:tcPr>
            <w:tcW w:type="dxa" w:w="1700"/>
            <w:tcBorders>
              <w:top w:val="single" w:color="BBBBBB" w:sz="1"/>
              <w:left w:val="single" w:color="BBBBBB" w:sz="1"/>
              <w:bottom w:val="single" w:color="BBBBBB" w:sz="1"/>
              <w:right w:val="single" w:color="BBBBBB" w:sz="1"/>
            </w:tcBorders>
            <w:shd w:fill="2E7D32"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Epochs</w:t>
            </w:r>
          </w:p>
        </w:tc>
        <w:tc>
          <w:tcPr>
            <w:tcW w:type="dxa" w:w="1860"/>
            <w:tcBorders>
              <w:top w:val="single" w:color="BBBBBB" w:sz="1"/>
              <w:left w:val="single" w:color="BBBBBB" w:sz="1"/>
              <w:bottom w:val="single" w:color="BBBBBB" w:sz="1"/>
              <w:right w:val="single" w:color="BBBBBB" w:sz="1"/>
            </w:tcBorders>
            <w:shd w:fill="2E7D32"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Best mAP50</w:t>
            </w:r>
          </w:p>
        </w:tc>
      </w:tr>
      <w:tr>
        <w:tc>
          <w:tcPr>
            <w:tcW w:type="dxa" w:w="180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left"/>
            </w:pPr>
            <w:r>
              <w:rPr>
                <w:rFonts w:ascii="Arial" w:cs="Arial" w:eastAsia="Arial" w:hAnsi="Arial"/>
                <w:sz w:val="17"/>
                <w:szCs w:val="17"/>
              </w:rPr>
              <w:t xml:space="preserve">Stage 1: Warmup</w:t>
            </w:r>
          </w:p>
        </w:tc>
        <w:tc>
          <w:tcPr>
            <w:tcW w:type="dxa" w:w="230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left"/>
            </w:pPr>
            <w:r>
              <w:rPr>
                <w:rFonts w:ascii="Arial" w:cs="Arial" w:eastAsia="Arial" w:hAnsi="Arial"/>
                <w:sz w:val="17"/>
                <w:szCs w:val="17"/>
              </w:rPr>
              <w:t xml:space="preserve">Backbone frozen (freeze=5), AdamW, lr=0.002</w:t>
            </w:r>
          </w:p>
        </w:tc>
        <w:tc>
          <w:tcPr>
            <w:tcW w:type="dxa" w:w="170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center"/>
            </w:pPr>
            <w:r>
              <w:rPr>
                <w:rFonts w:ascii="Arial" w:cs="Arial" w:eastAsia="Arial" w:hAnsi="Arial"/>
                <w:sz w:val="17"/>
                <w:szCs w:val="17"/>
              </w:rPr>
              <w:t xml:space="preserve">MCD ground only</w:t>
            </w:r>
          </w:p>
        </w:tc>
        <w:tc>
          <w:tcPr>
            <w:tcW w:type="dxa" w:w="170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center"/>
            </w:pPr>
            <w:r>
              <w:rPr>
                <w:rFonts w:ascii="Arial" w:cs="Arial" w:eastAsia="Arial" w:hAnsi="Arial"/>
                <w:sz w:val="17"/>
                <w:szCs w:val="17"/>
              </w:rPr>
              <w:t xml:space="preserve">50</w:t>
            </w:r>
          </w:p>
        </w:tc>
        <w:tc>
          <w:tcPr>
            <w:tcW w:type="dxa" w:w="186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center"/>
            </w:pPr>
            <w:r>
              <w:rPr>
                <w:rFonts w:ascii="Arial" w:cs="Arial" w:eastAsia="Arial" w:hAnsi="Arial"/>
                <w:sz w:val="17"/>
                <w:szCs w:val="17"/>
              </w:rPr>
              <w:t xml:space="preserve">0.899</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left"/>
            </w:pPr>
            <w:r>
              <w:rPr>
                <w:rFonts w:ascii="Arial" w:cs="Arial" w:eastAsia="Arial" w:hAnsi="Arial"/>
                <w:sz w:val="17"/>
                <w:szCs w:val="17"/>
              </w:rPr>
              <w:t xml:space="preserve">Stage 2: Combined</w:t>
            </w:r>
          </w:p>
        </w:tc>
        <w:tc>
          <w:tcPr>
            <w:tcW w:type="dxa" w:w="2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left"/>
            </w:pPr>
            <w:r>
              <w:rPr>
                <w:rFonts w:ascii="Arial" w:cs="Arial" w:eastAsia="Arial" w:hAnsi="Arial"/>
                <w:sz w:val="17"/>
                <w:szCs w:val="17"/>
              </w:rPr>
              <w:t xml:space="preserve">All layers unfrozen, MuSGD, lr=0.01, mixup=0.05, copy-paste</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center"/>
            </w:pPr>
            <w:r>
              <w:rPr>
                <w:rFonts w:ascii="Arial" w:cs="Arial" w:eastAsia="Arial" w:hAnsi="Arial"/>
                <w:sz w:val="17"/>
                <w:szCs w:val="17"/>
              </w:rPr>
              <w:t xml:space="preserve">MCD + MTDC-UAV combined</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center"/>
            </w:pPr>
            <w:r>
              <w:rPr>
                <w:rFonts w:ascii="Arial" w:cs="Arial" w:eastAsia="Arial" w:hAnsi="Arial"/>
                <w:sz w:val="17"/>
                <w:szCs w:val="17"/>
              </w:rPr>
              <w:t xml:space="preserve">80</w:t>
            </w:r>
          </w:p>
        </w:tc>
        <w:tc>
          <w:tcPr>
            <w:tcW w:type="dxa" w:w="1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center"/>
            </w:pPr>
            <w:r>
              <w:rPr>
                <w:rFonts w:ascii="Arial" w:cs="Arial" w:eastAsia="Arial" w:hAnsi="Arial"/>
                <w:sz w:val="17"/>
                <w:szCs w:val="17"/>
              </w:rPr>
              <w:t xml:space="preserve">~0.754+</w:t>
            </w:r>
          </w:p>
        </w:tc>
      </w:tr>
      <w:tr>
        <w:tc>
          <w:tcPr>
            <w:tcW w:type="dxa" w:w="180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left"/>
            </w:pPr>
            <w:r>
              <w:rPr>
                <w:rFonts w:ascii="Arial" w:cs="Arial" w:eastAsia="Arial" w:hAnsi="Arial"/>
                <w:sz w:val="17"/>
                <w:szCs w:val="17"/>
              </w:rPr>
              <w:t xml:space="preserve">Stage 3: Fine-tune</w:t>
            </w:r>
          </w:p>
        </w:tc>
        <w:tc>
          <w:tcPr>
            <w:tcW w:type="dxa" w:w="230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left"/>
            </w:pPr>
            <w:r>
              <w:rPr>
                <w:rFonts w:ascii="Arial" w:cs="Arial" w:eastAsia="Arial" w:hAnsi="Arial"/>
                <w:sz w:val="17"/>
                <w:szCs w:val="17"/>
              </w:rPr>
              <w:t xml:space="preserve">High-res 1280px, MuSGD</w:t>
            </w:r>
          </w:p>
        </w:tc>
        <w:tc>
          <w:tcPr>
            <w:tcW w:type="dxa" w:w="170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center"/>
            </w:pPr>
            <w:r>
              <w:rPr>
                <w:rFonts w:ascii="Arial" w:cs="Arial" w:eastAsia="Arial" w:hAnsi="Arial"/>
                <w:sz w:val="17"/>
                <w:szCs w:val="17"/>
              </w:rPr>
              <w:t xml:space="preserve">MCD + MTDC-UAV combined</w:t>
            </w:r>
          </w:p>
        </w:tc>
        <w:tc>
          <w:tcPr>
            <w:tcW w:type="dxa" w:w="170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center"/>
            </w:pPr>
            <w:r>
              <w:rPr>
                <w:rFonts w:ascii="Arial" w:cs="Arial" w:eastAsia="Arial" w:hAnsi="Arial"/>
                <w:sz w:val="17"/>
                <w:szCs w:val="17"/>
              </w:rPr>
              <w:t xml:space="preserve">80</w:t>
            </w:r>
          </w:p>
        </w:tc>
        <w:tc>
          <w:tcPr>
            <w:tcW w:type="dxa" w:w="186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center"/>
            </w:pPr>
            <w:r>
              <w:rPr>
                <w:rFonts w:ascii="Arial" w:cs="Arial" w:eastAsia="Arial" w:hAnsi="Arial"/>
                <w:sz w:val="17"/>
                <w:szCs w:val="17"/>
              </w:rPr>
              <w:t xml:space="preserve">In progress</w:t>
            </w:r>
          </w:p>
        </w:tc>
      </w:tr>
    </w:tbl>
    <w:p>
      <w:pPr>
        <w:spacing w:after="80" w:before="60"/>
      </w:pPr>
      <w:r>
        <w:rPr>
          <w:b/>
          <w:bCs/>
          <w:i/>
          <w:iCs/>
        </w:rPr>
        <w:t xml:space="preserve">Table 4: </w:t>
      </w:r>
      <w:r>
        <w:rPr>
          <w:i/>
          <w:iCs/>
        </w:rPr>
        <w:t xml:space="preserve">Three-stage training pipeline results</w:t>
      </w:r>
    </w:p>
    <w:p>
      <w:pPr>
        <w:spacing w:after="80"/>
      </w:pPr>
      <w:r>
        <w:rPr>
          <w:b/>
          <w:bCs/>
        </w:rPr>
        <w:t xml:space="preserve">Stage 1 </w:t>
      </w:r>
      <w:r>
        <w:t xml:space="preserve">achieved mAP50 of 0.899 on MCD ground-level validation data (2,210 tassel instances across 55 images), demonstrating strong performance on the simpler ground-level subset. </w:t>
      </w:r>
    </w:p>
    <w:p>
      <w:pPr>
        <w:spacing w:after="80"/>
      </w:pPr>
      <w:r>
        <w:rPr>
          <w:b/>
          <w:bCs/>
        </w:rPr>
        <w:t xml:space="preserve">Stage 2 </w:t>
      </w:r>
      <w:r>
        <w:t xml:space="preserve">combined drone and ground data with data augmentation (mixup, copy-paste) to handle UAV-specific challenges: variable lighting, small object sizes, and dense tassel clusters. Validation mAP50 improved from ~0.608 to ~0.754+ across 80 epochs.</w:t>
      </w:r>
    </w:p>
    <w:p>
      <w:pPr>
        <w:spacing w:after="80"/>
      </w:pPr>
      <w:r>
        <w:rPr>
          <w:b/>
          <w:bCs/>
        </w:rPr>
        <w:t xml:space="preserve">Stage 3 </w:t>
      </w:r>
      <w:r>
        <w:t xml:space="preserve">fine-tunes at 1280px resolution to improve detection of small/distant tassels that are under-represented at 640px. Training is in progress.</w:t>
      </w:r>
    </w:p>
    <w:p>
      <w:r>
        <w:br w:type="page"/>
      </w:r>
    </w:p>
    <w:p>
      <w:pPr>
        <w:pStyle w:val="Heading1"/>
      </w:pPr>
      <w:r>
        <w:t xml:space="preserve">6. Initial Detection Results</w:t>
      </w:r>
    </w:p>
    <w:p>
      <w:pPr>
        <w:spacing w:after="120"/>
      </w:pPr>
      <w:r>
        <w:t xml:space="preserve">Below are annotated detection results from the YOLO26s model on sample UAV maize field images. Green bounding boxes indicate detected tassels with confidence scores. The model successfully identifies individual tassels across varying densities, lighting conditions, and field positions.</w:t>
      </w:r>
    </w:p>
    <w:p>
      <w:pPr>
        <w:spacing w:after="60" w:before="60"/>
        <w:jc w:val="center"/>
      </w:pPr>
      <w:r>
        <w:drawing>
          <wp:inline distT="0" distB="0" distL="0" distR="0">
            <wp:extent cx="4286250" cy="3238500"/>
            <wp:effectExtent t="0" r="0" b="0" l="0"/>
            <wp:docPr id="1" name="ai/results/DJI_0243 (2)_annotated.jpg" descr="ai/results/DJI_0243 (2)_annotated.jpg" title="ai/results/DJI_0243 (2)_annota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3238500"/>
                    </a:xfrm>
                    <a:prstGeom prst="rect">
                      <a:avLst/>
                    </a:prstGeom>
                  </pic:spPr>
                </pic:pic>
              </a:graphicData>
            </a:graphic>
          </wp:inline>
        </w:drawing>
      </w:r>
    </w:p>
    <w:p>
      <w:pPr>
        <w:spacing w:after="140"/>
        <w:jc w:val="center"/>
      </w:pPr>
      <w:r>
        <w:rPr>
          <w:rFonts w:ascii="Arial" w:cs="Arial" w:eastAsia="Arial" w:hAnsi="Arial"/>
          <w:i/>
          <w:iCs/>
          <w:color w:val="555555"/>
          <w:sz w:val="18"/>
          <w:szCs w:val="18"/>
        </w:rPr>
        <w:t xml:space="preserve">Figure 5: DJI_0243 (2)_annotated.jpg — Annotated detection output with confidence scores</w:t>
      </w:r>
    </w:p>
    <w:p>
      <w:pPr>
        <w:spacing w:after="60" w:before="60"/>
        <w:jc w:val="center"/>
      </w:pPr>
      <w:r>
        <w:drawing>
          <wp:inline distT="0" distB="0" distL="0" distR="0">
            <wp:extent cx="4286250" cy="3238500"/>
            <wp:effectExtent t="0" r="0" b="0" l="0"/>
            <wp:docPr id="1" name="ai/results/DJI_0298 (2)_0_0_annotated.jpg" descr="ai/results/DJI_0298 (2)_0_0_annotated.jpg" title="ai/results/DJI_0298 (2)_0_0_annota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3238500"/>
                    </a:xfrm>
                    <a:prstGeom prst="rect">
                      <a:avLst/>
                    </a:prstGeom>
                  </pic:spPr>
                </pic:pic>
              </a:graphicData>
            </a:graphic>
          </wp:inline>
        </w:drawing>
      </w:r>
    </w:p>
    <w:p>
      <w:pPr>
        <w:spacing w:after="140"/>
        <w:jc w:val="center"/>
      </w:pPr>
      <w:r>
        <w:rPr>
          <w:rFonts w:ascii="Arial" w:cs="Arial" w:eastAsia="Arial" w:hAnsi="Arial"/>
          <w:i/>
          <w:iCs/>
          <w:color w:val="555555"/>
          <w:sz w:val="18"/>
          <w:szCs w:val="18"/>
        </w:rPr>
        <w:t xml:space="preserve">Figure 6: DJI_0298 (2)_0_0_annotated.jpg — Annotated detection output with confidence scores</w:t>
      </w:r>
    </w:p>
    <w:p>
      <w:pPr>
        <w:spacing w:after="60" w:before="60"/>
        <w:jc w:val="center"/>
      </w:pPr>
      <w:r>
        <w:drawing>
          <wp:inline distT="0" distB="0" distL="0" distR="0">
            <wp:extent cx="4286250" cy="3238500"/>
            <wp:effectExtent t="0" r="0" b="0" l="0"/>
            <wp:docPr id="1" name="ai/results/DJI_0408 (2)_0_1_annotated.jpg" descr="ai/results/DJI_0408 (2)_0_1_annotated.jpg" title="ai/results/DJI_0408 (2)_0_1_annota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3238500"/>
                    </a:xfrm>
                    <a:prstGeom prst="rect">
                      <a:avLst/>
                    </a:prstGeom>
                  </pic:spPr>
                </pic:pic>
              </a:graphicData>
            </a:graphic>
          </wp:inline>
        </w:drawing>
      </w:r>
    </w:p>
    <w:p>
      <w:pPr>
        <w:spacing w:after="140"/>
        <w:jc w:val="center"/>
      </w:pPr>
      <w:r>
        <w:rPr>
          <w:rFonts w:ascii="Arial" w:cs="Arial" w:eastAsia="Arial" w:hAnsi="Arial"/>
          <w:i/>
          <w:iCs/>
          <w:color w:val="555555"/>
          <w:sz w:val="18"/>
          <w:szCs w:val="18"/>
        </w:rPr>
        <w:t xml:space="preserve">Figure 7: DJI_0408 (2)_0_1_annotated.jpg — Annotated detection output with confidence scores</w:t>
      </w:r>
    </w:p>
    <w:p>
      <w:pPr>
        <w:spacing w:after="60" w:before="60"/>
        <w:jc w:val="center"/>
      </w:pPr>
      <w:r>
        <w:drawing>
          <wp:inline distT="0" distB="0" distL="0" distR="0">
            <wp:extent cx="4286250" cy="3238500"/>
            <wp:effectExtent t="0" r="0" b="0" l="0"/>
            <wp:docPr id="1" name="ai/results/DJI_0617_0_0_annotated.jpg" descr="ai/results/DJI_0617_0_0_annotated.jpg" title="ai/results/DJI_0617_0_0_annota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86250" cy="3238500"/>
                    </a:xfrm>
                    <a:prstGeom prst="rect">
                      <a:avLst/>
                    </a:prstGeom>
                  </pic:spPr>
                </pic:pic>
              </a:graphicData>
            </a:graphic>
          </wp:inline>
        </w:drawing>
      </w:r>
    </w:p>
    <w:p>
      <w:pPr>
        <w:spacing w:after="140"/>
        <w:jc w:val="center"/>
      </w:pPr>
      <w:r>
        <w:rPr>
          <w:rFonts w:ascii="Arial" w:cs="Arial" w:eastAsia="Arial" w:hAnsi="Arial"/>
          <w:i/>
          <w:iCs/>
          <w:color w:val="555555"/>
          <w:sz w:val="18"/>
          <w:szCs w:val="18"/>
        </w:rPr>
        <w:t xml:space="preserve">Figure 8: DJI_0617_0_0_annotated.jpg — Annotated detection output with confidence scores</w:t>
      </w:r>
    </w:p>
    <w:p>
      <w:r>
        <w:br w:type="page"/>
      </w:r>
    </w:p>
    <w:p>
      <w:pPr>
        <w:pStyle w:val="Heading1"/>
      </w:pPr>
      <w:r>
        <w:t xml:space="preserve">7. Current Issues and Risks</w:t>
      </w:r>
    </w:p>
    <w:p>
      <w:pPr>
        <w:pStyle w:val="ListParagraph"/>
        <w:numPr>
          <w:ilvl w:val="0"/>
          <w:numId w:val="2"/>
        </w:numPr>
        <w:spacing w:after="80"/>
      </w:pPr>
      <w:r>
        <w:rPr>
          <w:b/>
          <w:bCs/>
        </w:rPr>
        <w:t xml:space="preserve">Limited Dataset Size:</w:t>
      </w:r>
      <w:r>
        <w:t xml:space="preserve"> Combined MCD + MTDC-UAV contains 1,161 original images. While SAHI tiling increases training samples to ~22,000 tiles, the underlying image diversity is limited to two datasets. More diverse field conditions (different regions, seasons, maize varieties) would improve generalization.</w:t>
      </w:r>
    </w:p>
    <w:p>
      <w:pPr>
        <w:pStyle w:val="ListParagraph"/>
        <w:numPr>
          <w:ilvl w:val="0"/>
          <w:numId w:val="2"/>
        </w:numPr>
        <w:spacing w:after="80"/>
      </w:pPr>
      <w:r>
        <w:rPr>
          <w:b/>
          <w:bCs/>
        </w:rPr>
        <w:t xml:space="preserve">Lighting and Weather Variability:</w:t>
      </w:r>
      <w:r>
        <w:t xml:space="preserve"> UAV images include shadows, overcast conditions, and varying sun angles. The model may perform inconsistently under extreme lighting conditions not well-represented in the training set.</w:t>
      </w:r>
    </w:p>
    <w:p>
      <w:pPr>
        <w:pStyle w:val="ListParagraph"/>
        <w:numPr>
          <w:ilvl w:val="0"/>
          <w:numId w:val="2"/>
        </w:numPr>
        <w:spacing w:after="80"/>
      </w:pPr>
      <w:r>
        <w:rPr>
          <w:b/>
          <w:bCs/>
        </w:rPr>
        <w:t xml:space="preserve">Occlusion and Density:</w:t>
      </w:r>
      <w:r>
        <w:t xml:space="preserve"> Dense tassel clusters and overlapping plants can cause missed detections. Ground-level images have more occlusion issues than UAV images. The copy-paste augmentation partially addresses this.</w:t>
      </w:r>
    </w:p>
    <w:p>
      <w:pPr>
        <w:pStyle w:val="ListParagraph"/>
        <w:numPr>
          <w:ilvl w:val="0"/>
          <w:numId w:val="2"/>
        </w:numPr>
        <w:spacing w:after="80"/>
      </w:pPr>
      <w:r>
        <w:rPr>
          <w:b/>
          <w:bCs/>
        </w:rPr>
        <w:t xml:space="preserve">Small Object Detection:</w:t>
      </w:r>
      <w:r>
        <w:t xml:space="preserve"> Tassels in high-altitude UAV images can be as small as 15x15 pixels. Stage 3 high-resolution fine-tuning (1280px) helps but may not fully resolve this.</w:t>
      </w:r>
    </w:p>
    <w:p>
      <w:pPr>
        <w:pStyle w:val="ListParagraph"/>
        <w:numPr>
          <w:ilvl w:val="0"/>
          <w:numId w:val="2"/>
        </w:numPr>
        <w:spacing w:after="80"/>
      </w:pPr>
      <w:r>
        <w:rPr>
          <w:b/>
          <w:bCs/>
        </w:rPr>
        <w:t xml:space="preserve">Model Integration:</w:t>
      </w:r>
      <w:r>
        <w:t xml:space="preserve"> The trained model (.pt weights) must be integrated with the Flask backend via ultralytics library. Currently, the backend uses mock data. Real-time inference latency on CPU vs GPU needs evaluation.</w:t>
      </w:r>
    </w:p>
    <w:p>
      <w:pPr>
        <w:pStyle w:val="ListParagraph"/>
        <w:numPr>
          <w:ilvl w:val="0"/>
          <w:numId w:val="2"/>
        </w:numPr>
        <w:spacing w:after="80"/>
      </w:pPr>
      <w:r>
        <w:rPr>
          <w:b/>
          <w:bCs/>
        </w:rPr>
        <w:t xml:space="preserve">Annotation Quality:</w:t>
      </w:r>
      <w:r>
        <w:t xml:space="preserve"> MCD .mat annotations and UAV XML annotations come from different sources. Annotation consistency between datasets may affect training stability.</w:t>
      </w:r>
    </w:p>
    <w:p>
      <w:pPr>
        <w:pStyle w:val="Heading1"/>
      </w:pPr>
      <w:r>
        <w:t xml:space="preserve">8. Next-Step Plan</w:t>
      </w:r>
    </w:p>
    <w:p>
      <w:pPr>
        <w:pStyle w:val="ListParagraph"/>
        <w:numPr>
          <w:ilvl w:val="0"/>
          <w:numId w:val="3"/>
        </w:numPr>
        <w:spacing w:after="70"/>
      </w:pPr>
      <w:r>
        <w:t xml:space="preserve">Complete Stage 3 high-resolution fine-tuning and evaluate final mAP@0.5 and mAP@0.5:0.95 metrics on the held-out test set (8,698 tiles).</w:t>
      </w:r>
    </w:p>
    <w:p>
      <w:pPr>
        <w:pStyle w:val="ListParagraph"/>
        <w:numPr>
          <w:ilvl w:val="0"/>
          <w:numId w:val="3"/>
        </w:numPr>
        <w:spacing w:after="70"/>
      </w:pPr>
      <w:r>
        <w:t xml:space="preserve">Export trained model weights (best.pt) from Colab to the project repository for backend integration.</w:t>
      </w:r>
    </w:p>
    <w:p>
      <w:pPr>
        <w:pStyle w:val="ListParagraph"/>
        <w:numPr>
          <w:ilvl w:val="0"/>
          <w:numId w:val="3"/>
        </w:numPr>
        <w:spacing w:after="70"/>
      </w:pPr>
      <w:r>
        <w:t xml:space="preserve">Integrate the YOLO26s model with the Flask backend by replacing mock data in /api/predict with live ultralytics inference.</w:t>
      </w:r>
    </w:p>
    <w:p>
      <w:pPr>
        <w:pStyle w:val="ListParagraph"/>
        <w:numPr>
          <w:ilvl w:val="0"/>
          <w:numId w:val="3"/>
        </w:numPr>
        <w:spacing w:after="70"/>
      </w:pPr>
      <w:r>
        <w:t xml:space="preserve">Test inference latency on target hardware (CPU vs GPU) and optimize if needed (ONNX export, TensorRT, model pruning).</w:t>
      </w:r>
    </w:p>
    <w:p>
      <w:pPr>
        <w:pStyle w:val="ListParagraph"/>
        <w:numPr>
          <w:ilvl w:val="0"/>
          <w:numId w:val="3"/>
        </w:numPr>
        <w:spacing w:after="70"/>
      </w:pPr>
      <w:r>
        <w:t xml:space="preserve">Collect additional field data from diverse regions to expand the training dataset and improve model generalization.</w:t>
      </w:r>
    </w:p>
    <w:p>
      <w:pPr>
        <w:pStyle w:val="ListParagraph"/>
        <w:numPr>
          <w:ilvl w:val="0"/>
          <w:numId w:val="3"/>
        </w:numPr>
        <w:spacing w:after="70"/>
      </w:pPr>
      <w:r>
        <w:t xml:space="preserve">Implement model versioning and registry to support comparison between YOLOv8 and YOLO26 variants.</w:t>
      </w:r>
    </w:p>
    <w:p>
      <w:pPr>
        <w:pStyle w:val="ListParagraph"/>
        <w:numPr>
          <w:ilvl w:val="0"/>
          <w:numId w:val="3"/>
        </w:numPr>
        <w:spacing w:after="70"/>
      </w:pPr>
      <w:r>
        <w:t xml:space="preserve">Evaluate cross-dataset generalization: train on MTDC-UAV only and test on MCD (and vice versa) to measure domain gap.</w:t>
      </w:r>
    </w:p>
    <w:p>
      <w:r>
        <w:br w:type="page"/>
      </w:r>
    </w:p>
    <w:p>
      <w:pPr>
        <w:pStyle w:val="Heading1"/>
      </w:pPr>
      <w:r>
        <w:t xml:space="preserve">9. Evaluation Metrics</w:t>
      </w:r>
    </w:p>
    <w:p>
      <w:pPr>
        <w:spacing w:after="80"/>
      </w:pPr>
      <w:r>
        <w:t xml:space="preserve">The following metrics are used to evaluate model performance, consistent with standard object detection benchmarks (COCO, Pascal VOC).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860"/>
        <w:gridCol w:w="1700"/>
      </w:tblGrid>
      <w:tr>
        <w:tc>
          <w:tcPr>
            <w:tcW w:type="dxa" w:w="2200"/>
            <w:tcBorders>
              <w:top w:val="single" w:color="BBBBBB" w:sz="1"/>
              <w:left w:val="single" w:color="BBBBBB" w:sz="1"/>
              <w:bottom w:val="single" w:color="BBBBBB" w:sz="1"/>
              <w:right w:val="single" w:color="BBBBBB" w:sz="1"/>
            </w:tcBorders>
            <w:shd w:fill="2E7D32"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Metric</w:t>
            </w:r>
          </w:p>
        </w:tc>
        <w:tc>
          <w:tcPr>
            <w:tcW w:type="dxa" w:w="3600"/>
            <w:tcBorders>
              <w:top w:val="single" w:color="BBBBBB" w:sz="1"/>
              <w:left w:val="single" w:color="BBBBBB" w:sz="1"/>
              <w:bottom w:val="single" w:color="BBBBBB" w:sz="1"/>
              <w:right w:val="single" w:color="BBBBBB" w:sz="1"/>
            </w:tcBorders>
            <w:shd w:fill="2E7D32"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Description</w:t>
            </w:r>
          </w:p>
        </w:tc>
        <w:tc>
          <w:tcPr>
            <w:tcW w:type="dxa" w:w="1860"/>
            <w:tcBorders>
              <w:top w:val="single" w:color="BBBBBB" w:sz="1"/>
              <w:left w:val="single" w:color="BBBBBB" w:sz="1"/>
              <w:bottom w:val="single" w:color="BBBBBB" w:sz="1"/>
              <w:right w:val="single" w:color="BBBBBB" w:sz="1"/>
            </w:tcBorders>
            <w:shd w:fill="2E7D32"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Formula / Threshold</w:t>
            </w:r>
          </w:p>
        </w:tc>
        <w:tc>
          <w:tcPr>
            <w:tcW w:type="dxa" w:w="1700"/>
            <w:tcBorders>
              <w:top w:val="single" w:color="BBBBBB" w:sz="1"/>
              <w:left w:val="single" w:color="BBBBBB" w:sz="1"/>
              <w:bottom w:val="single" w:color="BBBBBB" w:sz="1"/>
              <w:right w:val="single" w:color="BBBBBB" w:sz="1"/>
            </w:tcBorders>
            <w:shd w:fill="2E7D32"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Target</w:t>
            </w:r>
          </w:p>
        </w:tc>
      </w:tr>
      <w:tr>
        <w:tc>
          <w:tcPr>
            <w:tcW w:type="dxa" w:w="220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left"/>
            </w:pPr>
            <w:r>
              <w:rPr>
                <w:rFonts w:ascii="Arial" w:cs="Arial" w:eastAsia="Arial" w:hAnsi="Arial"/>
                <w:sz w:val="17"/>
                <w:szCs w:val="17"/>
              </w:rPr>
              <w:t xml:space="preserve">mAP@0.5</w:t>
            </w:r>
          </w:p>
        </w:tc>
        <w:tc>
          <w:tcPr>
            <w:tcW w:type="dxa" w:w="360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left"/>
            </w:pPr>
            <w:r>
              <w:rPr>
                <w:rFonts w:ascii="Arial" w:cs="Arial" w:eastAsia="Arial" w:hAnsi="Arial"/>
                <w:sz w:val="17"/>
                <w:szCs w:val="17"/>
              </w:rPr>
              <w:t xml:space="preserve">Mean Average Precision at IoU threshold 0.5</w:t>
            </w:r>
          </w:p>
        </w:tc>
        <w:tc>
          <w:tcPr>
            <w:tcW w:type="dxa" w:w="186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center"/>
            </w:pPr>
            <w:r>
              <w:rPr>
                <w:rFonts w:ascii="Arial" w:cs="Arial" w:eastAsia="Arial" w:hAnsi="Arial"/>
                <w:sz w:val="17"/>
                <w:szCs w:val="17"/>
              </w:rPr>
              <w:t xml:space="preserve">IoU &gt;= 0.5 counts as correct detection</w:t>
            </w:r>
          </w:p>
        </w:tc>
        <w:tc>
          <w:tcPr>
            <w:tcW w:type="dxa" w:w="170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center"/>
            </w:pPr>
            <w:r>
              <w:rPr>
                <w:rFonts w:ascii="Arial" w:cs="Arial" w:eastAsia="Arial" w:hAnsi="Arial"/>
                <w:sz w:val="17"/>
                <w:szCs w:val="17"/>
              </w:rPr>
              <w:t xml:space="preserve">&gt; 70%</w:t>
            </w:r>
          </w:p>
        </w:tc>
      </w:tr>
      <w:tr>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left"/>
            </w:pPr>
            <w:r>
              <w:rPr>
                <w:rFonts w:ascii="Arial" w:cs="Arial" w:eastAsia="Arial" w:hAnsi="Arial"/>
                <w:sz w:val="17"/>
                <w:szCs w:val="17"/>
              </w:rPr>
              <w:t xml:space="preserve">mAP@0.5:0.95</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left"/>
            </w:pPr>
            <w:r>
              <w:rPr>
                <w:rFonts w:ascii="Arial" w:cs="Arial" w:eastAsia="Arial" w:hAnsi="Arial"/>
                <w:sz w:val="17"/>
                <w:szCs w:val="17"/>
              </w:rPr>
              <w:t xml:space="preserve">Mean AP averaged over IoU thresholds 0.5 to 0.95 (step 0.05)</w:t>
            </w:r>
          </w:p>
        </w:tc>
        <w:tc>
          <w:tcPr>
            <w:tcW w:type="dxa" w:w="1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center"/>
            </w:pPr>
            <w:r>
              <w:rPr>
                <w:rFonts w:ascii="Arial" w:cs="Arial" w:eastAsia="Arial" w:hAnsi="Arial"/>
                <w:sz w:val="17"/>
                <w:szCs w:val="17"/>
              </w:rPr>
              <w:t xml:space="preserve">COCO primary metric — stricter than mAP@0.5</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center"/>
            </w:pPr>
            <w:r>
              <w:rPr>
                <w:rFonts w:ascii="Arial" w:cs="Arial" w:eastAsia="Arial" w:hAnsi="Arial"/>
                <w:sz w:val="17"/>
                <w:szCs w:val="17"/>
              </w:rPr>
              <w:t xml:space="preserve">&gt; 50%</w:t>
            </w:r>
          </w:p>
        </w:tc>
      </w:tr>
      <w:tr>
        <w:tc>
          <w:tcPr>
            <w:tcW w:type="dxa" w:w="220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left"/>
            </w:pPr>
            <w:r>
              <w:rPr>
                <w:rFonts w:ascii="Arial" w:cs="Arial" w:eastAsia="Arial" w:hAnsi="Arial"/>
                <w:sz w:val="17"/>
                <w:szCs w:val="17"/>
              </w:rPr>
              <w:t xml:space="preserve">Precision</w:t>
            </w:r>
          </w:p>
        </w:tc>
        <w:tc>
          <w:tcPr>
            <w:tcW w:type="dxa" w:w="360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left"/>
            </w:pPr>
            <w:r>
              <w:rPr>
                <w:rFonts w:ascii="Arial" w:cs="Arial" w:eastAsia="Arial" w:hAnsi="Arial"/>
                <w:sz w:val="17"/>
                <w:szCs w:val="17"/>
              </w:rPr>
              <w:t xml:space="preserve">Ratio of correct detections to total detections</w:t>
            </w:r>
          </w:p>
        </w:tc>
        <w:tc>
          <w:tcPr>
            <w:tcW w:type="dxa" w:w="186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center"/>
            </w:pPr>
            <w:r>
              <w:rPr>
                <w:rFonts w:ascii="Arial" w:cs="Arial" w:eastAsia="Arial" w:hAnsi="Arial"/>
                <w:sz w:val="17"/>
                <w:szCs w:val="17"/>
              </w:rPr>
              <w:t xml:space="preserve">TP / (TP + FP)</w:t>
            </w:r>
          </w:p>
        </w:tc>
        <w:tc>
          <w:tcPr>
            <w:tcW w:type="dxa" w:w="170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center"/>
            </w:pPr>
            <w:r>
              <w:rPr>
                <w:rFonts w:ascii="Arial" w:cs="Arial" w:eastAsia="Arial" w:hAnsi="Arial"/>
                <w:sz w:val="17"/>
                <w:szCs w:val="17"/>
              </w:rPr>
              <w:t xml:space="preserve">&gt; 75%</w:t>
            </w:r>
          </w:p>
        </w:tc>
      </w:tr>
      <w:tr>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left"/>
            </w:pPr>
            <w:r>
              <w:rPr>
                <w:rFonts w:ascii="Arial" w:cs="Arial" w:eastAsia="Arial" w:hAnsi="Arial"/>
                <w:sz w:val="17"/>
                <w:szCs w:val="17"/>
              </w:rPr>
              <w:t xml:space="preserve">Recall</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left"/>
            </w:pPr>
            <w:r>
              <w:rPr>
                <w:rFonts w:ascii="Arial" w:cs="Arial" w:eastAsia="Arial" w:hAnsi="Arial"/>
                <w:sz w:val="17"/>
                <w:szCs w:val="17"/>
              </w:rPr>
              <w:t xml:space="preserve">Ratio of detected tassels to total ground-truth tassels</w:t>
            </w:r>
          </w:p>
        </w:tc>
        <w:tc>
          <w:tcPr>
            <w:tcW w:type="dxa" w:w="1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center"/>
            </w:pPr>
            <w:r>
              <w:rPr>
                <w:rFonts w:ascii="Arial" w:cs="Arial" w:eastAsia="Arial" w:hAnsi="Arial"/>
                <w:sz w:val="17"/>
                <w:szCs w:val="17"/>
              </w:rPr>
              <w:t xml:space="preserve">TP / (TP + FN)</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center"/>
            </w:pPr>
            <w:r>
              <w:rPr>
                <w:rFonts w:ascii="Arial" w:cs="Arial" w:eastAsia="Arial" w:hAnsi="Arial"/>
                <w:sz w:val="17"/>
                <w:szCs w:val="17"/>
              </w:rPr>
              <w:t xml:space="preserve">&gt; 70%</w:t>
            </w:r>
          </w:p>
        </w:tc>
      </w:tr>
      <w:tr>
        <w:tc>
          <w:tcPr>
            <w:tcW w:type="dxa" w:w="220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left"/>
            </w:pPr>
            <w:r>
              <w:rPr>
                <w:rFonts w:ascii="Arial" w:cs="Arial" w:eastAsia="Arial" w:hAnsi="Arial"/>
                <w:sz w:val="17"/>
                <w:szCs w:val="17"/>
              </w:rPr>
              <w:t xml:space="preserve">IoU Threshold</w:t>
            </w:r>
          </w:p>
        </w:tc>
        <w:tc>
          <w:tcPr>
            <w:tcW w:type="dxa" w:w="360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left"/>
            </w:pPr>
            <w:r>
              <w:rPr>
                <w:rFonts w:ascii="Arial" w:cs="Arial" w:eastAsia="Arial" w:hAnsi="Arial"/>
                <w:sz w:val="17"/>
                <w:szCs w:val="17"/>
              </w:rPr>
              <w:t xml:space="preserve">Intersection over Union between predicted and ground-truth box</w:t>
            </w:r>
          </w:p>
        </w:tc>
        <w:tc>
          <w:tcPr>
            <w:tcW w:type="dxa" w:w="186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center"/>
            </w:pPr>
            <w:r>
              <w:rPr>
                <w:rFonts w:ascii="Arial" w:cs="Arial" w:eastAsia="Arial" w:hAnsi="Arial"/>
                <w:sz w:val="17"/>
                <w:szCs w:val="17"/>
              </w:rPr>
              <w:t xml:space="preserve">Area overlap / Area union</w:t>
            </w:r>
          </w:p>
        </w:tc>
        <w:tc>
          <w:tcPr>
            <w:tcW w:type="dxa" w:w="1700"/>
            <w:tcBorders>
              <w:top w:val="single" w:color="BBBBBB" w:sz="1"/>
              <w:left w:val="single" w:color="BBBBBB" w:sz="1"/>
              <w:bottom w:val="single" w:color="BBBBBB" w:sz="1"/>
              <w:right w:val="single" w:color="BBBBBB" w:sz="1"/>
            </w:tcBorders>
            <w:shd w:fill="F5F7FA" w:val="clear"/>
            <w:tcMar>
              <w:top w:type="dxa" w:w="50"/>
              <w:left w:type="dxa" w:w="100"/>
              <w:bottom w:type="dxa" w:w="50"/>
              <w:right w:type="dxa" w:w="100"/>
            </w:tcMar>
          </w:tcPr>
          <w:p>
            <w:pPr>
              <w:spacing w:after="20" w:before="20"/>
              <w:jc w:val="center"/>
            </w:pPr>
            <w:r>
              <w:rPr>
                <w:rFonts w:ascii="Arial" w:cs="Arial" w:eastAsia="Arial" w:hAnsi="Arial"/>
                <w:sz w:val="17"/>
                <w:szCs w:val="17"/>
              </w:rPr>
              <w:t xml:space="preserve">0.5</w:t>
            </w:r>
          </w:p>
        </w:tc>
      </w:tr>
      <w:tr>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left"/>
            </w:pPr>
            <w:r>
              <w:rPr>
                <w:rFonts w:ascii="Arial" w:cs="Arial" w:eastAsia="Arial" w:hAnsi="Arial"/>
                <w:sz w:val="17"/>
                <w:szCs w:val="17"/>
              </w:rPr>
              <w:t xml:space="preserve">Inference Time</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left"/>
            </w:pPr>
            <w:r>
              <w:rPr>
                <w:rFonts w:ascii="Arial" w:cs="Arial" w:eastAsia="Arial" w:hAnsi="Arial"/>
                <w:sz w:val="17"/>
                <w:szCs w:val="17"/>
              </w:rPr>
              <w:t xml:space="preserve">Time per image (including preprocessing)</w:t>
            </w:r>
          </w:p>
        </w:tc>
        <w:tc>
          <w:tcPr>
            <w:tcW w:type="dxa" w:w="1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center"/>
            </w:pPr>
            <w:r>
              <w:rPr>
                <w:rFonts w:ascii="Arial" w:cs="Arial" w:eastAsia="Arial" w:hAnsi="Arial"/>
                <w:sz w:val="17"/>
                <w:szCs w:val="17"/>
              </w:rPr>
              <w:t xml:space="preserve">Measured in milliseconds per image</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before="20"/>
              <w:jc w:val="center"/>
            </w:pPr>
            <w:r>
              <w:rPr>
                <w:rFonts w:ascii="Arial" w:cs="Arial" w:eastAsia="Arial" w:hAnsi="Arial"/>
                <w:sz w:val="17"/>
                <w:szCs w:val="17"/>
              </w:rPr>
              <w:t xml:space="preserve">&lt; 100ms (GPU)</w:t>
            </w:r>
          </w:p>
        </w:tc>
      </w:tr>
    </w:tbl>
    <w:p>
      <w:pPr>
        <w:spacing w:after="80" w:before="60"/>
      </w:pPr>
      <w:r>
        <w:rPr>
          <w:b/>
          <w:bCs/>
          <w:i/>
          <w:iCs/>
        </w:rPr>
        <w:t xml:space="preserve">Table 5: </w:t>
      </w:r>
      <w:r>
        <w:rPr>
          <w:i/>
          <w:iCs/>
        </w:rPr>
        <w:t xml:space="preserve">Evaluation metrics definition and targets</w:t>
      </w:r>
    </w:p>
    <w:p>
      <w:pPr>
        <w:spacing w:after="60"/>
      </w:pPr>
      <w:r>
        <w:rPr>
          <w:b/>
          <w:bCs/>
        </w:rPr>
        <w:t xml:space="preserve">Stage 1 Current Results: </w:t>
      </w:r>
      <w:r>
        <w:t xml:space="preserve">mAP50 = 0.899 on MCD ground validation (exceeds 70% target). Stage 2 combined results: mAP50 improving from 0.608 to 0.754+ (exceeds 70% target). Full mAP@0.5:0.95 metrics pending Stage 3 completion.</w:t>
      </w:r>
    </w:p>
    <w:p>
      <w:pPr>
        <w:spacing w:before="200"/>
      </w:pPr>
    </w:p>
    <w:p>
      <w:r>
        <w:rPr>
          <w:b/>
          <w:bCs/>
        </w:rPr>
        <w:t xml:space="preserve">Document Version: </w:t>
      </w:r>
      <w:r>
        <w:t xml:space="preserve">1.0 — Week 10 Submission</w:t>
      </w:r>
    </w:p>
    <w:p>
      <w:r>
        <w:rPr>
          <w:b/>
          <w:bCs/>
        </w:rPr>
        <w:t xml:space="preserve">Notebook: </w:t>
      </w:r>
      <w:r>
        <w:t xml:space="preserve">maize_yolo26_final (4).ipynb</w:t>
      </w:r>
    </w:p>
    <w:p>
      <w:r>
        <w:rPr>
          <w:b/>
          <w:bCs/>
        </w:rPr>
        <w:t xml:space="preserve">Model: </w:t>
      </w:r>
      <w:r>
        <w:t xml:space="preserve">YOLO26s (Ultralytics v8.4.x + PyTorch)</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Arial" w:cs="Arial" w:eastAsia="Arial" w:hAnsi="Arial"/>
        <w:i/>
        <w:iCs/>
        <w:color w:val="888888"/>
        <w:sz w:val="16"/>
        <w:szCs w:val="16"/>
      </w:rPr>
      <w:t xml:space="preserve">FYP-26-S2-7 AI Model Progress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2E7D32"/>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c186f88d7a319e2972340295c8f2962ebe8e40d.jpg"/><Relationship Id="rId10" Type="http://schemas.openxmlformats.org/officeDocument/2006/relationships/image" Target="media/552a28436843d8db33a26c2f705b9ee79e9a2e1e.jpg"/><Relationship Id="rId11" Type="http://schemas.openxmlformats.org/officeDocument/2006/relationships/image" Target="media/5a7aeaab82702840d137a73bda68a51fedd6c825.jpg"/><Relationship Id="rId12" Type="http://schemas.openxmlformats.org/officeDocument/2006/relationships/image" Target="media/10fdabd9299224b73543b863ee4e39f47895ba60.jpg"/><Relationship Id="rId13" Type="http://schemas.openxmlformats.org/officeDocument/2006/relationships/image" Target="media/48fceeb346bdb522c1b8366e2ed7214ff81452e5.jpg"/><Relationship Id="rId14" Type="http://schemas.openxmlformats.org/officeDocument/2006/relationships/image" Target="media/f88a3443edd3b39ff6f0486657794763e9d85db1.jpg"/><Relationship Id="rId15" Type="http://schemas.openxmlformats.org/officeDocument/2006/relationships/image" Target="media/c546bdd955bb182dc6c698416dc93861633ce9c0.jpg"/><Relationship Id="rId16" Type="http://schemas.openxmlformats.org/officeDocument/2006/relationships/image" Target="media/389b9726df9da0824e3afde089f476bad73c15a4.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2026-06-07T09:24:32.257Z</dcterms:created>
  <dcterms:modified xsi:type="dcterms:W3CDTF">2026-06-07T09:24:32.258Z</dcterms:modified>
</cp:coreProperties>
</file>

<file path=docProps/custom.xml><?xml version="1.0" encoding="utf-8"?>
<Properties xmlns="http://schemas.openxmlformats.org/officeDocument/2006/custom-properties" xmlns:vt="http://schemas.openxmlformats.org/officeDocument/2006/docPropsVTypes"/>
</file>