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4"/>
        </w:rPr>
        <w:t>任务1实验报告</w:t>
      </w:r>
    </w:p>
    <w:p>
      <w:pPr>
        <w:jc w:val="center"/>
      </w:pPr>
      <w:r>
        <w:rPr>
          <w:rFonts w:ascii="黑体" w:hAnsi="黑体" w:eastAsia="黑体"/>
          <w:b/>
          <w:sz w:val="32"/>
        </w:rPr>
        <w:t>基于强化学习的倒立摆控制</w:t>
      </w:r>
    </w:p>
    <w:p>
      <w:pPr>
        <w:jc w:val="center"/>
      </w:pPr>
      <w:r>
        <w:rPr>
          <w:rFonts w:ascii="宋体" w:hAnsi="宋体" w:eastAsia="宋体"/>
          <w:sz w:val="22"/>
        </w:rPr>
        <w:t>课程：AI赋能自动控制原理    日期：2026年7月</w:t>
      </w:r>
    </w:p>
    <w:p/>
    <w:p>
      <w:pPr>
        <w:pStyle w:val="Heading1"/>
      </w:pPr>
      <w:r>
        <w:rPr>
          <w:rFonts w:ascii="黑体" w:hAnsi="黑体" w:eastAsia="黑体"/>
        </w:rPr>
        <w:t>1 问题分析</w:t>
      </w:r>
    </w:p>
    <w:p>
      <w:pPr>
        <w:pStyle w:val="Heading2"/>
      </w:pPr>
      <w:r>
        <w:rPr>
          <w:rFonts w:ascii="黑体" w:hAnsi="黑体" w:eastAsia="黑体"/>
        </w:rPr>
        <w:t>1.1 Cart Pole系统与强化学习环境</w:t>
      </w:r>
    </w:p>
    <w:p>
      <w:pPr>
        <w:pStyle w:val="Heading3"/>
      </w:pPr>
      <w:r>
        <w:rPr>
          <w:rFonts w:ascii="黑体" w:hAnsi="黑体" w:eastAsia="黑体"/>
        </w:rPr>
        <w:t>1.1.1 状态空间与动作空间</w:t>
      </w:r>
    </w:p>
    <w:p>
      <w:pPr>
        <w:ind w:firstLine="480"/>
      </w:pPr>
      <w:r>
        <w:rPr>
          <w:rFonts w:ascii="宋体" w:hAnsi="宋体" w:eastAsia="宋体"/>
          <w:b w:val="0"/>
          <w:sz w:val="24"/>
        </w:rPr>
        <w:t>Cart Pole（小车-倒立摆）是自动控制原理中经典的非线性系统控制案例。系统由一辆可在轨道上水平移动的小车和一根铰接于小车上的摆杆组成，控制目标是通过对小车施加水平推力（左移或右移），使摆杆始终保持直立状态。</w:t>
      </w:r>
    </w:p>
    <w:p>
      <w:pPr>
        <w:ind w:firstLine="480"/>
      </w:pPr>
      <w:r>
        <w:rPr>
          <w:rFonts w:ascii="宋体" w:hAnsi="宋体" w:eastAsia="宋体"/>
          <w:b w:val="0"/>
          <w:sz w:val="24"/>
        </w:rPr>
        <w:t>本实验使用OpenAI Gymnasium的CartPole-v1物理引擎，并按照任务描述的要求进行了定制：终止角度设为15°（原默认12°），失败时施加-10惩罚。状态空间为4维连续向量，动作空间为离散二值：动作0表示向左推，动作1表示向右推。环境的终止条件有三个：（1）摆杆倾斜超过15°，视为失去平衡；（2）小车偏离中心超过2.4m，视为滑出轨道；（3）达到500步且摆杆未倒下，视为成功。</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宋体" w:hAnsi="宋体" w:eastAsia="宋体"/>
                <w:b/>
                <w:sz w:val="20"/>
              </w:rPr>
              <w:t>序号</w:t>
            </w:r>
          </w:p>
        </w:tc>
        <w:tc>
          <w:tcPr>
            <w:tcW w:type="dxa" w:w="2160"/>
          </w:tcPr>
          <w:p>
            <w:r/>
            <w:r>
              <w:rPr>
                <w:rFonts w:ascii="宋体" w:hAnsi="宋体" w:eastAsia="宋体"/>
                <w:b/>
                <w:sz w:val="20"/>
              </w:rPr>
              <w:t>符号</w:t>
            </w:r>
          </w:p>
        </w:tc>
        <w:tc>
          <w:tcPr>
            <w:tcW w:type="dxa" w:w="2160"/>
          </w:tcPr>
          <w:p>
            <w:r/>
            <w:r>
              <w:rPr>
                <w:rFonts w:ascii="宋体" w:hAnsi="宋体" w:eastAsia="宋体"/>
                <w:b/>
                <w:sz w:val="20"/>
              </w:rPr>
              <w:t>含义</w:t>
            </w:r>
          </w:p>
        </w:tc>
        <w:tc>
          <w:tcPr>
            <w:tcW w:type="dxa" w:w="2160"/>
          </w:tcPr>
          <w:p>
            <w:r/>
            <w:r>
              <w:rPr>
                <w:rFonts w:ascii="宋体" w:hAnsi="宋体" w:eastAsia="宋体"/>
                <w:b/>
                <w:sz w:val="20"/>
              </w:rPr>
              <w:t>单位</w:t>
            </w:r>
          </w:p>
        </w:tc>
      </w:tr>
      <w:tr>
        <w:tc>
          <w:tcPr>
            <w:tcW w:type="dxa" w:w="2160"/>
          </w:tcPr>
          <w:p>
            <w:r/>
            <w:r>
              <w:rPr>
                <w:rFonts w:ascii="宋体" w:hAnsi="宋体" w:eastAsia="宋体"/>
                <w:sz w:val="20"/>
              </w:rPr>
              <w:t>0</w:t>
            </w:r>
          </w:p>
        </w:tc>
        <w:tc>
          <w:tcPr>
            <w:tcW w:type="dxa" w:w="2160"/>
          </w:tcPr>
          <w:p>
            <w:r/>
            <w:r>
              <w:rPr>
                <w:rFonts w:ascii="宋体" w:hAnsi="宋体" w:eastAsia="宋体"/>
                <w:sz w:val="20"/>
              </w:rPr>
              <w:t>x</w:t>
            </w:r>
          </w:p>
        </w:tc>
        <w:tc>
          <w:tcPr>
            <w:tcW w:type="dxa" w:w="2160"/>
          </w:tcPr>
          <w:p>
            <w:r/>
            <w:r>
              <w:rPr>
                <w:rFonts w:ascii="宋体" w:hAnsi="宋体" w:eastAsia="宋体"/>
                <w:sz w:val="20"/>
              </w:rPr>
              <w:t>小车位置</w:t>
            </w:r>
          </w:p>
        </w:tc>
        <w:tc>
          <w:tcPr>
            <w:tcW w:type="dxa" w:w="2160"/>
          </w:tcPr>
          <w:p>
            <w:r/>
            <w:r>
              <w:rPr>
                <w:rFonts w:ascii="宋体" w:hAnsi="宋体" w:eastAsia="宋体"/>
                <w:sz w:val="20"/>
              </w:rPr>
              <w:t>m</w:t>
            </w:r>
          </w:p>
        </w:tc>
      </w:tr>
      <w:tr>
        <w:tc>
          <w:tcPr>
            <w:tcW w:type="dxa" w:w="2160"/>
          </w:tcPr>
          <w:p>
            <w:r/>
            <w:r>
              <w:rPr>
                <w:rFonts w:ascii="宋体" w:hAnsi="宋体" w:eastAsia="宋体"/>
                <w:sz w:val="20"/>
              </w:rPr>
              <w:t>1</w:t>
            </w:r>
          </w:p>
        </w:tc>
        <w:tc>
          <w:tcPr>
            <w:tcW w:type="dxa" w:w="2160"/>
          </w:tcPr>
          <w:p>
            <w:r/>
            <w:r>
              <w:rPr>
                <w:rFonts w:ascii="宋体" w:hAnsi="宋体" w:eastAsia="宋体"/>
                <w:sz w:val="20"/>
              </w:rPr>
              <w:t>ẋ</w:t>
            </w:r>
          </w:p>
        </w:tc>
        <w:tc>
          <w:tcPr>
            <w:tcW w:type="dxa" w:w="2160"/>
          </w:tcPr>
          <w:p>
            <w:r/>
            <w:r>
              <w:rPr>
                <w:rFonts w:ascii="宋体" w:hAnsi="宋体" w:eastAsia="宋体"/>
                <w:sz w:val="20"/>
              </w:rPr>
              <w:t>小车速度</w:t>
            </w:r>
          </w:p>
        </w:tc>
        <w:tc>
          <w:tcPr>
            <w:tcW w:type="dxa" w:w="2160"/>
          </w:tcPr>
          <w:p>
            <w:r/>
            <w:r>
              <w:rPr>
                <w:rFonts w:ascii="宋体" w:hAnsi="宋体" w:eastAsia="宋体"/>
                <w:sz w:val="20"/>
              </w:rPr>
              <w:t>m/s</w:t>
            </w:r>
          </w:p>
        </w:tc>
      </w:tr>
      <w:tr>
        <w:tc>
          <w:tcPr>
            <w:tcW w:type="dxa" w:w="2160"/>
          </w:tcPr>
          <w:p>
            <w:r/>
            <w:r>
              <w:rPr>
                <w:rFonts w:ascii="宋体" w:hAnsi="宋体" w:eastAsia="宋体"/>
                <w:sz w:val="20"/>
              </w:rPr>
              <w:t>2</w:t>
            </w:r>
          </w:p>
        </w:tc>
        <w:tc>
          <w:tcPr>
            <w:tcW w:type="dxa" w:w="2160"/>
          </w:tcPr>
          <w:p>
            <w:r/>
            <w:r>
              <w:rPr>
                <w:rFonts w:ascii="宋体" w:hAnsi="宋体" w:eastAsia="宋体"/>
                <w:sz w:val="20"/>
              </w:rPr>
              <w:t>θ</w:t>
            </w:r>
          </w:p>
        </w:tc>
        <w:tc>
          <w:tcPr>
            <w:tcW w:type="dxa" w:w="2160"/>
          </w:tcPr>
          <w:p>
            <w:r/>
            <w:r>
              <w:rPr>
                <w:rFonts w:ascii="宋体" w:hAnsi="宋体" w:eastAsia="宋体"/>
                <w:sz w:val="20"/>
              </w:rPr>
              <w:t>摆杆角度</w:t>
            </w:r>
          </w:p>
        </w:tc>
        <w:tc>
          <w:tcPr>
            <w:tcW w:type="dxa" w:w="2160"/>
          </w:tcPr>
          <w:p>
            <w:r/>
            <w:r>
              <w:rPr>
                <w:rFonts w:ascii="宋体" w:hAnsi="宋体" w:eastAsia="宋体"/>
                <w:sz w:val="20"/>
              </w:rPr>
              <w:t>rad</w:t>
            </w:r>
          </w:p>
        </w:tc>
      </w:tr>
      <w:tr>
        <w:tc>
          <w:tcPr>
            <w:tcW w:type="dxa" w:w="2160"/>
          </w:tcPr>
          <w:p>
            <w:r/>
            <w:r>
              <w:rPr>
                <w:rFonts w:ascii="宋体" w:hAnsi="宋体" w:eastAsia="宋体"/>
                <w:sz w:val="20"/>
              </w:rPr>
              <w:t>3</w:t>
            </w:r>
          </w:p>
        </w:tc>
        <w:tc>
          <w:tcPr>
            <w:tcW w:type="dxa" w:w="2160"/>
          </w:tcPr>
          <w:p>
            <w:r/>
            <w:r>
              <w:rPr>
                <w:rFonts w:ascii="宋体" w:hAnsi="宋体" w:eastAsia="宋体"/>
                <w:sz w:val="20"/>
              </w:rPr>
              <w:t>θ̇</w:t>
            </w:r>
          </w:p>
        </w:tc>
        <w:tc>
          <w:tcPr>
            <w:tcW w:type="dxa" w:w="2160"/>
          </w:tcPr>
          <w:p>
            <w:r/>
            <w:r>
              <w:rPr>
                <w:rFonts w:ascii="宋体" w:hAnsi="宋体" w:eastAsia="宋体"/>
                <w:sz w:val="20"/>
              </w:rPr>
              <w:t>摆杆角速度</w:t>
            </w:r>
          </w:p>
        </w:tc>
        <w:tc>
          <w:tcPr>
            <w:tcW w:type="dxa" w:w="2160"/>
          </w:tcPr>
          <w:p>
            <w:r/>
            <w:r>
              <w:rPr>
                <w:rFonts w:ascii="宋体" w:hAnsi="宋体" w:eastAsia="宋体"/>
                <w:sz w:val="20"/>
              </w:rPr>
              <w:t>rad/s</w:t>
            </w:r>
          </w:p>
        </w:tc>
      </w:tr>
    </w:tbl>
    <w:p/>
    <w:p>
      <w:pPr>
        <w:pStyle w:val="Heading2"/>
      </w:pPr>
      <w:r>
        <w:rPr>
          <w:rFonts w:ascii="黑体" w:hAnsi="黑体" w:eastAsia="黑体"/>
        </w:rPr>
        <w:t>1.2 算法与奖励函数设计</w:t>
      </w:r>
    </w:p>
    <w:p>
      <w:pPr>
        <w:pStyle w:val="Heading3"/>
      </w:pPr>
      <w:r>
        <w:rPr>
          <w:rFonts w:ascii="黑体" w:hAnsi="黑体" w:eastAsia="黑体"/>
        </w:rPr>
        <w:t>1.2.1 算法选择及基本原理</w:t>
      </w:r>
    </w:p>
    <w:p>
      <w:pPr>
        <w:ind w:firstLine="480"/>
      </w:pPr>
      <w:r>
        <w:rPr>
          <w:rFonts w:ascii="宋体" w:hAnsi="宋体" w:eastAsia="宋体"/>
          <w:b w:val="0"/>
          <w:sz w:val="24"/>
        </w:rPr>
        <w:t>本实验选用两种主流的深度强化学习算法进行对比研究：</w:t>
      </w:r>
    </w:p>
    <w:p>
      <w:pPr>
        <w:ind w:firstLine="480"/>
      </w:pPr>
      <w:r>
        <w:rPr>
          <w:rFonts w:ascii="宋体" w:hAnsi="宋体" w:eastAsia="宋体"/>
          <w:b w:val="0"/>
          <w:sz w:val="24"/>
        </w:rPr>
        <w:t>PPO（Proximal Policy Optimization）：基于策略梯度的算法，通过裁剪机制（clip_range=0.2）限制策略更新幅度，防止单次更新过大导致性能崩溃。PPO的核心优势在于训练稳定性高、超参数鲁棒性好。关键超参数：学习率3×10⁻⁴、n_steps=2,048、GAE λ=0.95、折扣因子γ=0.99。</w:t>
      </w:r>
    </w:p>
    <w:p>
      <w:pPr>
        <w:ind w:firstLine="480"/>
      </w:pPr>
      <w:r>
        <w:rPr>
          <w:rFonts w:ascii="宋体" w:hAnsi="宋体" w:eastAsia="宋体"/>
          <w:b w:val="0"/>
          <w:sz w:val="24"/>
        </w:rPr>
        <w:t>A2C（Advantage Actor-Critic）：同步优势演员-评论家算法，同时学习策略网络和价值网络，利用优势函数降低策略梯度方差。经7种配置的系统扫描，最优超参数为：n_steps=64、学习率5×10⁻⁴、熵系数0.02。</w:t>
      </w:r>
    </w:p>
    <w:p>
      <w:pPr>
        <w:ind w:firstLine="480"/>
      </w:pPr>
      <w:r>
        <w:rPr>
          <w:rFonts w:ascii="宋体" w:hAnsi="宋体" w:eastAsia="宋体"/>
          <w:b w:val="0"/>
          <w:sz w:val="24"/>
        </w:rPr>
        <w:t>传统控制方法：随机策略、规则控制器、LQR控制器作为性能基线。</w:t>
      </w:r>
    </w:p>
    <w:p>
      <w:pPr>
        <w:ind w:firstLine="480"/>
      </w:pPr>
      <w:r>
        <w:rPr>
          <w:rFonts w:ascii="宋体" w:hAnsi="宋体" w:eastAsia="宋体"/>
          <w:b w:val="0"/>
          <w:sz w:val="24"/>
        </w:rPr>
        <w:t>奖励函数设计。严格遵循任务描述：每步成功保持平衡获得+1正向奖励，失败（角度或位置超限）获得-10负向惩罚。</w:t>
      </w:r>
    </w:p>
    <w:p>
      <w:pPr>
        <w:pStyle w:val="Heading1"/>
      </w:pPr>
      <w:r>
        <w:rPr>
          <w:rFonts w:ascii="黑体" w:hAnsi="黑体" w:eastAsia="黑体"/>
        </w:rPr>
        <w:t>2 实验过程</w:t>
      </w:r>
    </w:p>
    <w:p>
      <w:pPr>
        <w:pStyle w:val="Heading2"/>
      </w:pPr>
      <w:r>
        <w:rPr>
          <w:rFonts w:ascii="黑体" w:hAnsi="黑体" w:eastAsia="黑体"/>
        </w:rPr>
        <w:t>2.1 环境构建与参数设置</w:t>
      </w:r>
    </w:p>
    <w:p>
      <w:pPr>
        <w:ind w:firstLine="480"/>
      </w:pPr>
      <w:r>
        <w:rPr>
          <w:rFonts w:ascii="宋体" w:hAnsi="宋体" w:eastAsia="宋体"/>
          <w:b w:val="0"/>
          <w:sz w:val="24"/>
        </w:rPr>
        <w:t>本实验使用自定义的CartPole环境（src/task_env.py），基于OpenAI Gymnasium的物理引擎实现，终止角度设为15°、失败惩罚-10。环境通过DummyVecEnv进行向量化，配合Monitor包装器记录每回合的奖励与步数。训练统一配置：训练步数200,000步、随机种子42、CPU设备。</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宋体" w:hAnsi="宋体" w:eastAsia="宋体"/>
                <w:b/>
                <w:sz w:val="20"/>
              </w:rPr>
              <w:t>参数</w:t>
            </w:r>
          </w:p>
        </w:tc>
        <w:tc>
          <w:tcPr>
            <w:tcW w:type="dxa" w:w="2880"/>
          </w:tcPr>
          <w:p>
            <w:r/>
            <w:r>
              <w:rPr>
                <w:rFonts w:ascii="宋体" w:hAnsi="宋体" w:eastAsia="宋体"/>
                <w:b/>
                <w:sz w:val="20"/>
              </w:rPr>
              <w:t>PPO</w:t>
            </w:r>
          </w:p>
        </w:tc>
        <w:tc>
          <w:tcPr>
            <w:tcW w:type="dxa" w:w="2880"/>
          </w:tcPr>
          <w:p>
            <w:r/>
            <w:r>
              <w:rPr>
                <w:rFonts w:ascii="宋体" w:hAnsi="宋体" w:eastAsia="宋体"/>
                <w:b/>
                <w:sz w:val="20"/>
              </w:rPr>
              <w:t>A2C（优化后）</w:t>
            </w:r>
          </w:p>
        </w:tc>
      </w:tr>
      <w:tr>
        <w:tc>
          <w:tcPr>
            <w:tcW w:type="dxa" w:w="2880"/>
          </w:tcPr>
          <w:p>
            <w:r/>
            <w:r>
              <w:rPr>
                <w:rFonts w:ascii="宋体" w:hAnsi="宋体" w:eastAsia="宋体"/>
                <w:sz w:val="20"/>
              </w:rPr>
              <w:t>学习率</w:t>
            </w:r>
          </w:p>
        </w:tc>
        <w:tc>
          <w:tcPr>
            <w:tcW w:type="dxa" w:w="2880"/>
          </w:tcPr>
          <w:p>
            <w:r/>
            <w:r>
              <w:rPr>
                <w:rFonts w:ascii="宋体" w:hAnsi="宋体" w:eastAsia="宋体"/>
                <w:sz w:val="20"/>
              </w:rPr>
              <w:t>3×10⁻⁴</w:t>
            </w:r>
          </w:p>
        </w:tc>
        <w:tc>
          <w:tcPr>
            <w:tcW w:type="dxa" w:w="2880"/>
          </w:tcPr>
          <w:p>
            <w:r/>
            <w:r>
              <w:rPr>
                <w:rFonts w:ascii="宋体" w:hAnsi="宋体" w:eastAsia="宋体"/>
                <w:sz w:val="20"/>
              </w:rPr>
              <w:t>5×10⁻⁴</w:t>
            </w:r>
          </w:p>
        </w:tc>
      </w:tr>
      <w:tr>
        <w:tc>
          <w:tcPr>
            <w:tcW w:type="dxa" w:w="2880"/>
          </w:tcPr>
          <w:p>
            <w:r/>
            <w:r>
              <w:rPr>
                <w:rFonts w:ascii="宋体" w:hAnsi="宋体" w:eastAsia="宋体"/>
                <w:sz w:val="20"/>
              </w:rPr>
              <w:t>n_steps</w:t>
            </w:r>
          </w:p>
        </w:tc>
        <w:tc>
          <w:tcPr>
            <w:tcW w:type="dxa" w:w="2880"/>
          </w:tcPr>
          <w:p>
            <w:r/>
            <w:r>
              <w:rPr>
                <w:rFonts w:ascii="宋体" w:hAnsi="宋体" w:eastAsia="宋体"/>
                <w:sz w:val="20"/>
              </w:rPr>
              <w:t>2,048</w:t>
            </w:r>
          </w:p>
        </w:tc>
        <w:tc>
          <w:tcPr>
            <w:tcW w:type="dxa" w:w="2880"/>
          </w:tcPr>
          <w:p>
            <w:r/>
            <w:r>
              <w:rPr>
                <w:rFonts w:ascii="宋体" w:hAnsi="宋体" w:eastAsia="宋体"/>
                <w:sz w:val="20"/>
              </w:rPr>
              <w:t>64</w:t>
            </w:r>
          </w:p>
        </w:tc>
      </w:tr>
      <w:tr>
        <w:tc>
          <w:tcPr>
            <w:tcW w:type="dxa" w:w="2880"/>
          </w:tcPr>
          <w:p>
            <w:r/>
            <w:r>
              <w:rPr>
                <w:rFonts w:ascii="宋体" w:hAnsi="宋体" w:eastAsia="宋体"/>
                <w:sz w:val="20"/>
              </w:rPr>
              <w:t>batch_size</w:t>
            </w:r>
          </w:p>
        </w:tc>
        <w:tc>
          <w:tcPr>
            <w:tcW w:type="dxa" w:w="2880"/>
          </w:tcPr>
          <w:p>
            <w:r/>
            <w:r>
              <w:rPr>
                <w:rFonts w:ascii="宋体" w:hAnsi="宋体" w:eastAsia="宋体"/>
                <w:sz w:val="20"/>
              </w:rPr>
              <w:t>64</w:t>
            </w:r>
          </w:p>
        </w:tc>
        <w:tc>
          <w:tcPr>
            <w:tcW w:type="dxa" w:w="2880"/>
          </w:tcPr>
          <w:p>
            <w:r/>
            <w:r>
              <w:rPr>
                <w:rFonts w:ascii="宋体" w:hAnsi="宋体" w:eastAsia="宋体"/>
                <w:sz w:val="20"/>
              </w:rPr>
              <w:t>--</w:t>
            </w:r>
          </w:p>
        </w:tc>
      </w:tr>
      <w:tr>
        <w:tc>
          <w:tcPr>
            <w:tcW w:type="dxa" w:w="2880"/>
          </w:tcPr>
          <w:p>
            <w:r/>
            <w:r>
              <w:rPr>
                <w:rFonts w:ascii="宋体" w:hAnsi="宋体" w:eastAsia="宋体"/>
                <w:sz w:val="20"/>
              </w:rPr>
              <w:t>n_epochs</w:t>
            </w:r>
          </w:p>
        </w:tc>
        <w:tc>
          <w:tcPr>
            <w:tcW w:type="dxa" w:w="2880"/>
          </w:tcPr>
          <w:p>
            <w:r/>
            <w:r>
              <w:rPr>
                <w:rFonts w:ascii="宋体" w:hAnsi="宋体" w:eastAsia="宋体"/>
                <w:sz w:val="20"/>
              </w:rPr>
              <w:t>10</w:t>
            </w:r>
          </w:p>
        </w:tc>
        <w:tc>
          <w:tcPr>
            <w:tcW w:type="dxa" w:w="2880"/>
          </w:tcPr>
          <w:p>
            <w:r/>
            <w:r>
              <w:rPr>
                <w:rFonts w:ascii="宋体" w:hAnsi="宋体" w:eastAsia="宋体"/>
                <w:sz w:val="20"/>
              </w:rPr>
              <w:t>--</w:t>
            </w:r>
          </w:p>
        </w:tc>
      </w:tr>
      <w:tr>
        <w:tc>
          <w:tcPr>
            <w:tcW w:type="dxa" w:w="2880"/>
          </w:tcPr>
          <w:p>
            <w:r/>
            <w:r>
              <w:rPr>
                <w:rFonts w:ascii="宋体" w:hAnsi="宋体" w:eastAsia="宋体"/>
                <w:sz w:val="20"/>
              </w:rPr>
              <w:t>gamma</w:t>
            </w:r>
          </w:p>
        </w:tc>
        <w:tc>
          <w:tcPr>
            <w:tcW w:type="dxa" w:w="2880"/>
          </w:tcPr>
          <w:p>
            <w:r/>
            <w:r>
              <w:rPr>
                <w:rFonts w:ascii="宋体" w:hAnsi="宋体" w:eastAsia="宋体"/>
                <w:sz w:val="20"/>
              </w:rPr>
              <w:t>0.99</w:t>
            </w:r>
          </w:p>
        </w:tc>
        <w:tc>
          <w:tcPr>
            <w:tcW w:type="dxa" w:w="2880"/>
          </w:tcPr>
          <w:p>
            <w:r/>
            <w:r>
              <w:rPr>
                <w:rFonts w:ascii="宋体" w:hAnsi="宋体" w:eastAsia="宋体"/>
                <w:sz w:val="20"/>
              </w:rPr>
              <w:t>0.99</w:t>
            </w:r>
          </w:p>
        </w:tc>
      </w:tr>
      <w:tr>
        <w:tc>
          <w:tcPr>
            <w:tcW w:type="dxa" w:w="2880"/>
          </w:tcPr>
          <w:p>
            <w:r/>
            <w:r>
              <w:rPr>
                <w:rFonts w:ascii="宋体" w:hAnsi="宋体" w:eastAsia="宋体"/>
                <w:sz w:val="20"/>
              </w:rPr>
              <w:t>GAE λ</w:t>
            </w:r>
          </w:p>
        </w:tc>
        <w:tc>
          <w:tcPr>
            <w:tcW w:type="dxa" w:w="2880"/>
          </w:tcPr>
          <w:p>
            <w:r/>
            <w:r>
              <w:rPr>
                <w:rFonts w:ascii="宋体" w:hAnsi="宋体" w:eastAsia="宋体"/>
                <w:sz w:val="20"/>
              </w:rPr>
              <w:t>0.95</w:t>
            </w:r>
          </w:p>
        </w:tc>
        <w:tc>
          <w:tcPr>
            <w:tcW w:type="dxa" w:w="2880"/>
          </w:tcPr>
          <w:p>
            <w:r/>
            <w:r>
              <w:rPr>
                <w:rFonts w:ascii="宋体" w:hAnsi="宋体" w:eastAsia="宋体"/>
                <w:sz w:val="20"/>
              </w:rPr>
              <w:t>0.95</w:t>
            </w:r>
          </w:p>
        </w:tc>
      </w:tr>
      <w:tr>
        <w:tc>
          <w:tcPr>
            <w:tcW w:type="dxa" w:w="2880"/>
          </w:tcPr>
          <w:p>
            <w:r/>
            <w:r>
              <w:rPr>
                <w:rFonts w:ascii="宋体" w:hAnsi="宋体" w:eastAsia="宋体"/>
                <w:sz w:val="20"/>
              </w:rPr>
              <w:t>clip_range</w:t>
            </w:r>
          </w:p>
        </w:tc>
        <w:tc>
          <w:tcPr>
            <w:tcW w:type="dxa" w:w="2880"/>
          </w:tcPr>
          <w:p>
            <w:r/>
            <w:r>
              <w:rPr>
                <w:rFonts w:ascii="宋体" w:hAnsi="宋体" w:eastAsia="宋体"/>
                <w:sz w:val="20"/>
              </w:rPr>
              <w:t>0.2</w:t>
            </w:r>
          </w:p>
        </w:tc>
        <w:tc>
          <w:tcPr>
            <w:tcW w:type="dxa" w:w="2880"/>
          </w:tcPr>
          <w:p>
            <w:r/>
            <w:r>
              <w:rPr>
                <w:rFonts w:ascii="宋体" w:hAnsi="宋体" w:eastAsia="宋体"/>
                <w:sz w:val="20"/>
              </w:rPr>
              <w:t>--</w:t>
            </w:r>
          </w:p>
        </w:tc>
      </w:tr>
      <w:tr>
        <w:tc>
          <w:tcPr>
            <w:tcW w:type="dxa" w:w="2880"/>
          </w:tcPr>
          <w:p>
            <w:r/>
            <w:r>
              <w:rPr>
                <w:rFonts w:ascii="宋体" w:hAnsi="宋体" w:eastAsia="宋体"/>
                <w:sz w:val="20"/>
              </w:rPr>
              <w:t>ent_coef</w:t>
            </w:r>
          </w:p>
        </w:tc>
        <w:tc>
          <w:tcPr>
            <w:tcW w:type="dxa" w:w="2880"/>
          </w:tcPr>
          <w:p>
            <w:r/>
            <w:r>
              <w:rPr>
                <w:rFonts w:ascii="宋体" w:hAnsi="宋体" w:eastAsia="宋体"/>
                <w:sz w:val="20"/>
              </w:rPr>
              <w:t>0.0</w:t>
            </w:r>
          </w:p>
        </w:tc>
        <w:tc>
          <w:tcPr>
            <w:tcW w:type="dxa" w:w="2880"/>
          </w:tcPr>
          <w:p>
            <w:r/>
            <w:r>
              <w:rPr>
                <w:rFonts w:ascii="宋体" w:hAnsi="宋体" w:eastAsia="宋体"/>
                <w:sz w:val="20"/>
              </w:rPr>
              <w:t>0.02</w:t>
            </w:r>
          </w:p>
        </w:tc>
      </w:tr>
    </w:tbl>
    <w:p/>
    <w:p>
      <w:pPr>
        <w:pStyle w:val="Heading2"/>
      </w:pPr>
      <w:r>
        <w:rPr>
          <w:rFonts w:ascii="黑体" w:hAnsi="黑体" w:eastAsia="黑体"/>
        </w:rPr>
        <w:t>2.2 智能体训练过程</w:t>
      </w:r>
    </w:p>
    <w:p>
      <w:pPr>
        <w:pStyle w:val="Heading3"/>
      </w:pPr>
      <w:r>
        <w:rPr>
          <w:rFonts w:ascii="黑体" w:hAnsi="黑体" w:eastAsia="黑体"/>
        </w:rPr>
        <w:t>2.2.1 PPO训练过程</w:t>
      </w:r>
    </w:p>
    <w:p>
      <w:pPr>
        <w:ind w:firstLine="480"/>
      </w:pPr>
      <w:r>
        <w:rPr>
          <w:rFonts w:ascii="宋体" w:hAnsi="宋体" w:eastAsia="宋体"/>
          <w:b w:val="0"/>
          <w:sz w:val="24"/>
        </w:rPr>
        <w:t>PPO在200,000步内完美求解自定义环境。训练过程分为三个阶段：探索期（0-200回合）奖励10-40；收敛期（200-280回合）奖励从40快速攀升至500；稳定求解期（280回合后）持续满分，后100回合均值500.0。20回合评估全部满分（500.0±0.0），达标率100%。</w:t>
      </w:r>
    </w:p>
    <w:p>
      <w:pPr>
        <w:jc w:val="center"/>
      </w:pPr>
      <w:r>
        <w:drawing>
          <wp:inline xmlns:a="http://schemas.openxmlformats.org/drawingml/2006/main" xmlns:pic="http://schemas.openxmlformats.org/drawingml/2006/picture">
            <wp:extent cx="3600000" cy="2821622"/>
            <wp:docPr id="1" name="Picture 1"/>
            <wp:cNvGraphicFramePr>
              <a:graphicFrameLocks noChangeAspect="1"/>
            </wp:cNvGraphicFramePr>
            <a:graphic>
              <a:graphicData uri="http://schemas.openxmlformats.org/drawingml/2006/picture">
                <pic:pic>
                  <pic:nvPicPr>
                    <pic:cNvPr id="0" name="fig1_ppo_training.png"/>
                    <pic:cNvPicPr/>
                  </pic:nvPicPr>
                  <pic:blipFill>
                    <a:blip r:embed="rId9"/>
                    <a:stretch>
                      <a:fillRect/>
                    </a:stretch>
                  </pic:blipFill>
                  <pic:spPr>
                    <a:xfrm>
                      <a:off x="0" y="0"/>
                      <a:ext cx="3600000" cy="2821622"/>
                    </a:xfrm>
                    <a:prstGeom prst="rect"/>
                  </pic:spPr>
                </pic:pic>
              </a:graphicData>
            </a:graphic>
          </wp:inline>
        </w:drawing>
      </w:r>
    </w:p>
    <w:p>
      <w:pPr>
        <w:jc w:val="center"/>
      </w:pPr>
      <w:r>
        <w:rPr>
          <w:rFonts w:ascii="宋体" w:hAnsi="宋体" w:eastAsia="宋体"/>
          <w:i/>
          <w:sz w:val="18"/>
        </w:rPr>
        <w:t>图1 PPO训练奖励曲线</w:t>
      </w:r>
    </w:p>
    <w:p>
      <w:pPr>
        <w:pStyle w:val="Heading3"/>
      </w:pPr>
      <w:r>
        <w:rPr>
          <w:rFonts w:ascii="黑体" w:hAnsi="黑体" w:eastAsia="黑体"/>
        </w:rPr>
        <w:t>2.2.2 A2C训练过程</w:t>
      </w:r>
    </w:p>
    <w:p>
      <w:pPr>
        <w:ind w:firstLine="480"/>
      </w:pPr>
      <w:r>
        <w:rPr>
          <w:rFonts w:ascii="宋体" w:hAnsi="宋体" w:eastAsia="宋体"/>
          <w:b w:val="0"/>
          <w:sz w:val="24"/>
        </w:rPr>
        <w:t>A2C经超参数优化后（n_steps=64, lr=5e-4, ent_coef=0.02）在200,000步内接近收敛。训练过程：缓慢上升期（0-200回合）均值29→227；波动求解期（200-500回合）多次满分但波动；稳定提升期（500回合后）后100回合均值464.5。20回合评估均值493.4±20.8，达标率90%（18/20）。</w:t>
      </w:r>
    </w:p>
    <w:p>
      <w:pPr>
        <w:jc w:val="center"/>
      </w:pPr>
      <w:r>
        <w:drawing>
          <wp:inline xmlns:a="http://schemas.openxmlformats.org/drawingml/2006/main" xmlns:pic="http://schemas.openxmlformats.org/drawingml/2006/picture">
            <wp:extent cx="4320000" cy="2805686"/>
            <wp:docPr id="2" name="Picture 2"/>
            <wp:cNvGraphicFramePr>
              <a:graphicFrameLocks noChangeAspect="1"/>
            </wp:cNvGraphicFramePr>
            <a:graphic>
              <a:graphicData uri="http://schemas.openxmlformats.org/drawingml/2006/picture">
                <pic:pic>
                  <pic:nvPicPr>
                    <pic:cNvPr id="0" name="fig2_a2c_training.png"/>
                    <pic:cNvPicPr/>
                  </pic:nvPicPr>
                  <pic:blipFill>
                    <a:blip r:embed="rId10"/>
                    <a:stretch>
                      <a:fillRect/>
                    </a:stretch>
                  </pic:blipFill>
                  <pic:spPr>
                    <a:xfrm>
                      <a:off x="0" y="0"/>
                      <a:ext cx="4320000" cy="2805686"/>
                    </a:xfrm>
                    <a:prstGeom prst="rect"/>
                  </pic:spPr>
                </pic:pic>
              </a:graphicData>
            </a:graphic>
          </wp:inline>
        </w:drawing>
      </w:r>
    </w:p>
    <w:p>
      <w:pPr>
        <w:jc w:val="center"/>
      </w:pPr>
      <w:r>
        <w:rPr>
          <w:rFonts w:ascii="宋体" w:hAnsi="宋体" w:eastAsia="宋体"/>
          <w:i/>
          <w:sz w:val="18"/>
        </w:rPr>
        <w:t>图2 A2C训练奖励曲线</w:t>
      </w:r>
    </w:p>
    <w:p>
      <w:pPr>
        <w:pStyle w:val="Heading2"/>
      </w:pPr>
      <w:r>
        <w:rPr>
          <w:rFonts w:ascii="黑体" w:hAnsi="黑体" w:eastAsia="黑体"/>
        </w:rPr>
        <w:t>2.3 关键参数验证</w:t>
      </w:r>
    </w:p>
    <w:p>
      <w:pPr>
        <w:pStyle w:val="Heading3"/>
      </w:pPr>
      <w:r>
        <w:rPr>
          <w:rFonts w:ascii="黑体" w:hAnsi="黑体" w:eastAsia="黑体"/>
        </w:rPr>
        <w:t>2.3.1 PPO关键参数验证</w:t>
      </w:r>
    </w:p>
    <w:p>
      <w:pPr>
        <w:ind w:firstLine="480"/>
      </w:pPr>
      <w:r>
        <w:rPr>
          <w:rFonts w:ascii="宋体" w:hAnsi="宋体" w:eastAsia="宋体"/>
          <w:b w:val="0"/>
          <w:sz w:val="24"/>
        </w:rPr>
        <w:t>PPO的核心超参数为学习率。实验对比了三种学习率：1e-4（较慢，后50均值约180）、3e-4（适中，后50均值约350）、1e-3（最快但可能发散，后50均值约280）。3×10⁻⁴是平衡收敛速度与稳定性的最优选择。</w:t>
      </w:r>
    </w:p>
    <w:p>
      <w:pPr>
        <w:pStyle w:val="Heading3"/>
      </w:pPr>
      <w:r>
        <w:rPr>
          <w:rFonts w:ascii="黑体" w:hAnsi="黑体" w:eastAsia="黑体"/>
        </w:rPr>
        <w:t>2.3.2 A2C关键参数验证</w:t>
      </w:r>
    </w:p>
    <w:p>
      <w:pPr>
        <w:ind w:firstLine="480"/>
      </w:pPr>
      <w:r>
        <w:rPr>
          <w:rFonts w:ascii="宋体" w:hAnsi="宋体" w:eastAsia="宋体"/>
          <w:b w:val="0"/>
          <w:sz w:val="24"/>
        </w:rPr>
        <w:t>A2C对超参数更敏感。对7种配置进行了系统扫描，关键结论：n_steps=64最优（后100均值433.5，求解67次），n_steps过小（5）样本利用率低（后100均值41.2），过大（256/512）更新频率不足。综合后100均值和求解次数，n_steps=64, lr=5e-4为最优配置。</w:t>
      </w:r>
    </w:p>
    <w:p>
      <w:pPr>
        <w:jc w:val="center"/>
      </w:pPr>
      <w:r>
        <w:drawing>
          <wp:inline xmlns:a="http://schemas.openxmlformats.org/drawingml/2006/main" xmlns:pic="http://schemas.openxmlformats.org/drawingml/2006/picture">
            <wp:extent cx="2880000" cy="2160000"/>
            <wp:docPr id="3" name="Picture 3"/>
            <wp:cNvGraphicFramePr>
              <a:graphicFrameLocks noChangeAspect="1"/>
            </wp:cNvGraphicFramePr>
            <a:graphic>
              <a:graphicData uri="http://schemas.openxmlformats.org/drawingml/2006/picture">
                <pic:pic>
                  <pic:nvPicPr>
                    <pic:cNvPr id="0" name="fig_s1_ppo_lr.png"/>
                    <pic:cNvPicPr/>
                  </pic:nvPicPr>
                  <pic:blipFill>
                    <a:blip r:embed="rId11"/>
                    <a:stretch>
                      <a:fillRect/>
                    </a:stretch>
                  </pic:blipFill>
                  <pic:spPr>
                    <a:xfrm>
                      <a:off x="0" y="0"/>
                      <a:ext cx="2880000" cy="2160000"/>
                    </a:xfrm>
                    <a:prstGeom prst="rect"/>
                  </pic:spPr>
                </pic:pic>
              </a:graphicData>
            </a:graphic>
          </wp:inline>
        </w:drawing>
      </w:r>
    </w:p>
    <w:p>
      <w:pPr>
        <w:jc w:val="center"/>
      </w:pPr>
      <w:r>
        <w:rPr>
          <w:rFonts w:ascii="宋体" w:hAnsi="宋体" w:eastAsia="宋体"/>
          <w:i/>
          <w:sz w:val="18"/>
        </w:rPr>
        <w:t>图3 PPO学习率对比</w:t>
      </w:r>
    </w:p>
    <w:p>
      <w:pPr>
        <w:jc w:val="center"/>
      </w:pPr>
      <w:r>
        <w:drawing>
          <wp:inline xmlns:a="http://schemas.openxmlformats.org/drawingml/2006/main" xmlns:pic="http://schemas.openxmlformats.org/drawingml/2006/picture">
            <wp:extent cx="2880000" cy="1920000"/>
            <wp:docPr id="4" name="Picture 4"/>
            <wp:cNvGraphicFramePr>
              <a:graphicFrameLocks noChangeAspect="1"/>
            </wp:cNvGraphicFramePr>
            <a:graphic>
              <a:graphicData uri="http://schemas.openxmlformats.org/drawingml/2006/picture">
                <pic:pic>
                  <pic:nvPicPr>
                    <pic:cNvPr id="0" name="fig_s2_a2c_nsteps.png"/>
                    <pic:cNvPicPr/>
                  </pic:nvPicPr>
                  <pic:blipFill>
                    <a:blip r:embed="rId12"/>
                    <a:stretch>
                      <a:fillRect/>
                    </a:stretch>
                  </pic:blipFill>
                  <pic:spPr>
                    <a:xfrm>
                      <a:off x="0" y="0"/>
                      <a:ext cx="2880000" cy="1920000"/>
                    </a:xfrm>
                    <a:prstGeom prst="rect"/>
                  </pic:spPr>
                </pic:pic>
              </a:graphicData>
            </a:graphic>
          </wp:inline>
        </w:drawing>
      </w:r>
    </w:p>
    <w:p>
      <w:pPr>
        <w:jc w:val="center"/>
      </w:pPr>
      <w:r>
        <w:rPr>
          <w:rFonts w:ascii="宋体" w:hAnsi="宋体" w:eastAsia="宋体"/>
          <w:i/>
          <w:sz w:val="18"/>
        </w:rPr>
        <w:t>图4 A2C n_steps对比</w:t>
      </w:r>
    </w:p>
    <w:p>
      <w:pPr>
        <w:jc w:val="center"/>
      </w:pPr>
      <w:r>
        <w:drawing>
          <wp:inline xmlns:a="http://schemas.openxmlformats.org/drawingml/2006/main" xmlns:pic="http://schemas.openxmlformats.org/drawingml/2006/picture">
            <wp:extent cx="2880000" cy="2160000"/>
            <wp:docPr id="5" name="Picture 5"/>
            <wp:cNvGraphicFramePr>
              <a:graphicFrameLocks noChangeAspect="1"/>
            </wp:cNvGraphicFramePr>
            <a:graphic>
              <a:graphicData uri="http://schemas.openxmlformats.org/drawingml/2006/picture">
                <pic:pic>
                  <pic:nvPicPr>
                    <pic:cNvPr id="0" name="fig_s3_a2c_default_vs_optimal.png"/>
                    <pic:cNvPicPr/>
                  </pic:nvPicPr>
                  <pic:blipFill>
                    <a:blip r:embed="rId13"/>
                    <a:stretch>
                      <a:fillRect/>
                    </a:stretch>
                  </pic:blipFill>
                  <pic:spPr>
                    <a:xfrm>
                      <a:off x="0" y="0"/>
                      <a:ext cx="2880000" cy="2160000"/>
                    </a:xfrm>
                    <a:prstGeom prst="rect"/>
                  </pic:spPr>
                </pic:pic>
              </a:graphicData>
            </a:graphic>
          </wp:inline>
        </w:drawing>
      </w:r>
    </w:p>
    <w:p>
      <w:pPr>
        <w:jc w:val="center"/>
      </w:pPr>
      <w:r>
        <w:rPr>
          <w:rFonts w:ascii="宋体" w:hAnsi="宋体" w:eastAsia="宋体"/>
          <w:i/>
          <w:sz w:val="18"/>
        </w:rPr>
        <w:t>图5 默认vs最优A2C</w:t>
      </w:r>
    </w:p>
    <w:p>
      <w:pPr>
        <w:pStyle w:val="Heading2"/>
      </w:pPr>
      <w:r>
        <w:rPr>
          <w:rFonts w:ascii="黑体" w:hAnsi="黑体" w:eastAsia="黑体"/>
        </w:rPr>
        <w:t>2.4 扩展对比（传统控制方法）</w:t>
      </w:r>
    </w:p>
    <w:p>
      <w:pPr>
        <w:ind w:firstLine="480"/>
      </w:pPr>
      <w:r>
        <w:rPr>
          <w:rFonts w:ascii="宋体" w:hAnsi="宋体" w:eastAsia="宋体"/>
          <w:b w:val="0"/>
          <w:sz w:val="24"/>
        </w:rPr>
        <w:t>从设计思路、是否需要训练、控制流程三个维度对比传统控制方法：</w:t>
      </w:r>
    </w:p>
    <w:p>
      <w:pPr>
        <w:ind w:firstLine="480"/>
      </w:pPr>
      <w:r>
        <w:rPr>
          <w:rFonts w:ascii="宋体" w:hAnsi="宋体" w:eastAsia="宋体"/>
          <w:b w:val="0"/>
          <w:sz w:val="24"/>
        </w:rPr>
        <w:t>随机策略：每步50%随机动作，无需训练，作为性能下界。LQR控制器：在平衡点线性化后求解Riccati方程获得最优反馈增益K。规则控制器：基于启发式规则——摆杆向右倾斜则向右推、向左倾斜则向左推，无需建模和训练。</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宋体" w:hAnsi="宋体" w:eastAsia="宋体"/>
                <w:b/>
                <w:sz w:val="20"/>
              </w:rPr>
              <w:t>方法</w:t>
            </w:r>
          </w:p>
        </w:tc>
        <w:tc>
          <w:tcPr>
            <w:tcW w:type="dxa" w:w="2160"/>
          </w:tcPr>
          <w:p>
            <w:r/>
            <w:r>
              <w:rPr>
                <w:rFonts w:ascii="宋体" w:hAnsi="宋体" w:eastAsia="宋体"/>
                <w:b/>
                <w:sz w:val="20"/>
              </w:rPr>
              <w:t>是否需要训练</w:t>
            </w:r>
          </w:p>
        </w:tc>
        <w:tc>
          <w:tcPr>
            <w:tcW w:type="dxa" w:w="2160"/>
          </w:tcPr>
          <w:p>
            <w:r/>
            <w:r>
              <w:rPr>
                <w:rFonts w:ascii="宋体" w:hAnsi="宋体" w:eastAsia="宋体"/>
                <w:b/>
                <w:sz w:val="20"/>
              </w:rPr>
              <w:t>训练时间</w:t>
            </w:r>
          </w:p>
        </w:tc>
        <w:tc>
          <w:tcPr>
            <w:tcW w:type="dxa" w:w="2160"/>
          </w:tcPr>
          <w:p>
            <w:r/>
            <w:r>
              <w:rPr>
                <w:rFonts w:ascii="宋体" w:hAnsi="宋体" w:eastAsia="宋体"/>
                <w:b/>
                <w:sz w:val="20"/>
              </w:rPr>
              <w:t>设计复杂度</w:t>
            </w:r>
          </w:p>
        </w:tc>
      </w:tr>
      <w:tr>
        <w:tc>
          <w:tcPr>
            <w:tcW w:type="dxa" w:w="2160"/>
          </w:tcPr>
          <w:p>
            <w:r/>
            <w:r>
              <w:rPr>
                <w:rFonts w:ascii="宋体" w:hAnsi="宋体" w:eastAsia="宋体"/>
                <w:sz w:val="20"/>
              </w:rPr>
              <w:t>随机策略</w:t>
            </w:r>
          </w:p>
        </w:tc>
        <w:tc>
          <w:tcPr>
            <w:tcW w:type="dxa" w:w="2160"/>
          </w:tcPr>
          <w:p>
            <w:r/>
            <w:r>
              <w:rPr>
                <w:rFonts w:ascii="宋体" w:hAnsi="宋体" w:eastAsia="宋体"/>
                <w:sz w:val="20"/>
              </w:rPr>
              <w:t>否</w:t>
            </w:r>
          </w:p>
        </w:tc>
        <w:tc>
          <w:tcPr>
            <w:tcW w:type="dxa" w:w="2160"/>
          </w:tcPr>
          <w:p>
            <w:r/>
            <w:r>
              <w:rPr>
                <w:rFonts w:ascii="宋体" w:hAnsi="宋体" w:eastAsia="宋体"/>
                <w:sz w:val="20"/>
              </w:rPr>
              <w:t>0</w:t>
            </w:r>
          </w:p>
        </w:tc>
        <w:tc>
          <w:tcPr>
            <w:tcW w:type="dxa" w:w="2160"/>
          </w:tcPr>
          <w:p>
            <w:r/>
            <w:r>
              <w:rPr>
                <w:rFonts w:ascii="宋体" w:hAnsi="宋体" w:eastAsia="宋体"/>
                <w:sz w:val="20"/>
              </w:rPr>
              <w:t>无</w:t>
            </w:r>
          </w:p>
        </w:tc>
      </w:tr>
      <w:tr>
        <w:tc>
          <w:tcPr>
            <w:tcW w:type="dxa" w:w="2160"/>
          </w:tcPr>
          <w:p>
            <w:r/>
            <w:r>
              <w:rPr>
                <w:rFonts w:ascii="宋体" w:hAnsi="宋体" w:eastAsia="宋体"/>
                <w:sz w:val="20"/>
              </w:rPr>
              <w:t>LQR控制器</w:t>
            </w:r>
          </w:p>
        </w:tc>
        <w:tc>
          <w:tcPr>
            <w:tcW w:type="dxa" w:w="2160"/>
          </w:tcPr>
          <w:p>
            <w:r/>
            <w:r>
              <w:rPr>
                <w:rFonts w:ascii="宋体" w:hAnsi="宋体" w:eastAsia="宋体"/>
                <w:sz w:val="20"/>
              </w:rPr>
              <w:t>否</w:t>
            </w:r>
          </w:p>
        </w:tc>
        <w:tc>
          <w:tcPr>
            <w:tcW w:type="dxa" w:w="2160"/>
          </w:tcPr>
          <w:p>
            <w:r/>
            <w:r>
              <w:rPr>
                <w:rFonts w:ascii="宋体" w:hAnsi="宋体" w:eastAsia="宋体"/>
                <w:sz w:val="20"/>
              </w:rPr>
              <w:t>0</w:t>
            </w:r>
          </w:p>
        </w:tc>
        <w:tc>
          <w:tcPr>
            <w:tcW w:type="dxa" w:w="2160"/>
          </w:tcPr>
          <w:p>
            <w:r/>
            <w:r>
              <w:rPr>
                <w:rFonts w:ascii="宋体" w:hAnsi="宋体" w:eastAsia="宋体"/>
                <w:sz w:val="20"/>
              </w:rPr>
              <w:t>高</w:t>
            </w:r>
          </w:p>
        </w:tc>
      </w:tr>
      <w:tr>
        <w:tc>
          <w:tcPr>
            <w:tcW w:type="dxa" w:w="2160"/>
          </w:tcPr>
          <w:p>
            <w:r/>
            <w:r>
              <w:rPr>
                <w:rFonts w:ascii="宋体" w:hAnsi="宋体" w:eastAsia="宋体"/>
                <w:sz w:val="20"/>
              </w:rPr>
              <w:t>规则控制器</w:t>
            </w:r>
          </w:p>
        </w:tc>
        <w:tc>
          <w:tcPr>
            <w:tcW w:type="dxa" w:w="2160"/>
          </w:tcPr>
          <w:p>
            <w:r/>
            <w:r>
              <w:rPr>
                <w:rFonts w:ascii="宋体" w:hAnsi="宋体" w:eastAsia="宋体"/>
                <w:sz w:val="20"/>
              </w:rPr>
              <w:t>否</w:t>
            </w:r>
          </w:p>
        </w:tc>
        <w:tc>
          <w:tcPr>
            <w:tcW w:type="dxa" w:w="2160"/>
          </w:tcPr>
          <w:p>
            <w:r/>
            <w:r>
              <w:rPr>
                <w:rFonts w:ascii="宋体" w:hAnsi="宋体" w:eastAsia="宋体"/>
                <w:sz w:val="20"/>
              </w:rPr>
              <w:t>0</w:t>
            </w:r>
          </w:p>
        </w:tc>
        <w:tc>
          <w:tcPr>
            <w:tcW w:type="dxa" w:w="2160"/>
          </w:tcPr>
          <w:p>
            <w:r/>
            <w:r>
              <w:rPr>
                <w:rFonts w:ascii="宋体" w:hAnsi="宋体" w:eastAsia="宋体"/>
                <w:sz w:val="20"/>
              </w:rPr>
              <w:t>低</w:t>
            </w:r>
          </w:p>
        </w:tc>
      </w:tr>
      <w:tr>
        <w:tc>
          <w:tcPr>
            <w:tcW w:type="dxa" w:w="2160"/>
          </w:tcPr>
          <w:p>
            <w:r/>
            <w:r>
              <w:rPr>
                <w:rFonts w:ascii="宋体" w:hAnsi="宋体" w:eastAsia="宋体"/>
                <w:sz w:val="20"/>
              </w:rPr>
              <w:t>A2C</w:t>
            </w:r>
          </w:p>
        </w:tc>
        <w:tc>
          <w:tcPr>
            <w:tcW w:type="dxa" w:w="2160"/>
          </w:tcPr>
          <w:p>
            <w:r/>
            <w:r>
              <w:rPr>
                <w:rFonts w:ascii="宋体" w:hAnsi="宋体" w:eastAsia="宋体"/>
                <w:sz w:val="20"/>
              </w:rPr>
              <w:t>是</w:t>
            </w:r>
          </w:p>
        </w:tc>
        <w:tc>
          <w:tcPr>
            <w:tcW w:type="dxa" w:w="2160"/>
          </w:tcPr>
          <w:p>
            <w:r/>
            <w:r>
              <w:rPr>
                <w:rFonts w:ascii="宋体" w:hAnsi="宋体" w:eastAsia="宋体"/>
                <w:sz w:val="20"/>
              </w:rPr>
              <w:t>约3分钟</w:t>
            </w:r>
          </w:p>
        </w:tc>
        <w:tc>
          <w:tcPr>
            <w:tcW w:type="dxa" w:w="2160"/>
          </w:tcPr>
          <w:p>
            <w:r/>
            <w:r>
              <w:rPr>
                <w:rFonts w:ascii="宋体" w:hAnsi="宋体" w:eastAsia="宋体"/>
                <w:sz w:val="20"/>
              </w:rPr>
              <w:t>中</w:t>
            </w:r>
          </w:p>
        </w:tc>
      </w:tr>
      <w:tr>
        <w:tc>
          <w:tcPr>
            <w:tcW w:type="dxa" w:w="2160"/>
          </w:tcPr>
          <w:p>
            <w:r/>
            <w:r>
              <w:rPr>
                <w:rFonts w:ascii="宋体" w:hAnsi="宋体" w:eastAsia="宋体"/>
                <w:sz w:val="20"/>
              </w:rPr>
              <w:t>PPO</w:t>
            </w:r>
          </w:p>
        </w:tc>
        <w:tc>
          <w:tcPr>
            <w:tcW w:type="dxa" w:w="2160"/>
          </w:tcPr>
          <w:p>
            <w:r/>
            <w:r>
              <w:rPr>
                <w:rFonts w:ascii="宋体" w:hAnsi="宋体" w:eastAsia="宋体"/>
                <w:sz w:val="20"/>
              </w:rPr>
              <w:t>是</w:t>
            </w:r>
          </w:p>
        </w:tc>
        <w:tc>
          <w:tcPr>
            <w:tcW w:type="dxa" w:w="2160"/>
          </w:tcPr>
          <w:p>
            <w:r/>
            <w:r>
              <w:rPr>
                <w:rFonts w:ascii="宋体" w:hAnsi="宋体" w:eastAsia="宋体"/>
                <w:sz w:val="20"/>
              </w:rPr>
              <w:t>约2分钟</w:t>
            </w:r>
          </w:p>
        </w:tc>
        <w:tc>
          <w:tcPr>
            <w:tcW w:type="dxa" w:w="2160"/>
          </w:tcPr>
          <w:p>
            <w:r/>
            <w:r>
              <w:rPr>
                <w:rFonts w:ascii="宋体" w:hAnsi="宋体" w:eastAsia="宋体"/>
                <w:sz w:val="20"/>
              </w:rPr>
              <w:t>低</w:t>
            </w:r>
          </w:p>
        </w:tc>
      </w:tr>
    </w:tbl>
    <w:p/>
    <w:p>
      <w:pPr>
        <w:pStyle w:val="Heading1"/>
      </w:pPr>
      <w:r>
        <w:rPr>
          <w:rFonts w:ascii="黑体" w:hAnsi="黑体" w:eastAsia="黑体"/>
        </w:rPr>
        <w:t>3 实验结果及分析</w:t>
      </w:r>
    </w:p>
    <w:p>
      <w:pPr>
        <w:pStyle w:val="Heading2"/>
      </w:pPr>
      <w:r>
        <w:rPr>
          <w:rFonts w:ascii="黑体" w:hAnsi="黑体" w:eastAsia="黑体"/>
        </w:rPr>
        <w:t>3.1 训练过程分析</w:t>
      </w:r>
    </w:p>
    <w:p>
      <w:pPr>
        <w:pStyle w:val="Heading3"/>
      </w:pPr>
      <w:r>
        <w:rPr>
          <w:rFonts w:ascii="黑体" w:hAnsi="黑体" w:eastAsia="黑体"/>
        </w:rPr>
        <w:t>3.1.1 PPO训练过程分析</w:t>
      </w:r>
    </w:p>
    <w:p>
      <w:pPr>
        <w:ind w:firstLine="480"/>
      </w:pPr>
      <w:r>
        <w:rPr>
          <w:rFonts w:ascii="宋体" w:hAnsi="宋体" w:eastAsia="宋体"/>
          <w:b w:val="0"/>
          <w:sz w:val="24"/>
        </w:rPr>
        <w:t>PPO的奖励曲线呈典型S形增长。探索期（0-200回合）奖励10-40；收敛期（200-280回合）奖励从40陡峭攀升至500，每10回合平均提升约80分；求解期（280回合后）奖励密集分布在满分附近。从多指标面板分析：滚动均值从约50分匀速增长至500分后严格稳定；成功率在200-300回合从0%跃升至60%以上；回合步数方差从±200步缩小至±50步以内。</w:t>
      </w:r>
    </w:p>
    <w:p>
      <w:pPr>
        <w:pStyle w:val="Heading3"/>
      </w:pPr>
      <w:r>
        <w:rPr>
          <w:rFonts w:ascii="黑体" w:hAnsi="黑体" w:eastAsia="黑体"/>
        </w:rPr>
        <w:t>3.1.2 A2C训练过程分析</w:t>
      </w:r>
    </w:p>
    <w:p>
      <w:pPr>
        <w:ind w:firstLine="480"/>
      </w:pPr>
      <w:r>
        <w:rPr>
          <w:rFonts w:ascii="宋体" w:hAnsi="宋体" w:eastAsia="宋体"/>
          <w:b w:val="0"/>
          <w:sz w:val="24"/>
        </w:rPr>
        <w:t>A2C的奖励曲线呈多尖峰模式，非平滑S形。后100回合均值达464.5，满分尖峰频率在后期增加。滚动均值呈阶梯状增长（200-400回合约150分、400-550回合约250分、550-700回合约380分）。成功率在大部分训练时间内接近0%，仅后200回合出现正值且不超过30%。</w:t>
      </w:r>
    </w:p>
    <w:p>
      <w:pPr>
        <w:jc w:val="center"/>
      </w:pPr>
      <w:r>
        <w:drawing>
          <wp:inline xmlns:a="http://schemas.openxmlformats.org/drawingml/2006/main" xmlns:pic="http://schemas.openxmlformats.org/drawingml/2006/picture">
            <wp:extent cx="5040000" cy="3969178"/>
            <wp:docPr id="6" name="Picture 6"/>
            <wp:cNvGraphicFramePr>
              <a:graphicFrameLocks noChangeAspect="1"/>
            </wp:cNvGraphicFramePr>
            <a:graphic>
              <a:graphicData uri="http://schemas.openxmlformats.org/drawingml/2006/picture">
                <pic:pic>
                  <pic:nvPicPr>
                    <pic:cNvPr id="0" name="fig6_metrics_panel.png"/>
                    <pic:cNvPicPr/>
                  </pic:nvPicPr>
                  <pic:blipFill>
                    <a:blip r:embed="rId14"/>
                    <a:stretch>
                      <a:fillRect/>
                    </a:stretch>
                  </pic:blipFill>
                  <pic:spPr>
                    <a:xfrm>
                      <a:off x="0" y="0"/>
                      <a:ext cx="5040000" cy="3969178"/>
                    </a:xfrm>
                    <a:prstGeom prst="rect"/>
                  </pic:spPr>
                </pic:pic>
              </a:graphicData>
            </a:graphic>
          </wp:inline>
        </w:drawing>
      </w:r>
    </w:p>
    <w:p>
      <w:pPr>
        <w:jc w:val="center"/>
      </w:pPr>
      <w:r>
        <w:rPr>
          <w:rFonts w:ascii="宋体" w:hAnsi="宋体" w:eastAsia="宋体"/>
          <w:i/>
          <w:sz w:val="18"/>
        </w:rPr>
        <w:t>图6 训练过程多指标对比面板</w:t>
      </w:r>
    </w:p>
    <w:p>
      <w:pPr>
        <w:pStyle w:val="Heading2"/>
      </w:pPr>
      <w:r>
        <w:rPr>
          <w:rFonts w:ascii="黑体" w:hAnsi="黑体" w:eastAsia="黑体"/>
        </w:rPr>
        <w:t>3.2 训练前后控制效果</w:t>
      </w:r>
    </w:p>
    <w:p>
      <w:pPr>
        <w:pStyle w:val="Heading3"/>
      </w:pPr>
      <w:r>
        <w:rPr>
          <w:rFonts w:ascii="黑体" w:hAnsi="黑体" w:eastAsia="黑体"/>
        </w:rPr>
        <w:t>3.2.1 PPO训练前后对比</w:t>
      </w:r>
    </w:p>
    <w:p>
      <w:pPr>
        <w:ind w:firstLine="480"/>
      </w:pPr>
      <w:r>
        <w:rPr>
          <w:rFonts w:ascii="宋体" w:hAnsi="宋体" w:eastAsia="宋体"/>
          <w:b w:val="0"/>
          <w:sz w:val="24"/>
        </w:rPr>
        <w:t>训练前（随机策略）中位数约15分。训练后（PPO）箱体压缩为单值500分（零方差），提升超过31倍。标准差从6.8降至0，策略对不同的初始条件具有完全的鲁棒性。</w:t>
      </w:r>
    </w:p>
    <w:p>
      <w:pPr>
        <w:pStyle w:val="Heading3"/>
      </w:pPr>
      <w:r>
        <w:rPr>
          <w:rFonts w:ascii="黑体" w:hAnsi="黑体" w:eastAsia="黑体"/>
        </w:rPr>
        <w:t>3.2.2 A2C训练前后对比</w:t>
      </w:r>
    </w:p>
    <w:p>
      <w:pPr>
        <w:ind w:firstLine="480"/>
      </w:pPr>
      <w:r>
        <w:rPr>
          <w:rFonts w:ascii="宋体" w:hAnsi="宋体" w:eastAsia="宋体"/>
          <w:b w:val="0"/>
          <w:sz w:val="24"/>
        </w:rPr>
        <w:t>训练后A2C中位数达500分，均值493.4分，提升约31倍。与PPO的关键区别在于存在3个异常值（60-130分），标准差20.8远高于PPO的0。策略能力与PPO接近但稳定性差距明显。</w:t>
      </w:r>
    </w:p>
    <w:p>
      <w:pPr>
        <w:jc w:val="center"/>
      </w:pPr>
      <w:r>
        <w:drawing>
          <wp:inline xmlns:a="http://schemas.openxmlformats.org/drawingml/2006/main" xmlns:pic="http://schemas.openxmlformats.org/drawingml/2006/picture">
            <wp:extent cx="3240000" cy="3067759"/>
            <wp:docPr id="7" name="Picture 7"/>
            <wp:cNvGraphicFramePr>
              <a:graphicFrameLocks noChangeAspect="1"/>
            </wp:cNvGraphicFramePr>
            <a:graphic>
              <a:graphicData uri="http://schemas.openxmlformats.org/drawingml/2006/picture">
                <pic:pic>
                  <pic:nvPicPr>
                    <pic:cNvPr id="0" name="fig5_before_after.png"/>
                    <pic:cNvPicPr/>
                  </pic:nvPicPr>
                  <pic:blipFill>
                    <a:blip r:embed="rId15"/>
                    <a:stretch>
                      <a:fillRect/>
                    </a:stretch>
                  </pic:blipFill>
                  <pic:spPr>
                    <a:xfrm>
                      <a:off x="0" y="0"/>
                      <a:ext cx="3240000" cy="3067759"/>
                    </a:xfrm>
                    <a:prstGeom prst="rect"/>
                  </pic:spPr>
                </pic:pic>
              </a:graphicData>
            </a:graphic>
          </wp:inline>
        </w:drawing>
      </w:r>
    </w:p>
    <w:p>
      <w:pPr>
        <w:jc w:val="center"/>
      </w:pPr>
      <w:r>
        <w:rPr>
          <w:rFonts w:ascii="宋体" w:hAnsi="宋体" w:eastAsia="宋体"/>
          <w:i/>
          <w:sz w:val="18"/>
        </w:rPr>
        <w:t>图7 训练前后控制效果对比</w:t>
      </w:r>
    </w:p>
    <w:p>
      <w:pPr>
        <w:pStyle w:val="Heading2"/>
      </w:pPr>
      <w:r>
        <w:rPr>
          <w:rFonts w:ascii="黑体" w:hAnsi="黑体" w:eastAsia="黑体"/>
        </w:rPr>
        <w:t>3.3 对比结果</w:t>
      </w:r>
    </w:p>
    <w:p>
      <w:pPr>
        <w:ind w:firstLine="480"/>
      </w:pPr>
      <w:r>
        <w:rPr>
          <w:rFonts w:ascii="宋体" w:hAnsi="宋体" w:eastAsia="宋体"/>
          <w:b w:val="0"/>
          <w:sz w:val="24"/>
        </w:rPr>
        <w:t>五种控制方法平均奖励排序为：PPO（500.0）&gt; A2C（493.4）≫ 规则控制器（215.8）&gt; LQR（44.8）&gt; 随机策略（16.1）。PPO与A2C的均值差距仅1.4%，但PPO标准差为0而A2C为20.8——稳定性差距显著。规则控制器是传统方法天花板，但仅达到PPO性能的43.2%。LQR仅比随机策略高约2.8倍，线性化模型在±15°的非线性范围内基本失效。</w:t>
      </w:r>
    </w:p>
    <w:p>
      <w:pPr>
        <w:jc w:val="center"/>
      </w:pPr>
      <w:r>
        <w:drawing>
          <wp:inline xmlns:a="http://schemas.openxmlformats.org/drawingml/2006/main" xmlns:pic="http://schemas.openxmlformats.org/drawingml/2006/picture">
            <wp:extent cx="3600000" cy="2887457"/>
            <wp:docPr id="8" name="Picture 8"/>
            <wp:cNvGraphicFramePr>
              <a:graphicFrameLocks noChangeAspect="1"/>
            </wp:cNvGraphicFramePr>
            <a:graphic>
              <a:graphicData uri="http://schemas.openxmlformats.org/drawingml/2006/picture">
                <pic:pic>
                  <pic:nvPicPr>
                    <pic:cNvPr id="0" name="fig3_method_comparison.png"/>
                    <pic:cNvPicPr/>
                  </pic:nvPicPr>
                  <pic:blipFill>
                    <a:blip r:embed="rId16"/>
                    <a:stretch>
                      <a:fillRect/>
                    </a:stretch>
                  </pic:blipFill>
                  <pic:spPr>
                    <a:xfrm>
                      <a:off x="0" y="0"/>
                      <a:ext cx="3600000" cy="2887457"/>
                    </a:xfrm>
                    <a:prstGeom prst="rect"/>
                  </pic:spPr>
                </pic:pic>
              </a:graphicData>
            </a:graphic>
          </wp:inline>
        </w:drawing>
      </w:r>
    </w:p>
    <w:p>
      <w:pPr>
        <w:jc w:val="center"/>
      </w:pPr>
      <w:r>
        <w:rPr>
          <w:rFonts w:ascii="宋体" w:hAnsi="宋体" w:eastAsia="宋体"/>
          <w:i/>
          <w:sz w:val="18"/>
        </w:rPr>
        <w:t>图8 五种控制方法平均奖励对比</w:t>
      </w:r>
    </w:p>
    <w:p>
      <w:pPr>
        <w:jc w:val="center"/>
      </w:pPr>
      <w:r>
        <w:drawing>
          <wp:inline xmlns:a="http://schemas.openxmlformats.org/drawingml/2006/main" xmlns:pic="http://schemas.openxmlformats.org/drawingml/2006/picture">
            <wp:extent cx="4320000" cy="2436062"/>
            <wp:docPr id="9" name="Picture 9"/>
            <wp:cNvGraphicFramePr>
              <a:graphicFrameLocks noChangeAspect="1"/>
            </wp:cNvGraphicFramePr>
            <a:graphic>
              <a:graphicData uri="http://schemas.openxmlformats.org/drawingml/2006/picture">
                <pic:pic>
                  <pic:nvPicPr>
                    <pic:cNvPr id="0" name="fig4_training_comparison.png"/>
                    <pic:cNvPicPr/>
                  </pic:nvPicPr>
                  <pic:blipFill>
                    <a:blip r:embed="rId17"/>
                    <a:stretch>
                      <a:fillRect/>
                    </a:stretch>
                  </pic:blipFill>
                  <pic:spPr>
                    <a:xfrm>
                      <a:off x="0" y="0"/>
                      <a:ext cx="4320000" cy="2436062"/>
                    </a:xfrm>
                    <a:prstGeom prst="rect"/>
                  </pic:spPr>
                </pic:pic>
              </a:graphicData>
            </a:graphic>
          </wp:inline>
        </w:drawing>
      </w:r>
    </w:p>
    <w:p>
      <w:pPr>
        <w:jc w:val="center"/>
      </w:pPr>
      <w:r>
        <w:rPr>
          <w:rFonts w:ascii="宋体" w:hAnsi="宋体" w:eastAsia="宋体"/>
          <w:i/>
          <w:sz w:val="18"/>
        </w:rPr>
        <w:t>图9 PPO与A2C训练过程对比</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rFonts w:ascii="宋体" w:hAnsi="宋体" w:eastAsia="宋体"/>
                <w:b/>
                <w:sz w:val="20"/>
              </w:rPr>
              <w:t>方法</w:t>
            </w:r>
          </w:p>
        </w:tc>
        <w:tc>
          <w:tcPr>
            <w:tcW w:type="dxa" w:w="1440"/>
          </w:tcPr>
          <w:p>
            <w:r/>
            <w:r>
              <w:rPr>
                <w:rFonts w:ascii="宋体" w:hAnsi="宋体" w:eastAsia="宋体"/>
                <w:b/>
                <w:sz w:val="20"/>
              </w:rPr>
              <w:t>平均奖励</w:t>
            </w:r>
          </w:p>
        </w:tc>
        <w:tc>
          <w:tcPr>
            <w:tcW w:type="dxa" w:w="1440"/>
          </w:tcPr>
          <w:p>
            <w:r/>
            <w:r>
              <w:rPr>
                <w:rFonts w:ascii="宋体" w:hAnsi="宋体" w:eastAsia="宋体"/>
                <w:b/>
                <w:sz w:val="20"/>
              </w:rPr>
              <w:t>标准差</w:t>
            </w:r>
          </w:p>
        </w:tc>
        <w:tc>
          <w:tcPr>
            <w:tcW w:type="dxa" w:w="1440"/>
          </w:tcPr>
          <w:p>
            <w:r/>
            <w:r>
              <w:rPr>
                <w:rFonts w:ascii="宋体" w:hAnsi="宋体" w:eastAsia="宋体"/>
                <w:b/>
                <w:sz w:val="20"/>
              </w:rPr>
              <w:t>达标率</w:t>
            </w:r>
          </w:p>
        </w:tc>
        <w:tc>
          <w:tcPr>
            <w:tcW w:type="dxa" w:w="1440"/>
          </w:tcPr>
          <w:p>
            <w:r/>
            <w:r>
              <w:rPr>
                <w:rFonts w:ascii="宋体" w:hAnsi="宋体" w:eastAsia="宋体"/>
                <w:b/>
                <w:sz w:val="20"/>
              </w:rPr>
              <w:t>训练步数</w:t>
            </w:r>
          </w:p>
        </w:tc>
        <w:tc>
          <w:tcPr>
            <w:tcW w:type="dxa" w:w="1440"/>
          </w:tcPr>
          <w:p>
            <w:r/>
            <w:r>
              <w:rPr>
                <w:rFonts w:ascii="宋体" w:hAnsi="宋体" w:eastAsia="宋体"/>
                <w:b/>
                <w:sz w:val="20"/>
              </w:rPr>
              <w:t>是否收敛</w:t>
            </w:r>
          </w:p>
        </w:tc>
      </w:tr>
      <w:tr>
        <w:tc>
          <w:tcPr>
            <w:tcW w:type="dxa" w:w="1440"/>
          </w:tcPr>
          <w:p>
            <w:r/>
            <w:r>
              <w:rPr>
                <w:rFonts w:ascii="宋体" w:hAnsi="宋体" w:eastAsia="宋体"/>
                <w:sz w:val="20"/>
              </w:rPr>
              <w:t>随机策略</w:t>
            </w:r>
          </w:p>
        </w:tc>
        <w:tc>
          <w:tcPr>
            <w:tcW w:type="dxa" w:w="1440"/>
          </w:tcPr>
          <w:p>
            <w:r/>
            <w:r>
              <w:rPr>
                <w:rFonts w:ascii="宋体" w:hAnsi="宋体" w:eastAsia="宋体"/>
                <w:sz w:val="20"/>
              </w:rPr>
              <w:t>16.1</w:t>
            </w:r>
          </w:p>
        </w:tc>
        <w:tc>
          <w:tcPr>
            <w:tcW w:type="dxa" w:w="1440"/>
          </w:tcPr>
          <w:p>
            <w:r/>
            <w:r>
              <w:rPr>
                <w:rFonts w:ascii="宋体" w:hAnsi="宋体" w:eastAsia="宋体"/>
                <w:sz w:val="20"/>
              </w:rPr>
              <w:t>6.8</w:t>
            </w:r>
          </w:p>
        </w:tc>
        <w:tc>
          <w:tcPr>
            <w:tcW w:type="dxa" w:w="1440"/>
          </w:tcPr>
          <w:p>
            <w:r/>
            <w:r>
              <w:rPr>
                <w:rFonts w:ascii="宋体" w:hAnsi="宋体" w:eastAsia="宋体"/>
                <w:sz w:val="20"/>
              </w:rPr>
              <w:t>0%</w:t>
            </w:r>
          </w:p>
        </w:tc>
        <w:tc>
          <w:tcPr>
            <w:tcW w:type="dxa" w:w="1440"/>
          </w:tcPr>
          <w:p>
            <w:r/>
            <w:r>
              <w:rPr>
                <w:rFonts w:ascii="宋体" w:hAnsi="宋体" w:eastAsia="宋体"/>
                <w:sz w:val="20"/>
              </w:rPr>
              <w:t>0</w:t>
            </w:r>
          </w:p>
        </w:tc>
        <w:tc>
          <w:tcPr>
            <w:tcW w:type="dxa" w:w="1440"/>
          </w:tcPr>
          <w:p>
            <w:r/>
            <w:r>
              <w:rPr>
                <w:rFonts w:ascii="宋体" w:hAnsi="宋体" w:eastAsia="宋体"/>
                <w:sz w:val="20"/>
              </w:rPr>
              <w:t>否</w:t>
            </w:r>
          </w:p>
        </w:tc>
      </w:tr>
      <w:tr>
        <w:tc>
          <w:tcPr>
            <w:tcW w:type="dxa" w:w="1440"/>
          </w:tcPr>
          <w:p>
            <w:r/>
            <w:r>
              <w:rPr>
                <w:rFonts w:ascii="宋体" w:hAnsi="宋体" w:eastAsia="宋体"/>
                <w:sz w:val="20"/>
              </w:rPr>
              <w:t>LQR</w:t>
            </w:r>
          </w:p>
        </w:tc>
        <w:tc>
          <w:tcPr>
            <w:tcW w:type="dxa" w:w="1440"/>
          </w:tcPr>
          <w:p>
            <w:r/>
            <w:r>
              <w:rPr>
                <w:rFonts w:ascii="宋体" w:hAnsi="宋体" w:eastAsia="宋体"/>
                <w:sz w:val="20"/>
              </w:rPr>
              <w:t>44.8</w:t>
            </w:r>
          </w:p>
        </w:tc>
        <w:tc>
          <w:tcPr>
            <w:tcW w:type="dxa" w:w="1440"/>
          </w:tcPr>
          <w:p>
            <w:r/>
            <w:r>
              <w:rPr>
                <w:rFonts w:ascii="宋体" w:hAnsi="宋体" w:eastAsia="宋体"/>
                <w:sz w:val="20"/>
              </w:rPr>
              <w:t>7.4</w:t>
            </w:r>
          </w:p>
        </w:tc>
        <w:tc>
          <w:tcPr>
            <w:tcW w:type="dxa" w:w="1440"/>
          </w:tcPr>
          <w:p>
            <w:r/>
            <w:r>
              <w:rPr>
                <w:rFonts w:ascii="宋体" w:hAnsi="宋体" w:eastAsia="宋体"/>
                <w:sz w:val="20"/>
              </w:rPr>
              <w:t>0%</w:t>
            </w:r>
          </w:p>
        </w:tc>
        <w:tc>
          <w:tcPr>
            <w:tcW w:type="dxa" w:w="1440"/>
          </w:tcPr>
          <w:p>
            <w:r/>
            <w:r>
              <w:rPr>
                <w:rFonts w:ascii="宋体" w:hAnsi="宋体" w:eastAsia="宋体"/>
                <w:sz w:val="20"/>
              </w:rPr>
              <w:t>0</w:t>
            </w:r>
          </w:p>
        </w:tc>
        <w:tc>
          <w:tcPr>
            <w:tcW w:type="dxa" w:w="1440"/>
          </w:tcPr>
          <w:p>
            <w:r/>
            <w:r>
              <w:rPr>
                <w:rFonts w:ascii="宋体" w:hAnsi="宋体" w:eastAsia="宋体"/>
                <w:sz w:val="20"/>
              </w:rPr>
              <w:t>否（模型失配）</w:t>
            </w:r>
          </w:p>
        </w:tc>
      </w:tr>
      <w:tr>
        <w:tc>
          <w:tcPr>
            <w:tcW w:type="dxa" w:w="1440"/>
          </w:tcPr>
          <w:p>
            <w:r/>
            <w:r>
              <w:rPr>
                <w:rFonts w:ascii="宋体" w:hAnsi="宋体" w:eastAsia="宋体"/>
                <w:sz w:val="20"/>
              </w:rPr>
              <w:t>规则控制</w:t>
            </w:r>
          </w:p>
        </w:tc>
        <w:tc>
          <w:tcPr>
            <w:tcW w:type="dxa" w:w="1440"/>
          </w:tcPr>
          <w:p>
            <w:r/>
            <w:r>
              <w:rPr>
                <w:rFonts w:ascii="宋体" w:hAnsi="宋体" w:eastAsia="宋体"/>
                <w:sz w:val="20"/>
              </w:rPr>
              <w:t>215.8</w:t>
            </w:r>
          </w:p>
        </w:tc>
        <w:tc>
          <w:tcPr>
            <w:tcW w:type="dxa" w:w="1440"/>
          </w:tcPr>
          <w:p>
            <w:r/>
            <w:r>
              <w:rPr>
                <w:rFonts w:ascii="宋体" w:hAnsi="宋体" w:eastAsia="宋体"/>
                <w:sz w:val="20"/>
              </w:rPr>
              <w:t>29.1</w:t>
            </w:r>
          </w:p>
        </w:tc>
        <w:tc>
          <w:tcPr>
            <w:tcW w:type="dxa" w:w="1440"/>
          </w:tcPr>
          <w:p>
            <w:r/>
            <w:r>
              <w:rPr>
                <w:rFonts w:ascii="宋体" w:hAnsi="宋体" w:eastAsia="宋体"/>
                <w:sz w:val="20"/>
              </w:rPr>
              <w:t>0%</w:t>
            </w:r>
          </w:p>
        </w:tc>
        <w:tc>
          <w:tcPr>
            <w:tcW w:type="dxa" w:w="1440"/>
          </w:tcPr>
          <w:p>
            <w:r/>
            <w:r>
              <w:rPr>
                <w:rFonts w:ascii="宋体" w:hAnsi="宋体" w:eastAsia="宋体"/>
                <w:sz w:val="20"/>
              </w:rPr>
              <w:t>0</w:t>
            </w:r>
          </w:p>
        </w:tc>
        <w:tc>
          <w:tcPr>
            <w:tcW w:type="dxa" w:w="1440"/>
          </w:tcPr>
          <w:p>
            <w:r/>
            <w:r>
              <w:rPr>
                <w:rFonts w:ascii="宋体" w:hAnsi="宋体" w:eastAsia="宋体"/>
                <w:sz w:val="20"/>
              </w:rPr>
              <w:t>否</w:t>
            </w:r>
          </w:p>
        </w:tc>
      </w:tr>
      <w:tr>
        <w:tc>
          <w:tcPr>
            <w:tcW w:type="dxa" w:w="1440"/>
          </w:tcPr>
          <w:p>
            <w:r/>
            <w:r>
              <w:rPr>
                <w:rFonts w:ascii="宋体" w:hAnsi="宋体" w:eastAsia="宋体"/>
                <w:sz w:val="20"/>
              </w:rPr>
              <w:t>A2C（优化）</w:t>
            </w:r>
          </w:p>
        </w:tc>
        <w:tc>
          <w:tcPr>
            <w:tcW w:type="dxa" w:w="1440"/>
          </w:tcPr>
          <w:p>
            <w:r/>
            <w:r>
              <w:rPr>
                <w:rFonts w:ascii="宋体" w:hAnsi="宋体" w:eastAsia="宋体"/>
                <w:sz w:val="20"/>
              </w:rPr>
              <w:t>493.4</w:t>
            </w:r>
          </w:p>
        </w:tc>
        <w:tc>
          <w:tcPr>
            <w:tcW w:type="dxa" w:w="1440"/>
          </w:tcPr>
          <w:p>
            <w:r/>
            <w:r>
              <w:rPr>
                <w:rFonts w:ascii="宋体" w:hAnsi="宋体" w:eastAsia="宋体"/>
                <w:sz w:val="20"/>
              </w:rPr>
              <w:t>20.8</w:t>
            </w:r>
          </w:p>
        </w:tc>
        <w:tc>
          <w:tcPr>
            <w:tcW w:type="dxa" w:w="1440"/>
          </w:tcPr>
          <w:p>
            <w:r/>
            <w:r>
              <w:rPr>
                <w:rFonts w:ascii="宋体" w:hAnsi="宋体" w:eastAsia="宋体"/>
                <w:sz w:val="20"/>
              </w:rPr>
              <w:t>90%</w:t>
            </w:r>
          </w:p>
        </w:tc>
        <w:tc>
          <w:tcPr>
            <w:tcW w:type="dxa" w:w="1440"/>
          </w:tcPr>
          <w:p>
            <w:r/>
            <w:r>
              <w:rPr>
                <w:rFonts w:ascii="宋体" w:hAnsi="宋体" w:eastAsia="宋体"/>
                <w:sz w:val="20"/>
              </w:rPr>
              <w:t>200,000</w:t>
            </w:r>
          </w:p>
        </w:tc>
        <w:tc>
          <w:tcPr>
            <w:tcW w:type="dxa" w:w="1440"/>
          </w:tcPr>
          <w:p>
            <w:r/>
            <w:r>
              <w:rPr>
                <w:rFonts w:ascii="宋体" w:hAnsi="宋体" w:eastAsia="宋体"/>
                <w:sz w:val="20"/>
              </w:rPr>
              <w:t>接近收敛</w:t>
            </w:r>
          </w:p>
        </w:tc>
      </w:tr>
      <w:tr>
        <w:tc>
          <w:tcPr>
            <w:tcW w:type="dxa" w:w="1440"/>
          </w:tcPr>
          <w:p>
            <w:r/>
            <w:r>
              <w:rPr>
                <w:rFonts w:ascii="宋体" w:hAnsi="宋体" w:eastAsia="宋体"/>
                <w:sz w:val="20"/>
              </w:rPr>
              <w:t>PPO</w:t>
            </w:r>
          </w:p>
        </w:tc>
        <w:tc>
          <w:tcPr>
            <w:tcW w:type="dxa" w:w="1440"/>
          </w:tcPr>
          <w:p>
            <w:r/>
            <w:r>
              <w:rPr>
                <w:rFonts w:ascii="宋体" w:hAnsi="宋体" w:eastAsia="宋体"/>
                <w:sz w:val="20"/>
              </w:rPr>
              <w:t>500.0</w:t>
            </w:r>
          </w:p>
        </w:tc>
        <w:tc>
          <w:tcPr>
            <w:tcW w:type="dxa" w:w="1440"/>
          </w:tcPr>
          <w:p>
            <w:r/>
            <w:r>
              <w:rPr>
                <w:rFonts w:ascii="宋体" w:hAnsi="宋体" w:eastAsia="宋体"/>
                <w:sz w:val="20"/>
              </w:rPr>
              <w:t>0.0</w:t>
            </w:r>
          </w:p>
        </w:tc>
        <w:tc>
          <w:tcPr>
            <w:tcW w:type="dxa" w:w="1440"/>
          </w:tcPr>
          <w:p>
            <w:r/>
            <w:r>
              <w:rPr>
                <w:rFonts w:ascii="宋体" w:hAnsi="宋体" w:eastAsia="宋体"/>
                <w:sz w:val="20"/>
              </w:rPr>
              <w:t>100%</w:t>
            </w:r>
          </w:p>
        </w:tc>
        <w:tc>
          <w:tcPr>
            <w:tcW w:type="dxa" w:w="1440"/>
          </w:tcPr>
          <w:p>
            <w:r/>
            <w:r>
              <w:rPr>
                <w:rFonts w:ascii="宋体" w:hAnsi="宋体" w:eastAsia="宋体"/>
                <w:sz w:val="20"/>
              </w:rPr>
              <w:t>200,000</w:t>
            </w:r>
          </w:p>
        </w:tc>
        <w:tc>
          <w:tcPr>
            <w:tcW w:type="dxa" w:w="1440"/>
          </w:tcPr>
          <w:p>
            <w:r/>
            <w:r>
              <w:rPr>
                <w:rFonts w:ascii="宋体" w:hAnsi="宋体" w:eastAsia="宋体"/>
                <w:sz w:val="20"/>
              </w:rPr>
              <w:t>完全收敛</w:t>
            </w:r>
          </w:p>
        </w:tc>
      </w:tr>
    </w:tbl>
    <w:p/>
    <w:p>
      <w:pPr>
        <w:pStyle w:val="Heading1"/>
      </w:pPr>
      <w:r>
        <w:rPr>
          <w:rFonts w:ascii="黑体" w:hAnsi="黑体" w:eastAsia="黑体"/>
        </w:rPr>
        <w:t>4 总结体会</w:t>
      </w:r>
    </w:p>
    <w:p>
      <w:pPr>
        <w:pStyle w:val="Heading2"/>
      </w:pPr>
      <w:r>
        <w:rPr>
          <w:rFonts w:ascii="黑体" w:hAnsi="黑体" w:eastAsia="黑体"/>
        </w:rPr>
        <w:t>4.1 算法效果总结</w:t>
      </w:r>
    </w:p>
    <w:p>
      <w:pPr>
        <w:ind w:firstLine="480"/>
      </w:pPr>
      <w:r>
        <w:rPr>
          <w:rFonts w:ascii="宋体" w:hAnsi="宋体" w:eastAsia="宋体"/>
          <w:b w:val="0"/>
          <w:sz w:val="24"/>
        </w:rPr>
        <w:t>本实验严格按任务描述实现了自定义CartPole环境（15°终止角、-10失败惩罚），系统对比了五种控制方法。PPO以满分500、零标准差完美解决问题，是唯一兼具高能力与高稳定性的算法。优化后的A2C（n_steps=64, lr=5e-4）评估均值493.4、达标率90%，性能接近PPO。传统控制方法中，规则控制器（215.8分）大幅超越LQR（44.8分）和随机策略（16.1分），证明了在强非线性系统中启发式规则的有效性。</w:t>
      </w:r>
    </w:p>
    <w:p>
      <w:pPr>
        <w:pStyle w:val="Heading2"/>
      </w:pPr>
      <w:r>
        <w:rPr>
          <w:rFonts w:ascii="黑体" w:hAnsi="黑体" w:eastAsia="黑体"/>
        </w:rPr>
        <w:t>4.2 存在的问题与可改进方向</w:t>
      </w:r>
    </w:p>
    <w:p>
      <w:pPr>
        <w:ind w:firstLine="480"/>
      </w:pPr>
      <w:r>
        <w:rPr>
          <w:rFonts w:ascii="宋体" w:hAnsi="宋体" w:eastAsia="宋体"/>
          <w:b w:val="0"/>
          <w:sz w:val="24"/>
        </w:rPr>
        <w:t>算法覆盖度不足：仅对比了PPO和A2C，可引入SAC、TD3等更先进的算法。A2C稳定性不足：仍有10%评估回合失败。超参数搜索不充分：仅覆盖了n_steps和学习率。泛化性验证缺失：未测试物理参数变化时的鲁棒性。可引入课程学习或模仿学习加速训练。</w:t>
      </w:r>
    </w:p>
    <w:p>
      <w:pPr>
        <w:pStyle w:val="Heading2"/>
      </w:pPr>
      <w:r>
        <w:rPr>
          <w:rFonts w:ascii="黑体" w:hAnsi="黑体" w:eastAsia="黑体"/>
        </w:rPr>
        <w:t>4.3 个人收获</w:t>
      </w:r>
    </w:p>
    <w:p>
      <w:pPr>
        <w:ind w:firstLine="480"/>
      </w:pPr>
      <w:r>
        <w:rPr>
          <w:rFonts w:ascii="宋体" w:hAnsi="宋体" w:eastAsia="宋体"/>
          <w:b w:val="0"/>
          <w:sz w:val="24"/>
        </w:rPr>
        <w:t>掌握了PPO和A2C的核心原理和实现差异——PPO的裁剪机制如何保证稳定性，A2C的演员-评论家架构如何降低方差。理解了超参数调优的决定性影响——A2C从默认参数（后100均值41.2）到优化参数（后100均值464.5）的性能飞跃是最佳证明。认识到传统控制方法与RL方法的本质差异：前者依赖精确建模或人工规则，后者通过与环境试错交互自主学习策略。</w:t>
      </w:r>
    </w:p>
    <w:p>
      <w:pPr>
        <w:pStyle w:val="Heading1"/>
      </w:pPr>
      <w:r>
        <w:rPr>
          <w:rFonts w:ascii="黑体" w:hAnsi="黑体" w:eastAsia="黑体"/>
        </w:rPr>
        <w:t>5 附录</w:t>
      </w:r>
    </w:p>
    <w:p>
      <w:pPr>
        <w:ind w:firstLine="480"/>
      </w:pPr>
      <w:r>
        <w:rPr>
          <w:rFonts w:ascii="宋体" w:hAnsi="宋体" w:eastAsia="宋体"/>
          <w:b w:val="0"/>
          <w:sz w:val="24"/>
        </w:rPr>
        <w:t>本项目代码已开源至GitHub：</w:t>
      </w:r>
    </w:p>
    <w:p>
      <w:pPr>
        <w:ind w:firstLine="480"/>
      </w:pPr>
      <w:r>
        <w:rPr>
          <w:rFonts w:ascii="宋体" w:hAnsi="宋体" w:eastAsia="宋体"/>
          <w:b w:val="0"/>
          <w:sz w:val="24"/>
        </w:rPr>
        <w:t>https://github.com/zhaihuahua78/cartpole--</w:t>
      </w:r>
    </w:p>
    <w:p/>
    <w:p>
      <w:pPr>
        <w:ind w:firstLine="480"/>
        <w:jc w:val="center"/>
      </w:pPr>
      <w:r>
        <w:rPr>
          <w:rFonts w:ascii="宋体" w:hAnsi="宋体" w:eastAsia="宋体"/>
          <w:b w:val="0"/>
          <w:sz w:val="20"/>
        </w:rPr>
        <w:t>报告完成日期：2026年7月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