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5C4AD">
      <w:pPr>
        <w:spacing w:before="800" w:after="0"/>
      </w:pPr>
    </w:p>
    <w:p w14:paraId="6A055ABA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大类资产建模数据指标说明</w:t>
      </w:r>
    </w:p>
    <w:p w14:paraId="58E086DE">
      <w:pPr>
        <w:spacing w:before="0" w:after="60"/>
        <w:jc w:val="center"/>
      </w:pPr>
      <w:r>
        <w:rPr>
          <w:rFonts w:ascii="Arial" w:hAnsi="Arial" w:eastAsia="Arial" w:cs="Arial"/>
          <w:color w:val="2E75B6"/>
          <w:sz w:val="28"/>
          <w:szCs w:val="28"/>
        </w:rPr>
        <w:t>方案A — Total Return 投资回报口径</w:t>
      </w:r>
    </w:p>
    <w:p w14:paraId="7DFE1CC2">
      <w:pPr>
        <w:spacing w:before="0" w:after="40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用于正式配置主矩阵 · 组合优化 · 风险预算 · 长期回测 · BL/MVO</w:t>
      </w:r>
    </w:p>
    <w:p w14:paraId="3429AEC1">
      <w:pPr>
        <w:pStyle w:val="2"/>
      </w:pPr>
      <w:r>
        <w:t>1. 文档定位</w:t>
      </w:r>
    </w:p>
    <w:p w14:paraId="44008E5A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本文档描述方案A大类资产建模所使用的数据指标体系，包含原始数据来源、资产腿定义、月收益率计算逻辑、多窗口统计指标，以及无风险利率的选取与计算方式。</w:t>
      </w:r>
    </w:p>
    <w:p w14:paraId="3C927B10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方案A面向 Total Return（全收益/财富指数）口径，用于：</w:t>
      </w:r>
    </w:p>
    <w:p w14:paraId="4A8F134E">
      <w:pPr>
        <w:pStyle w:val="17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正式大类资产配置主矩阵</w:t>
      </w:r>
    </w:p>
    <w:p w14:paraId="1FBF5530">
      <w:pPr>
        <w:pStyle w:val="17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均值-方差优化（MVO）与 Black-Litterman 模型</w:t>
      </w:r>
    </w:p>
    <w:p w14:paraId="1BA7561A">
      <w:pPr>
        <w:pStyle w:val="17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长期历史回测与风险预算分析</w:t>
      </w:r>
    </w:p>
    <w:p w14:paraId="5AB8BCBB">
      <w:pPr>
        <w:spacing w:before="240" w:after="0"/>
      </w:pPr>
    </w:p>
    <w:p w14:paraId="212DC7F1">
      <w:pPr>
        <w:pStyle w:val="2"/>
      </w:pPr>
      <w:r>
        <w:t>2. 四大类资产建模指标</w:t>
      </w:r>
      <w:bookmarkStart w:id="0" w:name="_GoBack"/>
      <w:bookmarkEnd w:id="0"/>
    </w:p>
    <w:p w14:paraId="3B53DE99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以下为方案A建模实际使用的所有原始数据指标，涵盖无风险利率、现金、固收、股票、另类五类：</w:t>
      </w:r>
    </w:p>
    <w:p w14:paraId="23B7331B">
      <w:pPr>
        <w:spacing w:before="120" w:after="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8"/>
        <w:gridCol w:w="3223"/>
        <w:gridCol w:w="1353"/>
        <w:gridCol w:w="992"/>
        <w:gridCol w:w="1253"/>
        <w:gridCol w:w="406"/>
        <w:gridCol w:w="406"/>
        <w:gridCol w:w="663"/>
        <w:gridCol w:w="824"/>
      </w:tblGrid>
      <w:tr w14:paraId="5AE0A697">
        <w:trPr>
          <w:tblHeader/>
        </w:trPr>
        <w:tc>
          <w:tcPr>
            <w:tcW w:w="10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BC8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7"/>
                <w:szCs w:val="17"/>
              </w:rPr>
              <w:t>资产类别</w:t>
            </w:r>
          </w:p>
        </w:tc>
        <w:tc>
          <w:tcPr>
            <w:tcW w:w="115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2B5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7"/>
                <w:szCs w:val="17"/>
              </w:rPr>
              <w:t>指标代码</w:t>
            </w:r>
          </w:p>
        </w:tc>
        <w:tc>
          <w:tcPr>
            <w:tcW w:w="11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BECC6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17"/>
                <w:szCs w:val="17"/>
              </w:rPr>
              <w:t>Choice ID</w:t>
            </w:r>
            <w:r>
              <w:rPr>
                <w:rFonts w:hint="eastAsia" w:eastAsia="SimSun" w:cs="Arial"/>
                <w:b/>
                <w:bCs/>
                <w:color w:val="1F4E79"/>
                <w:sz w:val="17"/>
                <w:szCs w:val="17"/>
                <w:lang w:val="en-US" w:eastAsia="zh-CN"/>
              </w:rPr>
              <w:t>/指标代码</w:t>
            </w:r>
          </w:p>
        </w:tc>
        <w:tc>
          <w:tcPr>
            <w:tcW w:w="15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154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7"/>
                <w:szCs w:val="17"/>
              </w:rPr>
              <w:t>展示名称</w:t>
            </w:r>
          </w:p>
        </w:tc>
        <w:tc>
          <w:tcPr>
            <w:tcW w:w="1388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4CF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7"/>
                <w:szCs w:val="17"/>
              </w:rPr>
              <w:t>数据来源</w:t>
            </w:r>
          </w:p>
        </w:tc>
        <w:tc>
          <w:tcPr>
            <w:tcW w:w="52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3A3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7"/>
                <w:szCs w:val="17"/>
              </w:rPr>
              <w:t>周期</w:t>
            </w:r>
          </w:p>
        </w:tc>
        <w:tc>
          <w:tcPr>
            <w:tcW w:w="52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6CD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7"/>
                <w:szCs w:val="17"/>
              </w:rPr>
              <w:t>频率</w:t>
            </w:r>
          </w:p>
        </w:tc>
        <w:tc>
          <w:tcPr>
            <w:tcW w:w="106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400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7"/>
                <w:szCs w:val="17"/>
              </w:rPr>
              <w:t>历史窗口</w:t>
            </w:r>
          </w:p>
        </w:tc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FB9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7"/>
                <w:szCs w:val="17"/>
              </w:rPr>
              <w:t>定位</w:t>
            </w:r>
          </w:p>
        </w:tc>
      </w:tr>
      <w:tr w14:paraId="542435FA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432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无风险利率</w:t>
            </w:r>
          </w:p>
        </w:tc>
        <w:tc>
          <w:tcPr>
            <w:tcW w:w="11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E5D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CGB_1Y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0A8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E1000172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803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中债国债到期收益率:1年</w:t>
            </w:r>
          </w:p>
        </w:tc>
        <w:tc>
          <w:tcPr>
            <w:tcW w:w="13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918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中债/Wind/Choice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890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5BD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D85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近15-20年（按可得最长）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8F4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建模无风险利率</w:t>
            </w:r>
          </w:p>
        </w:tc>
      </w:tr>
      <w:tr w14:paraId="69948B9A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DC0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现金类</w:t>
            </w:r>
          </w:p>
        </w:tc>
        <w:tc>
          <w:tcPr>
            <w:tcW w:w="11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98C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CBA02201.CS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A45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CBA02201.CS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102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中债货币市场基金可投资债券财富(总值)指数</w:t>
            </w:r>
          </w:p>
        </w:tc>
        <w:tc>
          <w:tcPr>
            <w:tcW w:w="13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AD2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中债/Wind/Choice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80D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5E90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E93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按可得最长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78A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方案A现金主腿</w:t>
            </w:r>
          </w:p>
        </w:tc>
      </w:tr>
      <w:tr w14:paraId="0918AD29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B3B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固收类</w:t>
            </w:r>
          </w:p>
        </w:tc>
        <w:tc>
          <w:tcPr>
            <w:tcW w:w="11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197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CGB_10Y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A2C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E1000180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D3C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中债国债到期收益率:10年</w:t>
            </w:r>
          </w:p>
        </w:tc>
        <w:tc>
          <w:tcPr>
            <w:tcW w:w="13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6C8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中债/Wind/Choice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757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071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DCD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近15-20年（按可得最长）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CCF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长端无风险利率锚</w:t>
            </w:r>
          </w:p>
        </w:tc>
      </w:tr>
      <w:tr w14:paraId="3FF9EAC4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49A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固收类</w:t>
            </w:r>
          </w:p>
        </w:tc>
        <w:tc>
          <w:tcPr>
            <w:tcW w:w="11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3DB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CBOND_NEW_COMPOSITE_WEALTH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04D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EMM01590538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96E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中债新综合指数（财富指数）</w:t>
            </w:r>
          </w:p>
        </w:tc>
        <w:tc>
          <w:tcPr>
            <w:tcW w:w="13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33B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中债/Wind/Choice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85F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月度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3C4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月频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9FB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按可得最长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AE7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方案A固收主腿/固收回测基准</w:t>
            </w:r>
          </w:p>
        </w:tc>
      </w:tr>
      <w:tr w14:paraId="400DA756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A7E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股票类</w:t>
            </w:r>
          </w:p>
        </w:tc>
        <w:tc>
          <w:tcPr>
            <w:tcW w:w="11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757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CSI300_TR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122D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H00300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012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沪深300全收益指数</w:t>
            </w:r>
          </w:p>
        </w:tc>
        <w:tc>
          <w:tcPr>
            <w:tcW w:w="13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B34B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中证指数公司/Wind/Choice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02B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C09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8D1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按可得最长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A2D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方案A股票主腿</w:t>
            </w:r>
          </w:p>
        </w:tc>
      </w:tr>
      <w:tr w14:paraId="0D51482F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D59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另类资产</w:t>
            </w:r>
          </w:p>
        </w:tc>
        <w:tc>
          <w:tcPr>
            <w:tcW w:w="11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420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AU9999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69F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AU9999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9AC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上海黄金交易所Au99.99</w:t>
            </w:r>
          </w:p>
        </w:tc>
        <w:tc>
          <w:tcPr>
            <w:tcW w:w="13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E5B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上金所/Wind/Choice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B6E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1DB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9F1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EF2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黄金主腿（A/B通用）</w:t>
            </w:r>
          </w:p>
        </w:tc>
      </w:tr>
      <w:tr w14:paraId="1E280735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946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另类资产</w:t>
            </w:r>
          </w:p>
        </w:tc>
        <w:tc>
          <w:tcPr>
            <w:tcW w:w="11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9BB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NHCI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79E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NHCI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F9A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南华商品指数</w:t>
            </w:r>
          </w:p>
        </w:tc>
        <w:tc>
          <w:tcPr>
            <w:tcW w:w="13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FA4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南华期货/Wind/Choice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7872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日度</w:t>
            </w:r>
          </w:p>
        </w:tc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512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日频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063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近20年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8DC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商品主腿</w:t>
            </w:r>
          </w:p>
        </w:tc>
      </w:tr>
    </w:tbl>
    <w:p w14:paraId="77837BC3">
      <w:pPr>
        <w:spacing w:before="320" w:after="0"/>
      </w:pPr>
    </w:p>
    <w:p w14:paraId="08322E76">
      <w:pPr>
        <w:pStyle w:val="2"/>
      </w:pPr>
      <w:r>
        <w:t>3. 四条资产腿定义</w:t>
      </w:r>
    </w:p>
    <w:p w14:paraId="695EB21B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方案A采用4条资产腿构建收益矩阵，各腿对应的原始指标如下：</w:t>
      </w:r>
    </w:p>
    <w:p w14:paraId="221263F4">
      <w:pPr>
        <w:spacing w:before="120" w:after="0"/>
      </w:pPr>
    </w:p>
    <w:tbl>
      <w:tblPr>
        <w:tblStyle w:val="9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4"/>
        <w:gridCol w:w="1126"/>
        <w:gridCol w:w="3441"/>
        <w:gridCol w:w="2785"/>
      </w:tblGrid>
      <w:tr w14:paraId="7EE78225">
        <w:trPr>
          <w:tblHeader/>
        </w:trPr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21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资产腿</w:t>
            </w:r>
          </w:p>
        </w:tc>
        <w:tc>
          <w:tcPr>
            <w:tcW w:w="1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BD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代号</w:t>
            </w:r>
          </w:p>
        </w:tc>
        <w:tc>
          <w:tcPr>
            <w:tcW w:w="2626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99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原始指标</w:t>
            </w:r>
          </w:p>
        </w:tc>
        <w:tc>
          <w:tcPr>
            <w:tcW w:w="33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48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说明</w:t>
            </w:r>
          </w:p>
        </w:tc>
      </w:tr>
      <w:tr w14:paraId="2107FCE5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60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现金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D6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r_cash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E5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CBA02201.CS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D5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中债货币市场基金可投资债券财富（总值）指数</w:t>
            </w:r>
          </w:p>
        </w:tc>
      </w:tr>
      <w:tr w14:paraId="1D9D9A56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7D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固收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30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r_bond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BA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CBOND_NEW_COMPOSITE_WEALTH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772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中债新综合指数（财富指数）</w:t>
            </w:r>
          </w:p>
        </w:tc>
      </w:tr>
      <w:tr w14:paraId="07F73518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A4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股票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27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r_equity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FE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CSI300_TR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46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沪深300全收益指数</w:t>
            </w:r>
          </w:p>
        </w:tc>
      </w:tr>
      <w:tr w14:paraId="2D524925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12F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另类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71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r_alt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9A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0.7 × AU9999 + 0.3 × NHCI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3D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70% 黄金（上海金交所 AU9999）+ 30% 南华商品指数（NHCI）合成</w:t>
            </w:r>
          </w:p>
        </w:tc>
      </w:tr>
    </w:tbl>
    <w:p w14:paraId="49436235">
      <w:pPr>
        <w:spacing w:before="160" w:after="0"/>
      </w:pPr>
    </w:p>
    <w:p w14:paraId="21193C32">
      <w:pPr>
        <w:spacing w:before="60" w:after="60"/>
      </w:pPr>
      <w:r>
        <w:rPr>
          <w:rFonts w:ascii="Arial" w:hAnsi="Arial" w:eastAsia="Arial" w:cs="Arial"/>
          <w:color w:val="888888"/>
          <w:sz w:val="20"/>
          <w:szCs w:val="20"/>
        </w:rPr>
        <w:t>注：另类腿为加权合成，先分别计算黄金与商品的月收益率，再按 7:3 权重合并。</w:t>
      </w:r>
    </w:p>
    <w:p w14:paraId="067D4FC4">
      <w:pPr>
        <w:spacing w:before="320" w:after="0"/>
      </w:pPr>
    </w:p>
    <w:p w14:paraId="3F54E33D">
      <w:pPr>
        <w:pStyle w:val="2"/>
      </w:pPr>
      <w:r>
        <w:t>4. 月收益率计算方法</w:t>
      </w:r>
    </w:p>
    <w:p w14:paraId="5C8D781C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各资产腿月收益率采用价格比法（简单收益率），公式如下：</w:t>
      </w:r>
    </w:p>
    <w:p w14:paraId="6D4921A1">
      <w:pPr>
        <w:spacing w:before="120" w:after="0"/>
      </w:pPr>
    </w:p>
    <w:p w14:paraId="27EFAA92">
      <w:pPr>
        <w:shd w:val="clear" w:fill="F0F4FA"/>
        <w:spacing w:before="40" w:after="4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r_cash_t   = CBA02201.CS_t   / CBA02201.CS_{t-1}              - 1</w:t>
      </w:r>
    </w:p>
    <w:p w14:paraId="6D20446C">
      <w:pPr>
        <w:shd w:val="clear" w:fill="F0F4FA"/>
        <w:spacing w:before="40" w:after="4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r_bond_t   = CBOND_WEALTH_t  / CBOND_WEALTH_{t-1}             - 1</w:t>
      </w:r>
    </w:p>
    <w:p w14:paraId="6C9D5EAC">
      <w:pPr>
        <w:shd w:val="clear" w:fill="F0F4FA"/>
        <w:spacing w:before="40" w:after="4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r_equity_t = CSI300_TR_t     / CSI300_TR_{t-1}                - 1</w:t>
      </w:r>
    </w:p>
    <w:p w14:paraId="7963BBF4">
      <w:pPr>
        <w:shd w:val="clear" w:fill="F0F4FA"/>
        <w:spacing w:before="40" w:after="4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r_gold_t   = AU9999_t        / AU9999_{t-1}                   - 1</w:t>
      </w:r>
    </w:p>
    <w:p w14:paraId="12DE003A">
      <w:pPr>
        <w:shd w:val="clear" w:fill="F0F4FA"/>
        <w:spacing w:before="40" w:after="4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r_cmdty_t  = NHCI_t          / NHCI_{t-1}                     - 1</w:t>
      </w:r>
    </w:p>
    <w:p w14:paraId="71FD8845">
      <w:pPr>
        <w:shd w:val="clear" w:fill="F0F4FA"/>
        <w:spacing w:before="40" w:after="4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r_alt_t    = 0.7 × r_gold_t  + 0.3 × r_cmdty_t</w:t>
      </w:r>
    </w:p>
    <w:p w14:paraId="437173DA">
      <w:pPr>
        <w:spacing w:before="200" w:after="0"/>
      </w:pPr>
    </w:p>
    <w:p w14:paraId="78CBE865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最终收益矩阵为：</w:t>
      </w:r>
    </w:p>
    <w:p w14:paraId="13487E33">
      <w:pPr>
        <w:shd w:val="clear" w:fill="F0F4FA"/>
        <w:spacing w:before="40" w:after="4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R_A,t = [ r_cash_t,  r_bond_t,  r_equity_t,  r_alt_t ]</w:t>
      </w:r>
    </w:p>
    <w:p w14:paraId="3250DEE3">
      <w:pPr>
        <w:spacing w:before="200" w:after="0"/>
      </w:pPr>
    </w:p>
    <w:p w14:paraId="6EDF135F">
      <w:pPr>
        <w:pStyle w:val="3"/>
      </w:pPr>
      <w:r>
        <w:t>4.1 数据可用性</w:t>
      </w:r>
    </w:p>
    <w:tbl>
      <w:tblPr>
        <w:tblStyle w:val="9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526"/>
      </w:tblGrid>
      <w:tr w14:paraId="0EF0FCA7">
        <w:trPr>
          <w:tblHeader/>
        </w:trPr>
        <w:tc>
          <w:tcPr>
            <w:tcW w:w="30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F7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项目</w:t>
            </w:r>
          </w:p>
        </w:tc>
        <w:tc>
          <w:tcPr>
            <w:tcW w:w="5526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FB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说明</w:t>
            </w:r>
          </w:p>
        </w:tc>
      </w:tr>
      <w:tr w14:paraId="201D3423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DD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瓶颈列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EC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CBA02201.CS（2005-07 起）</w:t>
            </w:r>
          </w:p>
        </w:tc>
      </w:tr>
      <w:tr w14:paraId="6AE77685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F1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收益率最早起始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54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2005-08（需用 t 与 t-1 计算差分）</w:t>
            </w:r>
          </w:p>
        </w:tc>
      </w:tr>
      <w:tr w14:paraId="3FB71D3C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31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共同可用区间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B1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2005-08 ~ 2026-03，约 248 个月</w:t>
            </w:r>
          </w:p>
        </w:tc>
      </w:tr>
      <w:tr w14:paraId="6899FFB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80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最大窗口需求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A6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240M，样本量满足要求</w:t>
            </w:r>
          </w:p>
        </w:tc>
      </w:tr>
    </w:tbl>
    <w:p w14:paraId="00C98B00">
      <w:pPr>
        <w:spacing w:before="320" w:after="0"/>
      </w:pPr>
    </w:p>
    <w:p w14:paraId="7E8DF8D1">
      <w:pPr>
        <w:pStyle w:val="2"/>
      </w:pPr>
      <w:r>
        <w:t>5. 多窗口统计指标</w:t>
      </w:r>
    </w:p>
    <w:p w14:paraId="266530DE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 xml:space="preserve">对以下 </w:t>
      </w:r>
      <w:r>
        <w:rPr>
          <w:rFonts w:hint="eastAsia" w:eastAsia="SimSun" w:cs="Arial"/>
          <w:color w:val="333333"/>
          <w:sz w:val="20"/>
          <w:szCs w:val="20"/>
          <w:lang w:val="en-US" w:eastAsia="zh-CN"/>
        </w:rPr>
        <w:t>6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 个滚动窗口分别计算统计量，窗口取最近 W 个月收益率：</w:t>
      </w:r>
    </w:p>
    <w:p w14:paraId="4AC8CC08">
      <w:pPr>
        <w:spacing w:before="120" w:after="0"/>
      </w:pPr>
    </w:p>
    <w:tbl>
      <w:tblPr>
        <w:tblStyle w:val="9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400"/>
        <w:gridCol w:w="1400"/>
        <w:gridCol w:w="1400"/>
        <w:gridCol w:w="1400"/>
        <w:gridCol w:w="1526"/>
      </w:tblGrid>
      <w:tr w14:paraId="399DC587">
        <w:trPr>
          <w:tblHeader/>
        </w:trPr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7E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12M</w:t>
            </w:r>
          </w:p>
        </w:tc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E3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24M</w:t>
            </w:r>
          </w:p>
        </w:tc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D7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36M</w:t>
            </w:r>
          </w:p>
        </w:tc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5C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60M</w:t>
            </w:r>
          </w:p>
        </w:tc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58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120M</w:t>
            </w:r>
          </w:p>
        </w:tc>
        <w:tc>
          <w:tcPr>
            <w:tcW w:w="1526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B5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240M</w:t>
            </w:r>
          </w:p>
        </w:tc>
      </w:tr>
      <w:tr w14:paraId="000A072F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42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1年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3A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2年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AA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3年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7E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5年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4C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10年</w:t>
            </w:r>
          </w:p>
        </w:tc>
        <w:tc>
          <w:tcPr>
            <w:tcW w:w="1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0D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20年</w:t>
            </w:r>
          </w:p>
        </w:tc>
      </w:tr>
    </w:tbl>
    <w:p w14:paraId="16E87933">
      <w:pPr>
        <w:spacing w:before="240" w:after="0"/>
      </w:pPr>
    </w:p>
    <w:p w14:paraId="632F7120">
      <w:pPr>
        <w:pStyle w:val="3"/>
      </w:pPr>
      <w:r>
        <w:t>5.1 各窗口计算项目</w:t>
      </w:r>
    </w:p>
    <w:p w14:paraId="09AEFD8A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每个窗口 W 输出以下三类指标：</w:t>
      </w:r>
    </w:p>
    <w:p w14:paraId="769535F9">
      <w:pPr>
        <w:spacing w:before="120" w:after="0"/>
      </w:pPr>
    </w:p>
    <w:tbl>
      <w:tblPr>
        <w:tblStyle w:val="9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326"/>
        <w:gridCol w:w="4000"/>
      </w:tblGrid>
      <w:tr w14:paraId="1DD4367C">
        <w:trPr>
          <w:tblHeader/>
        </w:trPr>
        <w:tc>
          <w:tcPr>
            <w:tcW w:w="2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E0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指标</w:t>
            </w:r>
          </w:p>
        </w:tc>
        <w:tc>
          <w:tcPr>
            <w:tcW w:w="2326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5A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文件名规律</w:t>
            </w:r>
          </w:p>
        </w:tc>
        <w:tc>
          <w:tcPr>
            <w:tcW w:w="40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F0F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说明</w:t>
            </w:r>
          </w:p>
        </w:tc>
      </w:tr>
      <w:tr w14:paraId="4ECBCE1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85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预期收益 μ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F1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mu_{W}.csv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82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月均收益 + 年化收益（×12），包含 CASH / BOND / EQUITY / COMMODITY 四列</w:t>
            </w:r>
          </w:p>
        </w:tc>
      </w:tr>
      <w:tr w14:paraId="0E86BC0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C9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相关性矩阵 Corr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1B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corr_{W}.csv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57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4×4 资产相关矩阵，行列均为资产名称，基于共同有效样本计算</w:t>
            </w:r>
          </w:p>
        </w:tc>
      </w:tr>
      <w:tr w14:paraId="563596A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BE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年化波动率 σ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2A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sigma_{W}.csv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CE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各资产年化标准差，= 月度标准差 × √12</w:t>
            </w:r>
          </w:p>
        </w:tc>
      </w:tr>
      <w:tr w14:paraId="60D1A7D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6E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协方差矩阵 Cov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59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cov_{W}.csv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64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4×4 年化协方差矩阵，用于 MVO / BL 模型直接输入</w:t>
            </w:r>
          </w:p>
        </w:tc>
      </w:tr>
    </w:tbl>
    <w:p w14:paraId="473CCC42">
      <w:pPr>
        <w:spacing w:before="320" w:after="0"/>
      </w:pPr>
    </w:p>
    <w:p w14:paraId="0D3A76E8">
      <w:pPr>
        <w:pStyle w:val="3"/>
      </w:pPr>
      <w:r>
        <w:t>5.2 各窗口年化预期收益（mu_annual）</w:t>
      </w:r>
    </w:p>
    <w:p w14:paraId="74AE1CE8">
      <w:pPr>
        <w:spacing w:before="60" w:after="6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单位：%（年化，=月均收益×12）</w:t>
      </w:r>
      <w:r>
        <w:rPr>
          <w:rFonts w:hint="eastAsia" w:eastAsia="SimSun" w:cs="Arial"/>
          <w:b w:val="0"/>
          <w:bCs w:val="0"/>
          <w:color w:val="333333"/>
          <w:sz w:val="20"/>
          <w:szCs w:val="20"/>
          <w:lang w:val="en-US" w:eastAsia="zh-CN"/>
        </w:rPr>
        <w:t>6</w:t>
      </w: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个滚动窗口如下：</w:t>
      </w:r>
    </w:p>
    <w:p w14:paraId="720A1F4A">
      <w:pPr>
        <w:spacing w:before="80" w:after="0"/>
      </w:pPr>
    </w:p>
    <w:tbl>
      <w:tblPr>
        <w:tblStyle w:val="9"/>
        <w:tblW w:w="9638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339"/>
        <w:gridCol w:w="1339"/>
        <w:gridCol w:w="1340"/>
        <w:gridCol w:w="1340"/>
        <w:gridCol w:w="1340"/>
        <w:gridCol w:w="1340"/>
      </w:tblGrid>
      <w:tr w14:paraId="47080AA2">
        <w:tc>
          <w:tcPr>
            <w:tcW w:w="1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62B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资产</w:t>
            </w:r>
          </w:p>
        </w:tc>
        <w:tc>
          <w:tcPr>
            <w:tcW w:w="1205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A67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12M</w:t>
            </w:r>
          </w:p>
        </w:tc>
        <w:tc>
          <w:tcPr>
            <w:tcW w:w="1205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639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24M</w:t>
            </w:r>
          </w:p>
        </w:tc>
        <w:tc>
          <w:tcPr>
            <w:tcW w:w="1205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454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36M</w:t>
            </w:r>
          </w:p>
        </w:tc>
        <w:tc>
          <w:tcPr>
            <w:tcW w:w="1205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BEA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60M</w:t>
            </w:r>
          </w:p>
        </w:tc>
        <w:tc>
          <w:tcPr>
            <w:tcW w:w="1205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75D9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120M</w:t>
            </w:r>
          </w:p>
        </w:tc>
        <w:tc>
          <w:tcPr>
            <w:tcW w:w="1205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E6D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240M</w:t>
            </w:r>
          </w:p>
        </w:tc>
      </w:tr>
      <w:tr w14:paraId="7EEF5D09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515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现金 (CASH)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69DF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1.68%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A983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1.84%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360F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2.07%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B127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2.26%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0507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2.79%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D768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3.05%</w:t>
            </w:r>
          </w:p>
        </w:tc>
      </w:tr>
      <w:tr w14:paraId="10BC31D2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3B3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固收 (BOND)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516A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1.82%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A696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3.30%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E566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4.11%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FCBA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4.12%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6EB5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3.79%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FF5D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3.94%</w:t>
            </w:r>
          </w:p>
        </w:tc>
      </w:tr>
      <w:tr w14:paraId="1A407E3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1EA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股票 (EQUITY)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B3A9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21.98%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49CA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18.43%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BE17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9.01%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537A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2.46%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AA1A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7.48%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10C6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13.15%</w:t>
            </w:r>
          </w:p>
        </w:tc>
      </w:tr>
      <w:tr w14:paraId="211C07E2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6CCB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另类 (COMMODITY)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7FDE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38.53%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6598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31.10%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9B5D4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25.96%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8553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20.63%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327A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14.98%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9CDC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9.70%</w:t>
            </w:r>
          </w:p>
        </w:tc>
      </w:tr>
    </w:tbl>
    <w:p w14:paraId="646873ED">
      <w:pPr>
        <w:spacing w:before="200" w:after="0"/>
      </w:pPr>
    </w:p>
    <w:p w14:paraId="25C0258D">
      <w:pPr>
        <w:pStyle w:val="3"/>
      </w:pPr>
      <w:r>
        <w:t>5.3 各窗口年化波动率（sigma_ann）</w:t>
      </w:r>
    </w:p>
    <w:p w14:paraId="1C67E367">
      <w:pPr>
        <w:spacing w:before="60" w:after="6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单位：%（年化，=月度标准差×√12）。</w:t>
      </w:r>
      <w:r>
        <w:rPr>
          <w:rFonts w:hint="eastAsia" w:eastAsia="SimSun" w:cs="Arial"/>
          <w:b w:val="0"/>
          <w:bCs w:val="0"/>
          <w:color w:val="333333"/>
          <w:sz w:val="20"/>
          <w:szCs w:val="20"/>
          <w:lang w:val="en-US" w:eastAsia="zh-CN"/>
        </w:rPr>
        <w:t>6</w:t>
      </w: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个滚动窗口如下：</w:t>
      </w:r>
    </w:p>
    <w:p w14:paraId="158C07D7">
      <w:pPr>
        <w:spacing w:before="80" w:after="0"/>
      </w:pPr>
    </w:p>
    <w:tbl>
      <w:tblPr>
        <w:tblStyle w:val="9"/>
        <w:tblW w:w="9638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339"/>
        <w:gridCol w:w="1339"/>
        <w:gridCol w:w="1340"/>
        <w:gridCol w:w="1340"/>
        <w:gridCol w:w="1340"/>
        <w:gridCol w:w="1340"/>
      </w:tblGrid>
      <w:tr w14:paraId="1FDCD49F">
        <w:tc>
          <w:tcPr>
            <w:tcW w:w="1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CAF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资产</w:t>
            </w:r>
          </w:p>
        </w:tc>
        <w:tc>
          <w:tcPr>
            <w:tcW w:w="1205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355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12M</w:t>
            </w:r>
          </w:p>
        </w:tc>
        <w:tc>
          <w:tcPr>
            <w:tcW w:w="1205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CA5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24M</w:t>
            </w:r>
          </w:p>
        </w:tc>
        <w:tc>
          <w:tcPr>
            <w:tcW w:w="1205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9CC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36M</w:t>
            </w:r>
          </w:p>
        </w:tc>
        <w:tc>
          <w:tcPr>
            <w:tcW w:w="1205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40F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60M</w:t>
            </w:r>
          </w:p>
        </w:tc>
        <w:tc>
          <w:tcPr>
            <w:tcW w:w="1205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F36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120M</w:t>
            </w:r>
          </w:p>
        </w:tc>
        <w:tc>
          <w:tcPr>
            <w:tcW w:w="1205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864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240M</w:t>
            </w:r>
          </w:p>
        </w:tc>
      </w:tr>
      <w:tr w14:paraId="45116698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454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现金 (CASH)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8E11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0.10%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4D597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0.19%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2267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0.23%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D5F4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0.25%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4AB0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0.39%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B512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0.49%</w:t>
            </w:r>
          </w:p>
        </w:tc>
      </w:tr>
      <w:tr w14:paraId="1F7B4949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9B74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固收 (BOND)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8DB9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1.57%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758B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1.89%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858F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1.76%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8E54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1.64%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8672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1.81%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EFB3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2.00%</w:t>
            </w:r>
          </w:p>
        </w:tc>
      </w:tr>
      <w:tr w14:paraId="3940A61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111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股票 (EQUITY)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2856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12.30%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7AB5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17.85%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D084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17.53%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5346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17.81%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6F05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17.06%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6ACD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27.46%</w:t>
            </w:r>
          </w:p>
        </w:tc>
      </w:tr>
      <w:tr w14:paraId="72AC436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64F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另类 (COMMODITY)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E5CE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16.80%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ED70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13.39%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4EA6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12.10%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F7AF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11.25%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7149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10.85%</w:t>
            </w:r>
          </w:p>
        </w:tc>
        <w:tc>
          <w:tcPr>
            <w:tcW w:w="12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14CE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13.26%</w:t>
            </w:r>
          </w:p>
        </w:tc>
      </w:tr>
    </w:tbl>
    <w:p w14:paraId="4B835537">
      <w:pPr>
        <w:spacing w:before="200" w:after="0"/>
      </w:pPr>
    </w:p>
    <w:p w14:paraId="3B841422">
      <w:pPr>
        <w:pStyle w:val="3"/>
      </w:pPr>
      <w:r>
        <w:t>5.4 各窗口资产相关性矩阵（corr）</w:t>
      </w:r>
    </w:p>
    <w:p w14:paraId="1059DF82">
      <w:pPr>
        <w:spacing w:before="60" w:after="6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4×4 资产相关矩阵（对角线 = 1），已 round(2)。各窗口如下：</w:t>
      </w:r>
    </w:p>
    <w:p w14:paraId="22AE7DA3">
      <w:pPr>
        <w:spacing w:before="60" w:after="0"/>
      </w:pPr>
    </w:p>
    <w:p w14:paraId="65606297">
      <w:pPr>
        <w:pStyle w:val="4"/>
      </w:pPr>
      <w:r>
        <w:t>12M 窗口</w:t>
      </w:r>
    </w:p>
    <w:p w14:paraId="36F6AF68">
      <w:pPr>
        <w:spacing w:before="40" w:after="0"/>
      </w:pPr>
    </w:p>
    <w:tbl>
      <w:tblPr>
        <w:tblStyle w:val="9"/>
        <w:tblW w:w="9638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059"/>
        <w:gridCol w:w="2059"/>
        <w:gridCol w:w="2060"/>
        <w:gridCol w:w="2060"/>
      </w:tblGrid>
      <w:tr w14:paraId="022EA8A2"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CBBA0">
            <w:pPr>
              <w:jc w:val="center"/>
            </w:pP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EF4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现金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4F8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固收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EBB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股票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0F5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另类</w:t>
            </w:r>
          </w:p>
        </w:tc>
      </w:tr>
      <w:tr w14:paraId="50F33F7F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B0E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现金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F772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C77F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8278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3A68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0.03</w:t>
            </w:r>
          </w:p>
        </w:tc>
      </w:tr>
      <w:tr w14:paraId="672003A9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04E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固收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451F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0937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D586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-0.58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3FD3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0.10</w:t>
            </w:r>
          </w:p>
        </w:tc>
      </w:tr>
      <w:tr w14:paraId="7274753F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DE60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股票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EB7A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4F70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-0.58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C5F9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BC9B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-0.03</w:t>
            </w:r>
          </w:p>
        </w:tc>
      </w:tr>
      <w:tr w14:paraId="49725ED6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D58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另类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1C77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574D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4CB51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-0.03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DFC0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</w:tr>
    </w:tbl>
    <w:p w14:paraId="75CE30D7">
      <w:pPr>
        <w:spacing w:before="120" w:after="0"/>
      </w:pPr>
    </w:p>
    <w:p w14:paraId="63D340D1">
      <w:pPr>
        <w:pStyle w:val="4"/>
      </w:pPr>
      <w:r>
        <w:t>24M 窗口</w:t>
      </w:r>
    </w:p>
    <w:p w14:paraId="6557C061">
      <w:pPr>
        <w:spacing w:before="40" w:after="0"/>
      </w:pPr>
    </w:p>
    <w:tbl>
      <w:tblPr>
        <w:tblStyle w:val="9"/>
        <w:tblW w:w="9638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059"/>
        <w:gridCol w:w="2059"/>
        <w:gridCol w:w="2060"/>
        <w:gridCol w:w="2060"/>
      </w:tblGrid>
      <w:tr w14:paraId="5DE4A465"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8B996">
            <w:pPr>
              <w:jc w:val="center"/>
            </w:pP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B1B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现金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966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固收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E4F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股票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C61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另类</w:t>
            </w:r>
          </w:p>
        </w:tc>
      </w:tr>
      <w:tr w14:paraId="55EA7600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74E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现金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4E38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30A8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0.65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D442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825A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-0.15</w:t>
            </w:r>
          </w:p>
        </w:tc>
      </w:tr>
      <w:tr w14:paraId="2F81E84D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37D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固收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B8F7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0.65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F7FF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B89D5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-0.28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97F6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-0.23</w:t>
            </w:r>
          </w:p>
        </w:tc>
      </w:tr>
      <w:tr w14:paraId="1FC1DF7D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506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股票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5FA5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6F08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-0.28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5717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4E65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0.09</w:t>
            </w:r>
          </w:p>
        </w:tc>
      </w:tr>
      <w:tr w14:paraId="0CC7B77E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F98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另类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597F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-0.15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352F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-0.23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E93E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83EA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</w:tr>
    </w:tbl>
    <w:p w14:paraId="56CC8319">
      <w:pPr>
        <w:spacing w:before="120" w:after="0"/>
      </w:pPr>
    </w:p>
    <w:p w14:paraId="0B37FF3F">
      <w:pPr>
        <w:pStyle w:val="4"/>
      </w:pPr>
      <w:r>
        <w:t>36M 窗口</w:t>
      </w:r>
    </w:p>
    <w:p w14:paraId="459FAD9F">
      <w:pPr>
        <w:spacing w:before="40" w:after="0"/>
      </w:pPr>
    </w:p>
    <w:tbl>
      <w:tblPr>
        <w:tblStyle w:val="9"/>
        <w:tblW w:w="9638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059"/>
        <w:gridCol w:w="2059"/>
        <w:gridCol w:w="2060"/>
        <w:gridCol w:w="2060"/>
      </w:tblGrid>
      <w:tr w14:paraId="1C28D0A8"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BEAB3">
            <w:pPr>
              <w:jc w:val="center"/>
            </w:pP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4A3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现金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5DE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固收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D4F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股票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827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另类</w:t>
            </w:r>
          </w:p>
        </w:tc>
      </w:tr>
      <w:tr w14:paraId="038C70FE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E53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现金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4D5D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0FB2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0.68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1776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79C2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-0.20</w:t>
            </w:r>
          </w:p>
        </w:tc>
      </w:tr>
      <w:tr w14:paraId="6C128802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DF0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固收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FE2D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0.68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CE7C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387F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-0.26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236D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-0.25</w:t>
            </w:r>
          </w:p>
        </w:tc>
      </w:tr>
      <w:tr w14:paraId="6FDFCC57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537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股票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B288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B720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-0.26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C34F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7A70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0.14</w:t>
            </w:r>
          </w:p>
        </w:tc>
      </w:tr>
      <w:tr w14:paraId="70C8B88F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C2E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另类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9625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-0.20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070C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-0.25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D326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CE1B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</w:tr>
    </w:tbl>
    <w:p w14:paraId="62DE0BF9">
      <w:pPr>
        <w:spacing w:before="120" w:after="0"/>
      </w:pPr>
    </w:p>
    <w:p w14:paraId="2254D1DA">
      <w:pPr>
        <w:pStyle w:val="4"/>
      </w:pPr>
      <w:r>
        <w:t>60M 窗口</w:t>
      </w:r>
    </w:p>
    <w:p w14:paraId="72EB1420">
      <w:pPr>
        <w:spacing w:before="40" w:after="0"/>
      </w:pPr>
    </w:p>
    <w:tbl>
      <w:tblPr>
        <w:tblStyle w:val="9"/>
        <w:tblW w:w="9638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059"/>
        <w:gridCol w:w="2059"/>
        <w:gridCol w:w="2060"/>
        <w:gridCol w:w="2060"/>
      </w:tblGrid>
      <w:tr w14:paraId="56DCEDC9"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A5CE4">
            <w:pPr>
              <w:jc w:val="center"/>
            </w:pP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1F0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现金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AB9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固收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6C6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股票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937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另类</w:t>
            </w:r>
          </w:p>
        </w:tc>
      </w:tr>
      <w:tr w14:paraId="1AC65E96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B99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现金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ECD5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986E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0.70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EAB8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5B3A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-0.13</w:t>
            </w:r>
          </w:p>
        </w:tc>
      </w:tr>
      <w:tr w14:paraId="531983CE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B79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固收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7BB1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0.70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90C7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33DE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-0.36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F094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-0.19</w:t>
            </w:r>
          </w:p>
        </w:tc>
      </w:tr>
      <w:tr w14:paraId="6F50CF8D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829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股票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AD48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E3A3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-0.36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F908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43EB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0.11</w:t>
            </w:r>
          </w:p>
        </w:tc>
      </w:tr>
      <w:tr w14:paraId="573EC477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BF0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另类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9BBA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5B44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F174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5747B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</w:tr>
    </w:tbl>
    <w:p w14:paraId="5C2D4E3A">
      <w:pPr>
        <w:spacing w:before="120" w:after="0"/>
      </w:pPr>
    </w:p>
    <w:p w14:paraId="334663FA">
      <w:pPr>
        <w:pStyle w:val="4"/>
      </w:pPr>
      <w:r>
        <w:t>120M 窗口</w:t>
      </w:r>
    </w:p>
    <w:p w14:paraId="2942571D">
      <w:pPr>
        <w:spacing w:before="40" w:after="0"/>
      </w:pPr>
    </w:p>
    <w:tbl>
      <w:tblPr>
        <w:tblStyle w:val="9"/>
        <w:tblW w:w="9638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059"/>
        <w:gridCol w:w="2059"/>
        <w:gridCol w:w="2060"/>
        <w:gridCol w:w="2060"/>
      </w:tblGrid>
      <w:tr w14:paraId="48D96189"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E8E3E">
            <w:pPr>
              <w:jc w:val="center"/>
            </w:pP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0D4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现金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FE3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固收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36F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股票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C1B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另类</w:t>
            </w:r>
          </w:p>
        </w:tc>
      </w:tr>
      <w:tr w14:paraId="7C9053FD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AB8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现金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44CF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DA55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7FE0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3EE1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-0.13</w:t>
            </w:r>
          </w:p>
        </w:tc>
      </w:tr>
      <w:tr w14:paraId="32ADA799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025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固收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42C1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A4ED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7500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-0.25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285A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-0.06</w:t>
            </w:r>
          </w:p>
        </w:tc>
      </w:tr>
      <w:tr w14:paraId="6DAD5E3E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B1F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股票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641D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1D0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-0.25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26E9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E91E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0.15</w:t>
            </w:r>
          </w:p>
        </w:tc>
      </w:tr>
      <w:tr w14:paraId="3672F70A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557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另类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CDC7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AF16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AC8D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4614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</w:tr>
    </w:tbl>
    <w:p w14:paraId="01EAC291">
      <w:pPr>
        <w:spacing w:before="120" w:after="0"/>
      </w:pPr>
    </w:p>
    <w:p w14:paraId="3E2EE00F">
      <w:pPr>
        <w:pStyle w:val="4"/>
      </w:pPr>
      <w:r>
        <w:t>240M 窗口</w:t>
      </w:r>
    </w:p>
    <w:p w14:paraId="63346779">
      <w:pPr>
        <w:spacing w:before="40" w:after="0"/>
      </w:pPr>
    </w:p>
    <w:tbl>
      <w:tblPr>
        <w:tblStyle w:val="9"/>
        <w:tblW w:w="9638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059"/>
        <w:gridCol w:w="2059"/>
        <w:gridCol w:w="2060"/>
        <w:gridCol w:w="2060"/>
      </w:tblGrid>
      <w:tr w14:paraId="563E7D5E"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E30EE">
            <w:pPr>
              <w:jc w:val="center"/>
            </w:pP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D47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现金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E82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固收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B36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股票</w:t>
            </w:r>
          </w:p>
        </w:tc>
        <w:tc>
          <w:tcPr>
            <w:tcW w:w="2059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CE1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另类</w:t>
            </w:r>
          </w:p>
        </w:tc>
      </w:tr>
      <w:tr w14:paraId="50850DCC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BBE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现金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62FE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A04DC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0.68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206C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0A2D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-0.14</w:t>
            </w:r>
          </w:p>
        </w:tc>
      </w:tr>
      <w:tr w14:paraId="7835B077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9FB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固收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D028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0.68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4448E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491D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D800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-0.11</w:t>
            </w:r>
          </w:p>
        </w:tc>
      </w:tr>
      <w:tr w14:paraId="66A3C704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789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股票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E38F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D026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A5F4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77FE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0.21</w:t>
            </w:r>
          </w:p>
        </w:tc>
      </w:tr>
      <w:tr w14:paraId="11AA067C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212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另类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F101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-0.14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D2DBB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D184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B0EC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1.00</w:t>
            </w:r>
          </w:p>
        </w:tc>
      </w:tr>
    </w:tbl>
    <w:p w14:paraId="2FB15E63">
      <w:pPr>
        <w:spacing w:before="120" w:after="0"/>
      </w:pPr>
    </w:p>
    <w:p w14:paraId="5EBAD065">
      <w:pPr>
        <w:pStyle w:val="2"/>
      </w:pPr>
      <w:r>
        <w:t>6. 无风险利率指标体系</w:t>
      </w:r>
    </w:p>
    <w:p w14:paraId="59E5CBD3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无风险利率来源于中债国债收益率（CGB），分为两类口径，均已计算至 cgb_summary_metrics.csv。</w:t>
      </w:r>
    </w:p>
    <w:p w14:paraId="2F3ED57F">
      <w:pPr>
        <w:spacing w:before="200" w:after="0"/>
      </w:pPr>
    </w:p>
    <w:p w14:paraId="452897F0">
      <w:pPr>
        <w:pStyle w:val="3"/>
      </w:pPr>
      <w:r>
        <w:t>6.1 无风险利率主口径（短端 1Y）</w:t>
      </w:r>
    </w:p>
    <w:p w14:paraId="1437B4FA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使用 1年期国债收益率（cgb_1y）的多窗口均值作为无风险利率基准：</w:t>
      </w:r>
    </w:p>
    <w:p w14:paraId="06F7F81C">
      <w:pPr>
        <w:spacing w:before="120" w:after="0"/>
      </w:pPr>
    </w:p>
    <w:tbl>
      <w:tblPr>
        <w:tblStyle w:val="9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000"/>
        <w:gridCol w:w="2326"/>
      </w:tblGrid>
      <w:tr w14:paraId="30A119CB">
        <w:trPr>
          <w:tblHeader/>
        </w:trPr>
        <w:tc>
          <w:tcPr>
            <w:tcW w:w="20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36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字段名</w:t>
            </w:r>
          </w:p>
        </w:tc>
        <w:tc>
          <w:tcPr>
            <w:tcW w:w="2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2A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定义</w:t>
            </w:r>
          </w:p>
        </w:tc>
        <w:tc>
          <w:tcPr>
            <w:tcW w:w="20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8B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示例值（截至当前）</w:t>
            </w:r>
          </w:p>
        </w:tc>
        <w:tc>
          <w:tcPr>
            <w:tcW w:w="2326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F5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用途</w:t>
            </w:r>
          </w:p>
        </w:tc>
      </w:tr>
      <w:tr w14:paraId="7D232F3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8B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rf_current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1B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最新月末 cgb_1y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2C4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1.26%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98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当期无风险利率点位</w:t>
            </w:r>
          </w:p>
        </w:tc>
      </w:tr>
      <w:tr w14:paraId="69104E64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72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rf_1y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96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近12个月均值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595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1.36%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B5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近一年平均水平</w:t>
            </w:r>
          </w:p>
        </w:tc>
      </w:tr>
      <w:tr w14:paraId="4C93331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09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rf_3y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10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近36个月均值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40C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1.60%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B9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中期参考利率</w:t>
            </w:r>
          </w:p>
        </w:tc>
      </w:tr>
      <w:tr w14:paraId="2873B44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5E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rf_5y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2F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近60个月均值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2F1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1.81%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50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中长期参考利率</w:t>
            </w:r>
          </w:p>
        </w:tc>
      </w:tr>
      <w:tr w14:paraId="217DC06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01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rf_10y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2B2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近120个月均值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9F48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2.24%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9B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长期无风险利率</w:t>
            </w:r>
          </w:p>
        </w:tc>
      </w:tr>
      <w:tr w14:paraId="4273B2D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D0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rf_20y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EA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近240个月均值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12F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2.44%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53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超长期历史均值</w:t>
            </w:r>
          </w:p>
        </w:tc>
      </w:tr>
    </w:tbl>
    <w:p w14:paraId="00A2EF70">
      <w:pPr>
        <w:spacing w:before="240" w:after="0"/>
      </w:pPr>
    </w:p>
    <w:p w14:paraId="526FC003">
      <w:pPr>
        <w:pStyle w:val="3"/>
      </w:pPr>
      <w:r>
        <w:t>6.2 长端利率锚（10Y）</w:t>
      </w:r>
    </w:p>
    <w:p w14:paraId="5FD4839D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使用 10年期国债收益率（cgb_10y）反映长期利率环境，用于期限结构分析：</w:t>
      </w:r>
    </w:p>
    <w:p w14:paraId="07C510B4">
      <w:pPr>
        <w:spacing w:before="120" w:after="0"/>
      </w:pPr>
    </w:p>
    <w:tbl>
      <w:tblPr>
        <w:tblStyle w:val="9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000"/>
        <w:gridCol w:w="2126"/>
      </w:tblGrid>
      <w:tr w14:paraId="7E4576D5">
        <w:trPr>
          <w:tblHeader/>
        </w:trPr>
        <w:tc>
          <w:tcPr>
            <w:tcW w:w="2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87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字段名</w:t>
            </w:r>
          </w:p>
        </w:tc>
        <w:tc>
          <w:tcPr>
            <w:tcW w:w="2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9C4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定义</w:t>
            </w:r>
          </w:p>
        </w:tc>
        <w:tc>
          <w:tcPr>
            <w:tcW w:w="20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27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示例值（截至当前）</w:t>
            </w:r>
          </w:p>
        </w:tc>
        <w:tc>
          <w:tcPr>
            <w:tcW w:w="2126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48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用途</w:t>
            </w:r>
          </w:p>
        </w:tc>
      </w:tr>
      <w:tr w14:paraId="62F6704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74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long_rate_current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B0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最新月末 cgb_10y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A6E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1.83%</w:t>
            </w:r>
          </w:p>
        </w:tc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5C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当期10Y利率锚</w:t>
            </w:r>
          </w:p>
        </w:tc>
      </w:tr>
      <w:tr w14:paraId="4B62002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70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long_rate_1y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A8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近12个月均值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B026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1.77%</w:t>
            </w:r>
          </w:p>
        </w:tc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EB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近一年长端利率均值</w:t>
            </w:r>
          </w:p>
        </w:tc>
      </w:tr>
      <w:tr w14:paraId="25ACCD2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C6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long_rate_3y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00D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近36个月均值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8132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2.12%</w:t>
            </w:r>
          </w:p>
        </w:tc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33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中期长端利率锚</w:t>
            </w:r>
          </w:p>
        </w:tc>
      </w:tr>
      <w:tr w14:paraId="48B7BAA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14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long_rate_5y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F7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近60个月均值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06A0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2.41%</w:t>
            </w:r>
          </w:p>
        </w:tc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AF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中长期基准</w:t>
            </w:r>
          </w:p>
        </w:tc>
      </w:tr>
      <w:tr w14:paraId="1B4F8C6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0D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long_rate_10y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937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近120个月均值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EF8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2.83%</w:t>
            </w:r>
          </w:p>
        </w:tc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F2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长期利率均值</w:t>
            </w:r>
          </w:p>
        </w:tc>
      </w:tr>
      <w:tr w14:paraId="289FD25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C26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long_rate_20y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BC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近240个月均值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481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3.23%</w:t>
            </w:r>
          </w:p>
        </w:tc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5C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超长期历史均值</w:t>
            </w:r>
          </w:p>
        </w:tc>
      </w:tr>
    </w:tbl>
    <w:p w14:paraId="5F78BC80">
      <w:pPr>
        <w:spacing w:before="240" w:after="0"/>
      </w:pPr>
    </w:p>
    <w:p w14:paraId="5F2B554E">
      <w:pPr>
        <w:pStyle w:val="3"/>
      </w:pPr>
      <w:r>
        <w:t>6.3 期限利差观察序列</w:t>
      </w:r>
    </w:p>
    <w:p w14:paraId="741AC732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额外计算 10Y - 1Y 期限利差，用于判断收益率曲线形态变化：</w:t>
      </w:r>
    </w:p>
    <w:p w14:paraId="7011D29A">
      <w:pPr>
        <w:spacing w:before="120" w:after="0"/>
      </w:pPr>
    </w:p>
    <w:p w14:paraId="02B1521B">
      <w:pPr>
        <w:shd w:val="clear" w:fill="F0F4FA"/>
        <w:spacing w:before="40" w:after="40"/>
        <w:ind w:left="360"/>
      </w:pPr>
      <w:r>
        <w:rPr>
          <w:rFonts w:ascii="Courier New" w:hAnsi="Courier New" w:eastAsia="Courier New" w:cs="Courier New"/>
          <w:color w:val="1B4F72"/>
          <w:sz w:val="18"/>
          <w:szCs w:val="18"/>
        </w:rPr>
        <w:t>TERM_SPREAD_10Y_1Y = CGB_10Y - CGB_1Y</w:t>
      </w:r>
    </w:p>
    <w:p w14:paraId="526CC50D">
      <w:pPr>
        <w:spacing w:before="120" w:after="0"/>
      </w:pPr>
    </w:p>
    <w:p w14:paraId="79496D19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输出文件 term_spread_quarterly_view.csv 包含 2024Q4 至最新的季末值序列，字段：date / quarter_label / term_spread_10y_1y。</w:t>
      </w:r>
    </w:p>
    <w:p w14:paraId="7E6750DD">
      <w:pPr>
        <w:spacing w:before="60" w:after="60"/>
      </w:pPr>
      <w:r>
        <w:rPr>
          <w:rFonts w:ascii="Arial" w:hAnsi="Arial" w:eastAsia="Arial" w:cs="Arial"/>
          <w:color w:val="888888"/>
          <w:sz w:val="20"/>
          <w:szCs w:val="20"/>
        </w:rPr>
        <w:t>注：所有窗口均使用简单均值；样本不足时输出 NaN；最终输出统一 round(2)。</w:t>
      </w:r>
    </w:p>
    <w:p w14:paraId="64DE2EDB">
      <w:pPr>
        <w:spacing w:before="320" w:after="0"/>
      </w:pPr>
    </w:p>
    <w:p w14:paraId="3439895B">
      <w:pPr>
        <w:pStyle w:val="2"/>
      </w:pPr>
      <w:r>
        <w:t>7. 使用注意事项</w:t>
      </w:r>
    </w:p>
    <w:p w14:paraId="288F8C6D">
      <w:pPr>
        <w:pStyle w:val="17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所有收益率为月度简单收益率，年化时直接乘以12（非复利）。如需几何年化，需另行转换。</w:t>
      </w:r>
    </w:p>
    <w:p w14:paraId="25876F22">
      <w:pPr>
        <w:pStyle w:val="17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相关矩阵与协方差矩阵均基于窗口内共同有效样本计算，缺失值会自动处理。</w:t>
      </w:r>
    </w:p>
    <w:p w14:paraId="4F2FA76E">
      <w:pPr>
        <w:pStyle w:val="17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另类腿（r_alt）为合成指标，AU9999 与 NHCI 序列需同时可用，缺失任一则该期 r_alt 为 NaN。</w:t>
      </w:r>
    </w:p>
    <w:p w14:paraId="0AE37384">
      <w:pPr>
        <w:pStyle w:val="17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无风险利率窗口不足时输出 NaN，建模时应优先使用样本充足的窗口（rf_5y 及以上）。</w:t>
      </w:r>
    </w:p>
    <w:p w14:paraId="0E84BA89">
      <w:pPr>
        <w:pStyle w:val="17"/>
        <w:numPr>
          <w:ilvl w:val="0"/>
          <w:numId w:val="1"/>
        </w:numPr>
      </w:pPr>
      <w:r>
        <w:rPr>
          <w:rFonts w:ascii="Arial" w:hAnsi="Arial" w:eastAsia="Arial" w:cs="Arial"/>
          <w:sz w:val="20"/>
          <w:szCs w:val="20"/>
        </w:rPr>
        <w:t>本文档对应方案A口径，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DB6A8">
    <w:pPr>
      <w:pBdr>
        <w:top w:val="single" w:color="2E75B6" w:sz="4" w:space="4"/>
      </w:pBdr>
      <w:tabs>
        <w:tab w:val="right" w:pos="8526"/>
      </w:tabs>
    </w:pPr>
    <w:r>
      <w:rPr>
        <w:rFonts w:ascii="Arial" w:hAnsi="Arial" w:eastAsia="Arial" w:cs="Arial"/>
        <w:color w:val="AAAAAA"/>
        <w:sz w:val="16"/>
        <w:szCs w:val="16"/>
      </w:rPr>
      <w:t>内部使用 · 建模文档</w:t>
    </w:r>
    <w:r>
      <w:rPr>
        <w:rFonts w:ascii="Arial" w:hAnsi="Arial" w:eastAsia="Arial" w:cs="Arial"/>
        <w:color w:val="888888"/>
        <w:sz w:val="16"/>
        <w:szCs w:val="16"/>
      </w:rPr>
      <w:tab/>
      <w:t xml:space="preserve">第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  <w:r>
      <w:rPr>
        <w:rFonts w:ascii="Arial" w:hAnsi="Arial" w:eastAsia="Arial" w:cs="Arial"/>
        <w:color w:val="888888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1603E">
    <w:pPr>
      <w:pBdr>
        <w:bottom w:val="single" w:color="2E75B6" w:sz="4" w:space="4"/>
      </w:pBdr>
      <w:tabs>
        <w:tab w:val="right" w:pos="8526"/>
      </w:tabs>
    </w:pPr>
    <w:r>
      <w:rPr>
        <w:rFonts w:ascii="Arial" w:hAnsi="Arial" w:eastAsia="Arial" w:cs="Arial"/>
        <w:color w:val="888888"/>
        <w:sz w:val="18"/>
        <w:szCs w:val="18"/>
      </w:rPr>
      <w:t>大类资产建模数据指标说明</w:t>
    </w:r>
    <w:r>
      <w:rPr>
        <w:rFonts w:ascii="Arial" w:hAnsi="Arial" w:eastAsia="Arial" w:cs="Arial"/>
        <w:color w:val="2E75B6"/>
        <w:sz w:val="18"/>
        <w:szCs w:val="18"/>
      </w:rPr>
      <w:tab/>
      <w:t>方案A（Total Return 口径）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C5429B"/>
    <w:multiLevelType w:val="singleLevel"/>
    <w:tmpl w:val="D6C5429B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FBAC69B"/>
    <w:rsid w:val="79DF7FA6"/>
    <w:rsid w:val="BEF7CEEE"/>
    <w:rsid w:val="FCBED9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333333"/>
      <w:sz w:val="20"/>
      <w:szCs w:val="20"/>
    </w:rPr>
  </w:style>
  <w:style w:type="paragraph" w:styleId="2">
    <w:name w:val="heading 1"/>
    <w:next w:val="1"/>
    <w:qFormat/>
    <w:uiPriority w:val="0"/>
    <w:pPr>
      <w:pBdr>
        <w:bottom w:val="single" w:color="2E75B6" w:sz="6" w:space="4"/>
      </w:pBdr>
      <w:spacing w:before="320" w:after="160"/>
      <w:outlineLvl w:val="0"/>
    </w:pPr>
    <w:rPr>
      <w:rFonts w:ascii="Arial" w:hAnsi="Arial" w:eastAsia="Arial" w:cs="Arial"/>
      <w:b/>
      <w:bCs/>
      <w:color w:val="1F4E79"/>
      <w:sz w:val="34"/>
      <w:szCs w:val="34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555555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333333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333333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basedOn w:val="1"/>
    <w:uiPriority w:val="0"/>
    <w:rPr>
      <w:sz w:val="24"/>
      <w:szCs w:val="24"/>
    </w:rPr>
  </w:style>
  <w:style w:type="paragraph" w:styleId="16">
    <w:name w:val="Title"/>
    <w:qFormat/>
    <w:uiPriority w:val="0"/>
    <w:rPr>
      <w:rFonts w:ascii="Arial" w:hAnsi="Arial" w:eastAsia="Arial" w:cs="Arial"/>
      <w:color w:val="333333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color w:val="333333"/>
      <w:sz w:val="20"/>
      <w:szCs w:val="20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</cp:lastModifiedBy>
  <dcterms:modified xsi:type="dcterms:W3CDTF">2026-03-26T09:20:53Z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92214358A4B8DE13BB89C469DCF453A9_42</vt:lpwstr>
  </property>
</Properties>
</file>