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52"/>
          <w:szCs w:val="52"/>
          <w:lang w:eastAsia="zh-CN"/>
        </w:rPr>
      </w:pPr>
      <w:bookmarkStart w:id="0" w:name="_Toc9175257"/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Arial Black" w:hAnsi="Arial Black" w:eastAsia="黑体"/>
          <w:color w:val="2F5597" w:themeColor="accent1" w:themeShade="BF"/>
          <w:sz w:val="52"/>
          <w:szCs w:val="52"/>
        </w:rPr>
      </w:pPr>
      <w:r>
        <w:rPr>
          <w:rFonts w:ascii="Arial Black" w:hAnsi="Arial Black" w:eastAsia="黑体"/>
          <w:color w:val="2F5597" w:themeColor="accent1" w:themeShade="BF"/>
          <w:sz w:val="52"/>
          <w:szCs w:val="52"/>
        </w:rPr>
        <w:t>Bluetooth Communication Protocol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left"/>
        <w:rPr>
          <w:rFonts w:ascii="黑体" w:hAnsi="黑体" w:eastAsia="黑体"/>
          <w:b/>
          <w:sz w:val="52"/>
          <w:szCs w:val="52"/>
        </w:rPr>
      </w:pPr>
      <w:r>
        <w:rPr>
          <w:rFonts w:ascii="Arial Black" w:hAnsi="Arial Black" w:eastAsia="黑体"/>
          <w:color w:val="2F5597" w:themeColor="accent1" w:themeShade="BF"/>
          <w:sz w:val="52"/>
          <w:szCs w:val="52"/>
          <w:u w:val="single"/>
        </w:rPr>
        <w:t xml:space="preserve">                                 </w:t>
      </w:r>
      <w:r>
        <w:rPr>
          <w:rFonts w:hint="eastAsia" w:ascii="黑体" w:hAnsi="黑体" w:eastAsia="黑体"/>
          <w:b/>
          <w:sz w:val="52"/>
          <w:szCs w:val="52"/>
        </w:rPr>
        <w:t xml:space="preserve">             </w:t>
      </w:r>
    </w:p>
    <w:p>
      <w:pPr>
        <w:jc w:val="center"/>
        <w:rPr>
          <w:rFonts w:hint="default" w:ascii="Malgun Gothic" w:hAnsi="Malgun Gothic" w:eastAsia="宋体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/>
          <w:color w:val="2F5597" w:themeColor="accent1" w:themeShade="BF"/>
          <w:sz w:val="28"/>
          <w:szCs w:val="28"/>
        </w:rPr>
        <w:t>V1.0.</w:t>
      </w:r>
      <w:r>
        <w:rPr>
          <w:rFonts w:hint="eastAsia" w:ascii="Malgun Gothic" w:hAnsi="Malgun Gothic" w:eastAsia="宋体"/>
          <w:color w:val="2F5597" w:themeColor="accent1" w:themeShade="BF"/>
          <w:sz w:val="28"/>
          <w:szCs w:val="28"/>
          <w:lang w:val="en-US" w:eastAsia="zh-CN"/>
        </w:rPr>
        <w:t>0</w:t>
      </w:r>
      <w:r>
        <w:rPr>
          <w:rFonts w:hint="eastAsia" w:ascii="Malgun Gothic" w:hAnsi="Malgun Gothic" w:eastAsia="Malgun Gothic"/>
          <w:color w:val="2F5597" w:themeColor="accent1" w:themeShade="BF"/>
          <w:sz w:val="28"/>
          <w:szCs w:val="28"/>
        </w:rPr>
        <w:t xml:space="preserve">         Date</w:t>
      </w:r>
      <w:r>
        <w:rPr>
          <w:rFonts w:ascii="Malgun Gothic" w:hAnsi="Malgun Gothic" w:eastAsia="Malgun Gothic"/>
          <w:color w:val="2F5597" w:themeColor="accent1" w:themeShade="BF"/>
          <w:sz w:val="28"/>
          <w:szCs w:val="28"/>
        </w:rPr>
        <w:t>2020</w:t>
      </w:r>
      <w:r>
        <w:rPr>
          <w:rFonts w:hint="eastAsia" w:ascii="Malgun Gothic" w:hAnsi="Malgun Gothic" w:eastAsia="Malgun Gothic"/>
          <w:color w:val="2F5597" w:themeColor="accent1" w:themeShade="BF"/>
          <w:sz w:val="28"/>
          <w:szCs w:val="28"/>
        </w:rPr>
        <w:t>/0</w:t>
      </w:r>
      <w:r>
        <w:rPr>
          <w:rFonts w:hint="eastAsia" w:ascii="Malgun Gothic" w:hAnsi="Malgun Gothic" w:eastAsia="宋体"/>
          <w:color w:val="2F5597" w:themeColor="accent1" w:themeShade="BF"/>
          <w:sz w:val="28"/>
          <w:szCs w:val="28"/>
          <w:lang w:val="en-US" w:eastAsia="zh-CN"/>
        </w:rPr>
        <w:t>8</w:t>
      </w:r>
      <w:r>
        <w:rPr>
          <w:rFonts w:hint="eastAsia" w:ascii="Malgun Gothic" w:hAnsi="Malgun Gothic" w:eastAsia="Malgun Gothic"/>
          <w:color w:val="2F5597" w:themeColor="accent1" w:themeShade="BF"/>
          <w:sz w:val="28"/>
          <w:szCs w:val="28"/>
        </w:rPr>
        <w:t>/</w:t>
      </w:r>
      <w:r>
        <w:rPr>
          <w:rFonts w:hint="eastAsia" w:ascii="Malgun Gothic" w:hAnsi="Malgun Gothic" w:eastAsia="宋体"/>
          <w:color w:val="2F5597" w:themeColor="accent1" w:themeShade="BF"/>
          <w:sz w:val="28"/>
          <w:szCs w:val="28"/>
          <w:lang w:val="en-US" w:eastAsia="zh-CN"/>
        </w:rPr>
        <w:t>13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kern w:val="0"/>
          <w:sz w:val="52"/>
          <w:szCs w:val="52"/>
        </w:rPr>
        <w:br w:type="page"/>
      </w:r>
    </w:p>
    <w:tbl>
      <w:tblPr>
        <w:tblStyle w:val="10"/>
        <w:tblpPr w:leftFromText="180" w:rightFromText="180" w:vertAnchor="page" w:horzAnchor="margin" w:tblpY="2335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478"/>
        <w:gridCol w:w="1714"/>
        <w:gridCol w:w="39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6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2F5496" w:themeFill="accent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4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F5496" w:themeFill="accent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171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F5496" w:themeFill="accent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  <w:tc>
          <w:tcPr>
            <w:tcW w:w="391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2F5496" w:themeFill="accent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修订原因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V1.0.0</w:t>
            </w:r>
          </w:p>
        </w:tc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/0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13</w:t>
            </w:r>
          </w:p>
        </w:tc>
        <w:tc>
          <w:tcPr>
            <w:tcW w:w="1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肖力全</w:t>
            </w:r>
          </w:p>
        </w:tc>
        <w:tc>
          <w:tcPr>
            <w:tcW w:w="3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初始版本</w:t>
            </w:r>
          </w:p>
        </w:tc>
      </w:tr>
    </w:tbl>
    <w:p>
      <w:pPr>
        <w:widowControl/>
        <w:ind w:firstLine="210" w:firstLineChars="100"/>
        <w:jc w:val="left"/>
        <w:rPr>
          <w:rFonts w:ascii="微软雅黑" w:hAnsi="微软雅黑" w:eastAsia="微软雅黑"/>
          <w:b/>
          <w:szCs w:val="24"/>
        </w:rPr>
      </w:pPr>
      <w:r>
        <w:rPr>
          <w:rFonts w:hint="eastAsia" w:ascii="微软雅黑" w:hAnsi="微软雅黑" w:eastAsia="微软雅黑"/>
          <w:b/>
          <w:szCs w:val="24"/>
        </w:rPr>
        <w:t>修订历史</w:t>
      </w:r>
    </w:p>
    <w:p>
      <w:pPr>
        <w:jc w:val="left"/>
        <w:rPr>
          <w:rFonts w:ascii="黑体" w:hAnsi="黑体" w:eastAsia="黑体"/>
          <w:b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  <w:r>
        <w:br w:type="page"/>
      </w:r>
    </w:p>
    <w:sdt>
      <w:sdtPr>
        <w:rPr>
          <w:rFonts w:hint="eastAsia" w:ascii="华文楷体" w:hAnsi="华文楷体" w:eastAsia="华文楷体"/>
          <w:b w:val="0"/>
          <w:bCs w:val="0"/>
          <w:kern w:val="2"/>
          <w:sz w:val="21"/>
          <w:szCs w:val="21"/>
          <w:lang w:val="zh-CN"/>
        </w:rPr>
        <w:id w:val="-1165006425"/>
        <w:docPartObj>
          <w:docPartGallery w:val="Table of Contents"/>
          <w:docPartUnique/>
        </w:docPartObj>
      </w:sdtPr>
      <w:sdtEndPr>
        <w:rPr>
          <w:rFonts w:hint="eastAsia" w:ascii="华文楷体" w:hAnsi="华文楷体" w:eastAsia="华文楷体"/>
          <w:b w:val="0"/>
          <w:bCs w:val="0"/>
          <w:kern w:val="0"/>
          <w:sz w:val="21"/>
          <w:szCs w:val="21"/>
          <w:lang w:val="zh-CN"/>
        </w:rPr>
      </w:sdtEndPr>
      <w:sdtContent>
        <w:p>
          <w:pPr>
            <w:pStyle w:val="26"/>
            <w:rPr>
              <w:rFonts w:ascii="华文楷体" w:hAnsi="华文楷体" w:eastAsia="华文楷体"/>
              <w:color w:val="0070C0"/>
            </w:rPr>
          </w:pPr>
          <w:r>
            <w:rPr>
              <w:rFonts w:hint="eastAsia" w:ascii="华文楷体" w:hAnsi="华文楷体" w:eastAsia="华文楷体"/>
              <w:color w:val="0070C0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/>
              <w:bCs/>
              <w:szCs w:val="21"/>
              <w:lang w:val="zh-CN"/>
            </w:rPr>
            <w:instrText xml:space="preserve"> </w:instrText>
          </w:r>
          <w:r>
            <w:rPr>
              <w:rFonts w:hint="eastAsia" w:ascii="华文楷体" w:hAnsi="华文楷体" w:eastAsia="华文楷体"/>
              <w:b/>
              <w:bCs/>
              <w:szCs w:val="21"/>
              <w:lang w:val="zh-CN"/>
            </w:rPr>
            <w:instrText xml:space="preserve">TOC \o "1-3" \h \z \u</w:instrText>
          </w:r>
          <w:r>
            <w:rPr>
              <w:rFonts w:ascii="华文楷体" w:hAnsi="华文楷体" w:eastAsia="华文楷体"/>
              <w:b/>
              <w:bCs/>
              <w:szCs w:val="21"/>
              <w:lang w:val="zh-CN"/>
            </w:rPr>
            <w:instrText xml:space="preserve"> </w:instrText>
          </w:r>
          <w:r>
            <w:rPr>
              <w:rFonts w:ascii="华文楷体" w:hAnsi="华文楷体" w:eastAsia="华文楷体"/>
              <w:b/>
              <w:bCs/>
              <w:szCs w:val="21"/>
              <w:lang w:val="zh-CN"/>
            </w:rPr>
            <w:fldChar w:fldCharType="separate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_Toc20734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t>协议介绍</w:t>
          </w:r>
          <w:r>
            <w:tab/>
          </w:r>
          <w:r>
            <w:fldChar w:fldCharType="begin"/>
          </w:r>
          <w:r>
            <w:instrText xml:space="preserve"> PAGEREF _Toc20734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_Toc19216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>1.1 适用范围</w:t>
          </w:r>
          <w:r>
            <w:tab/>
          </w:r>
          <w:r>
            <w:fldChar w:fldCharType="begin"/>
          </w:r>
          <w:r>
            <w:instrText xml:space="preserve"> PAGEREF _Toc19216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_Toc16428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通信参数</w:t>
          </w:r>
          <w:r>
            <w:tab/>
          </w:r>
          <w:r>
            <w:fldChar w:fldCharType="begin"/>
          </w:r>
          <w:r>
            <w:instrText xml:space="preserve"> PAGEREF _Toc16428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_Toc28495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协议特</w:t>
          </w:r>
          <w:r>
            <w:rPr>
              <w:rFonts w:hint="eastAsia"/>
            </w:rPr>
            <w:t>点</w:t>
          </w:r>
          <w:r>
            <w:tab/>
          </w:r>
          <w:r>
            <w:fldChar w:fldCharType="begin"/>
          </w:r>
          <w:r>
            <w:instrText xml:space="preserve"> PAGEREF _Toc28495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_Toc19763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1.4 </w:t>
          </w:r>
          <w:r>
            <w:t>校验计算</w:t>
          </w:r>
          <w:r>
            <w:tab/>
          </w:r>
          <w:r>
            <w:fldChar w:fldCharType="begin"/>
          </w:r>
          <w:r>
            <w:instrText xml:space="preserve"> PAGEREF _Toc19763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_Toc28046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1.5 </w:t>
          </w:r>
          <w:r>
            <w:t>ID说明</w:t>
          </w:r>
          <w:r>
            <w:tab/>
          </w:r>
          <w:r>
            <w:fldChar w:fldCharType="begin"/>
          </w:r>
          <w:r>
            <w:instrText xml:space="preserve"> PAGEREF _Toc28046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_Toc10908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1.6 </w:t>
          </w:r>
          <w:r>
            <w:t>其他说明</w:t>
          </w:r>
          <w:r>
            <w:tab/>
          </w:r>
          <w:r>
            <w:fldChar w:fldCharType="begin"/>
          </w:r>
          <w:r>
            <w:instrText xml:space="preserve"> PAGEREF _Toc10908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_Toc29826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t>通讯协议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_Toc16720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>1.7 A</w:t>
          </w:r>
          <w:r>
            <w:t>PP</w:t>
          </w:r>
          <w:r>
            <w:rPr>
              <w:rFonts w:hint="eastAsia"/>
            </w:rPr>
            <w:t>发送连接密码</w:t>
          </w:r>
          <w:r>
            <w:tab/>
          </w:r>
          <w:r>
            <w:fldChar w:fldCharType="begin"/>
          </w:r>
          <w:r>
            <w:instrText xml:space="preserve"> PAGEREF _Toc16720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_Toc4691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1.8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</w:rPr>
            <w:t>A</w:t>
          </w:r>
          <w:r>
            <w:t>PP</w:t>
          </w:r>
          <w:r>
            <w:rPr>
              <w:rFonts w:hint="eastAsia"/>
              <w:lang w:val="en-US" w:eastAsia="zh-CN"/>
            </w:rPr>
            <w:t>询问上一订单是否正常指令</w:t>
          </w:r>
          <w:r>
            <w:tab/>
          </w:r>
          <w:r>
            <w:fldChar w:fldCharType="begin"/>
          </w:r>
          <w:r>
            <w:instrText xml:space="preserve"> PAGEREF _Toc4691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_Toc5171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1.9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</w:rPr>
            <w:t>A</w:t>
          </w:r>
          <w:r>
            <w:t>PP</w:t>
          </w:r>
          <w:r>
            <w:rPr>
              <w:rFonts w:hint="eastAsia"/>
              <w:lang w:val="en-US" w:eastAsia="zh-CN"/>
            </w:rPr>
            <w:t>获取洗衣机状态指令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_Toc7753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1.10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</w:rPr>
            <w:t>A</w:t>
          </w:r>
          <w:r>
            <w:t>PP</w:t>
          </w:r>
          <w:r>
            <w:rPr>
              <w:rFonts w:hint="eastAsia"/>
            </w:rPr>
            <w:t>发送</w:t>
          </w:r>
          <w:r>
            <w:rPr>
              <w:rFonts w:hint="eastAsia"/>
              <w:lang w:val="en-US" w:eastAsia="zh-CN"/>
            </w:rPr>
            <w:t>选择的模式与订单编号</w:t>
          </w:r>
          <w:r>
            <w:rPr>
              <w:rFonts w:hint="eastAsia"/>
            </w:rPr>
            <w:t>指令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已支付成功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_Toc7753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_Toc17814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1.11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APP回复收到洗衣完成</w:t>
          </w:r>
          <w:r>
            <w:rPr>
              <w:rFonts w:hint="eastAsia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_Toc24816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2.0  Sensor回复</w:t>
          </w:r>
          <w:r>
            <w:rPr>
              <w:rFonts w:hint="eastAsia"/>
            </w:rPr>
            <w:t>连接密码</w:t>
          </w:r>
          <w:r>
            <w:rPr>
              <w:rFonts w:hint="eastAsia"/>
              <w:lang w:val="en-US" w:eastAsia="zh-CN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_Toc24816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_Toc30031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 Sensor回复上一订单是否正常指令包</w:t>
          </w:r>
          <w:r>
            <w:tab/>
          </w:r>
          <w:r>
            <w:fldChar w:fldCharType="begin"/>
          </w:r>
          <w:r>
            <w:instrText xml:space="preserve"> PAGEREF _Toc30031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_Toc30297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Sensor回复洗衣机状态指令</w:t>
          </w:r>
          <w:r>
            <w:tab/>
          </w:r>
          <w:r>
            <w:fldChar w:fldCharType="begin"/>
          </w:r>
          <w:r>
            <w:instrText xml:space="preserve"> PAGEREF _Toc30297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_Toc9334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 Sensor收到选择的模式后回复APP指令</w:t>
          </w:r>
          <w:r>
            <w:tab/>
          </w:r>
          <w:r>
            <w:fldChar w:fldCharType="begin"/>
          </w:r>
          <w:r>
            <w:instrText xml:space="preserve"> PAGEREF _Toc9334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_Toc863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 Sensor发送洗衣完成指令</w:t>
          </w:r>
          <w:r>
            <w:tab/>
          </w:r>
          <w:r>
            <w:fldChar w:fldCharType="begin"/>
          </w:r>
          <w:r>
            <w:instrText xml:space="preserve"> PAGEREF _Toc863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_Toc29716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BLE回复通知MCU APP端断开指令</w:t>
          </w:r>
          <w:r>
            <w:tab/>
          </w:r>
          <w:r>
            <w:fldChar w:fldCharType="begin"/>
          </w:r>
          <w:r>
            <w:instrText xml:space="preserve"> PAGEREF _Toc29716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begin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instrText xml:space="preserve"> HYPERLINK \l _Toc24090 </w:instrText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Sensor给蓝牙发送支付超时断开指令</w:t>
          </w:r>
          <w:r>
            <w:tab/>
          </w:r>
          <w:r>
            <w:fldChar w:fldCharType="begin"/>
          </w:r>
          <w:r>
            <w:instrText xml:space="preserve"> PAGEREF _Toc24090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="华文楷体"/>
            </w:rPr>
          </w:pPr>
          <w:r>
            <w:rPr>
              <w:rFonts w:ascii="华文楷体" w:hAnsi="华文楷体" w:eastAsia="华文楷体"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spacing w:before="100" w:beforeAutospacing="1" w:after="100" w:afterAutospacing="1"/>
        <w:jc w:val="left"/>
        <w:rPr>
          <w:rFonts w:ascii="黑体" w:hAnsi="黑体" w:eastAsia="黑体"/>
          <w:b/>
          <w:kern w:val="0"/>
          <w:sz w:val="52"/>
          <w:szCs w:val="5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3"/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bookmarkEnd w:id="0"/>
    <w:p>
      <w:pPr>
        <w:pStyle w:val="13"/>
      </w:pPr>
      <w:bookmarkStart w:id="1" w:name="_Toc20734"/>
      <w:r>
        <w:t>协议介绍</w:t>
      </w:r>
      <w:bookmarkEnd w:id="1"/>
    </w:p>
    <w:p>
      <w:pPr>
        <w:pStyle w:val="15"/>
      </w:pPr>
      <w:bookmarkStart w:id="2" w:name="_Toc19216"/>
      <w:r>
        <w:rPr>
          <w:rFonts w:hint="eastAsia"/>
        </w:rPr>
        <w:t>适用范围</w:t>
      </w:r>
      <w:bookmarkEnd w:id="2"/>
    </w:p>
    <w:p>
      <w:pPr>
        <w:pStyle w:val="14"/>
      </w:pPr>
      <w:r>
        <w:rPr>
          <w:rFonts w:hint="eastAsia"/>
        </w:rPr>
        <w:t>本文档适用于无线</w:t>
      </w:r>
      <w:r>
        <w:t>Sensor与手机</w:t>
      </w:r>
      <w:r>
        <w:rPr>
          <w:rFonts w:hint="eastAsia"/>
        </w:rPr>
        <w:t>客户端</w:t>
      </w:r>
      <w:r>
        <w:t>进行命令/数据交互的通信协议。</w:t>
      </w:r>
    </w:p>
    <w:p>
      <w:pPr>
        <w:pStyle w:val="14"/>
      </w:pPr>
      <w:r>
        <w:t>用户使用手机客户端通过蓝牙与无线Sensor（从机模式）进行通信</w:t>
      </w:r>
      <w:r>
        <w:rPr>
          <w:rFonts w:hint="eastAsia"/>
        </w:rPr>
        <w:t>。</w:t>
      </w:r>
      <w:r>
        <w:t xml:space="preserve"> </w:t>
      </w:r>
    </w:p>
    <w:p>
      <w:pPr>
        <w:pStyle w:val="14"/>
      </w:pPr>
      <w:r>
        <w:rPr>
          <w:rFonts w:hint="eastAsia"/>
        </w:rPr>
        <w:t>物理层每次接收的数据是</w:t>
      </w:r>
      <w:r>
        <w:t xml:space="preserve"> 8 位原始数据，需要制定通信协议来确定数据传输的开始与结束、以及校验数据的准确性。通信协议一般需要包括数据包的包头、数据负载、负载校验和等，来保证数据的准确传输</w:t>
      </w:r>
      <w:r>
        <w:rPr>
          <w:rFonts w:hint="eastAsia"/>
        </w:rPr>
        <w:t>。</w:t>
      </w:r>
    </w:p>
    <w:p>
      <w:pPr>
        <w:pStyle w:val="15"/>
      </w:pPr>
      <w:bookmarkStart w:id="3" w:name="_Toc9175259"/>
      <w:bookmarkStart w:id="4" w:name="_Toc16428"/>
      <w:r>
        <w:t>通信参数</w:t>
      </w:r>
      <w:bookmarkEnd w:id="3"/>
      <w:bookmarkEnd w:id="4"/>
    </w:p>
    <w:p>
      <w:pPr>
        <w:pStyle w:val="14"/>
      </w:pPr>
      <w:r>
        <w:rPr>
          <w:rFonts w:hint="eastAsia"/>
        </w:rPr>
        <w:t>●</w:t>
      </w:r>
      <w:r>
        <w:tab/>
      </w:r>
      <w:r>
        <w:t>Service UUID：</w:t>
      </w:r>
      <w:r>
        <w:rPr>
          <w:rFonts w:hint="eastAsia"/>
        </w:rPr>
        <w:t xml:space="preserve"> 6</w:t>
      </w:r>
      <w:r>
        <w:t>E400001-B5A3-F393-E0A9-E50E24DCCA9E</w:t>
      </w:r>
    </w:p>
    <w:p>
      <w:pPr>
        <w:pStyle w:val="14"/>
      </w:pPr>
      <w:r>
        <w:rPr>
          <w:rFonts w:hint="eastAsia"/>
        </w:rPr>
        <w:t>●</w:t>
      </w:r>
      <w:r>
        <w:tab/>
      </w:r>
      <w:r>
        <w:t>读（指令）端口 Characteristic UUID：</w:t>
      </w:r>
    </w:p>
    <w:p>
      <w:pPr>
        <w:pStyle w:val="14"/>
      </w:pPr>
      <w:r>
        <w:rPr>
          <w:rFonts w:hint="eastAsia"/>
        </w:rPr>
        <w:t>6</w:t>
      </w:r>
      <w:r>
        <w:t>E400003-B5A3-F393-E0A9-E50E24DCCA9E</w:t>
      </w:r>
    </w:p>
    <w:p>
      <w:pPr>
        <w:pStyle w:val="14"/>
      </w:pPr>
      <w:r>
        <w:rPr>
          <w:rFonts w:hint="eastAsia"/>
        </w:rPr>
        <w:t>●</w:t>
      </w:r>
      <w:r>
        <w:tab/>
      </w:r>
      <w:r>
        <w:t>写（指令）端口 Characteristic UUID：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6</w:t>
      </w:r>
      <w:r>
        <w:t>E400002-B5A3-F393-E0A9-E50E24DCCA9E</w:t>
      </w:r>
    </w:p>
    <w:p>
      <w:pPr>
        <w:pStyle w:val="15"/>
      </w:pPr>
      <w:bookmarkStart w:id="5" w:name="_Toc28495"/>
      <w:bookmarkStart w:id="6" w:name="_Toc9175264"/>
      <w:r>
        <w:t>协议特</w:t>
      </w:r>
      <w:r>
        <w:rPr>
          <w:rFonts w:hint="eastAsia"/>
        </w:rPr>
        <w:t>点</w:t>
      </w:r>
      <w:bookmarkEnd w:id="5"/>
      <w:bookmarkEnd w:id="6"/>
      <w:r>
        <w:tab/>
      </w:r>
    </w:p>
    <w:p>
      <w:pPr>
        <w:pStyle w:val="14"/>
      </w:pPr>
      <w:r>
        <w:t>1.</w:t>
      </w:r>
      <w:r>
        <w:tab/>
      </w:r>
      <w:r>
        <w:t>协议指令不定长；</w:t>
      </w:r>
    </w:p>
    <w:p>
      <w:pPr>
        <w:pStyle w:val="14"/>
      </w:pPr>
      <w:r>
        <w:t>2.</w:t>
      </w:r>
      <w:r>
        <w:tab/>
      </w:r>
      <w:r>
        <w:t>协议指令由包头、负载帧长、负载帧、校验组成；</w:t>
      </w:r>
    </w:p>
    <w:p>
      <w:pPr>
        <w:pStyle w:val="14"/>
      </w:pPr>
      <w:r>
        <w:t>3.</w:t>
      </w:r>
      <w:r>
        <w:tab/>
      </w:r>
      <w:r>
        <w:t>所有通信下行指令都有对应的上行指令；</w:t>
      </w:r>
    </w:p>
    <w:p>
      <w:pPr>
        <w:pStyle w:val="14"/>
      </w:pPr>
      <w:r>
        <w:t>4.</w:t>
      </w:r>
      <w:r>
        <w:tab/>
      </w:r>
      <w:r>
        <w:t>命令中的参数使用小端模式。</w:t>
      </w:r>
    </w:p>
    <w:p>
      <w:pPr>
        <w:pStyle w:val="15"/>
      </w:pPr>
      <w:bookmarkStart w:id="7" w:name="_Toc19763"/>
      <w:bookmarkStart w:id="8" w:name="_Toc9175265"/>
      <w:r>
        <w:t>校验计算</w:t>
      </w:r>
      <w:bookmarkEnd w:id="7"/>
      <w:bookmarkEnd w:id="8"/>
    </w:p>
    <w:p>
      <w:pPr>
        <w:pStyle w:val="14"/>
      </w:pPr>
      <w:r>
        <w:t>1.通信协议中，发送端校验计算方法如下：</w:t>
      </w:r>
    </w:p>
    <w:p>
      <w:pPr>
        <w:pStyle w:val="14"/>
      </w:pPr>
      <w:r>
        <w:rPr>
          <w:rFonts w:hint="eastAsia"/>
        </w:rPr>
        <w:t>●将负载帧（</w:t>
      </w:r>
      <w:r>
        <w:t>Payload）中的所有内容按照字节（8位）的方式逐字节相加，得到一个结果R（8位）；</w:t>
      </w:r>
    </w:p>
    <w:p>
      <w:pPr>
        <w:pStyle w:val="14"/>
      </w:pPr>
      <w:r>
        <w:rPr>
          <w:rFonts w:hint="eastAsia"/>
        </w:rPr>
        <w:t>●对结果（</w:t>
      </w:r>
      <w:r>
        <w:t>8位）求二补数，存入校验字节中。</w:t>
      </w:r>
    </w:p>
    <w:p>
      <w:pPr>
        <w:pStyle w:val="14"/>
      </w:pPr>
      <w:r>
        <w:rPr>
          <w:rFonts w:hint="eastAsia"/>
        </w:rPr>
        <w:t>二补数：</w:t>
      </w:r>
      <w:r>
        <w:t>Two’s complement。对于一个N位的数字，其二补数等于</w:t>
      </w:r>
      <w:r>
        <w:rPr>
          <w:color w:val="FF0000"/>
        </w:rPr>
        <w:t>0xFF</w:t>
      </w:r>
      <w:r>
        <w:t>减去该数。在本协议中，假设上述的结果R为0x0A，其二补数也即上述的校验结果等于（</w:t>
      </w:r>
      <w:r>
        <w:rPr>
          <w:rFonts w:hint="eastAsia"/>
          <w:color w:val="FF0000"/>
        </w:rPr>
        <w:t>0xFF</w:t>
      </w:r>
      <w:r>
        <w:t>-0x0A）=（</w:t>
      </w:r>
      <w:r>
        <w:rPr>
          <w:color w:val="FF0000"/>
        </w:rPr>
        <w:t>25</w:t>
      </w:r>
      <w:r>
        <w:rPr>
          <w:rFonts w:hint="eastAsia"/>
          <w:color w:val="FF0000"/>
        </w:rPr>
        <w:t>5</w:t>
      </w:r>
      <w:r>
        <w:t xml:space="preserve">-10）= </w:t>
      </w:r>
      <w:r>
        <w:rPr>
          <w:color w:val="FF0000"/>
        </w:rPr>
        <w:t>24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</w:t>
      </w:r>
      <w:r>
        <w:t xml:space="preserve">= </w:t>
      </w:r>
      <w:r>
        <w:rPr>
          <w:color w:val="FF0000"/>
        </w:rPr>
        <w:t>0xF</w:t>
      </w:r>
      <w:r>
        <w:rPr>
          <w:rFonts w:hint="eastAsia"/>
          <w:color w:val="FF0000"/>
        </w:rPr>
        <w:t>5</w:t>
      </w:r>
      <w:r>
        <w:t>。</w:t>
      </w:r>
    </w:p>
    <w:p/>
    <w:p>
      <w:pPr>
        <w:pStyle w:val="14"/>
      </w:pPr>
      <w:r>
        <w:t>2.在接收端，校验一帧数据是否正确的方法是：</w:t>
      </w:r>
    </w:p>
    <w:p>
      <w:pPr>
        <w:pStyle w:val="14"/>
      </w:pPr>
      <w:r>
        <w:rPr>
          <w:rFonts w:hint="eastAsia"/>
        </w:rPr>
        <w:t>●将负载帧（</w:t>
      </w:r>
      <w:r>
        <w:t>Payload）中的所有内容按照字节（8位）的方式逐字节相加，得到一个结果A；</w:t>
      </w:r>
    </w:p>
    <w:p>
      <w:pPr>
        <w:pStyle w:val="14"/>
      </w:pPr>
      <w:r>
        <w:rPr>
          <w:rFonts w:hint="eastAsia"/>
        </w:rPr>
        <w:t>●结果</w:t>
      </w:r>
      <w:r>
        <w:t>A与校验字节相加，如果等于</w:t>
      </w:r>
      <w:r>
        <w:rPr>
          <w:color w:val="FF0000"/>
        </w:rPr>
        <w:t>0xFF</w:t>
      </w:r>
      <w:r>
        <w:t>，则说明校验正确。</w:t>
      </w:r>
    </w:p>
    <w:p>
      <w:pPr>
        <w:pStyle w:val="15"/>
      </w:pPr>
      <w:bookmarkStart w:id="9" w:name="_Toc28046"/>
      <w:r>
        <w:t>ID说明</w:t>
      </w:r>
      <w:bookmarkEnd w:id="9"/>
    </w:p>
    <w:tbl>
      <w:tblPr>
        <w:tblStyle w:val="10"/>
        <w:tblW w:w="8755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8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4"/>
            </w:pPr>
            <w:r>
              <w:rPr>
                <w:rFonts w:hint="eastAsia"/>
              </w:rPr>
              <w:t>ID名称</w:t>
            </w:r>
          </w:p>
        </w:tc>
        <w:tc>
          <w:tcPr>
            <w:tcW w:w="2088" w:type="dxa"/>
          </w:tcPr>
          <w:p>
            <w:pPr>
              <w:pStyle w:val="14"/>
            </w:pPr>
            <w:r>
              <w:rPr>
                <w:rFonts w:hint="eastAsia"/>
              </w:rPr>
              <w:t>长度（B</w:t>
            </w:r>
            <w:r>
              <w:t>yte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>
            <w:pPr>
              <w:pStyle w:val="14"/>
            </w:pPr>
            <w:r>
              <w:rPr>
                <w:rFonts w:hint="eastAsia"/>
              </w:rPr>
              <w:t>可兼容最大设备、指令数量（个）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4"/>
            </w:pPr>
            <w:r>
              <w:rPr>
                <w:rFonts w:hint="eastAsia"/>
              </w:rPr>
              <w:t>指令ID</w:t>
            </w:r>
          </w:p>
        </w:tc>
        <w:tc>
          <w:tcPr>
            <w:tcW w:w="2088" w:type="dxa"/>
          </w:tcPr>
          <w:p>
            <w:pPr>
              <w:pStyle w:val="14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>
            <w:pPr>
              <w:pStyle w:val="14"/>
            </w:pPr>
            <w:r>
              <w:rPr>
                <w:rFonts w:hint="eastAsia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4"/>
            </w:pPr>
            <w:r>
              <w:rPr>
                <w:rFonts w:hint="eastAsia"/>
              </w:rPr>
              <w:t>Sensor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>
            <w:pPr>
              <w:pStyle w:val="14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>
            <w:pPr>
              <w:pStyle w:val="14"/>
            </w:pPr>
            <w:r>
              <w:t>16,777,215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4"/>
            </w:pPr>
            <w:r>
              <w:t xml:space="preserve">Sub machine </w:t>
            </w:r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>
            <w:pPr>
              <w:pStyle w:val="14"/>
            </w:pP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>
            <w:pPr>
              <w:pStyle w:val="14"/>
            </w:pPr>
            <w:r>
              <w:t>16,777,215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4"/>
            </w:pPr>
            <w:r>
              <w:t xml:space="preserve">Mother machine </w:t>
            </w:r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>
            <w:pPr>
              <w:pStyle w:val="14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>
            <w:pPr>
              <w:pStyle w:val="14"/>
            </w:pPr>
            <w:r>
              <w:t>65,535</w:t>
            </w:r>
          </w:p>
        </w:tc>
      </w:tr>
    </w:tbl>
    <w:p>
      <w:pPr>
        <w:pStyle w:val="14"/>
      </w:pPr>
      <w:r>
        <w:rPr>
          <w:rFonts w:hint="eastAsia"/>
        </w:rPr>
        <w:t>通过分类，将不同设备通信协议</w:t>
      </w:r>
      <w:r>
        <w:t>ID分成表1中的几大项：</w:t>
      </w:r>
    </w:p>
    <w:p>
      <w:pPr>
        <w:pStyle w:val="14"/>
      </w:pPr>
      <w:r>
        <w:rPr>
          <w:rFonts w:hint="eastAsia"/>
        </w:rPr>
        <w:t>指令ID说明</w:t>
      </w:r>
    </w:p>
    <w:tbl>
      <w:tblPr>
        <w:tblStyle w:val="10"/>
        <w:tblW w:w="743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843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设备项划分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ID区间</w:t>
            </w:r>
          </w:p>
        </w:tc>
        <w:tc>
          <w:tcPr>
            <w:tcW w:w="191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可用ID个数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华文楷体" w:hAnsi="华文楷体"/>
                <w:b/>
                <w:bCs/>
              </w:rPr>
              <w:t xml:space="preserve">Sensor  &gt;&gt; </w:t>
            </w:r>
            <w:r>
              <w:rPr>
                <w:rFonts w:hint="eastAsia"/>
                <w:b/>
              </w:rPr>
              <w:t>手机端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0x8</w:t>
            </w:r>
            <w:r>
              <w:rPr>
                <w:b/>
              </w:rPr>
              <w:t>1-0x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0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华文楷体" w:hAnsi="华文楷体"/>
                <w:b/>
                <w:bCs/>
              </w:rPr>
              <w:t xml:space="preserve">Sensor  &lt;&lt; </w:t>
            </w:r>
            <w:r>
              <w:rPr>
                <w:rFonts w:hint="eastAsia"/>
                <w:b/>
              </w:rPr>
              <w:t>手机端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0xA1-0xC0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</w:tbl>
    <w:p>
      <w:pPr>
        <w:pStyle w:val="14"/>
      </w:pP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ID说明</w:t>
      </w:r>
    </w:p>
    <w:p>
      <w:r>
        <w:rPr>
          <w:rFonts w:hint="eastAsia"/>
        </w:rPr>
        <w:t>(</w:t>
      </w:r>
      <w:r>
        <w:rPr>
          <w:rFonts w:hint="eastAsia"/>
          <w:color w:val="FF0000"/>
        </w:rPr>
        <w:t>待添加</w:t>
      </w:r>
      <w:r>
        <w:t>)</w:t>
      </w:r>
    </w:p>
    <w:p>
      <w:pPr>
        <w:pStyle w:val="14"/>
      </w:pPr>
      <w:r>
        <w:t xml:space="preserve">Sub machine </w:t>
      </w:r>
      <w:r>
        <w:rPr>
          <w:rFonts w:hint="eastAsia"/>
        </w:rPr>
        <w:t>ID说明</w:t>
      </w:r>
    </w:p>
    <w:p>
      <w:r>
        <w:t>(</w:t>
      </w:r>
      <w:r>
        <w:rPr>
          <w:color w:val="FF0000"/>
        </w:rPr>
        <w:t>待添加</w:t>
      </w:r>
      <w:r>
        <w:t>)</w:t>
      </w:r>
    </w:p>
    <w:p>
      <w:pPr>
        <w:pStyle w:val="14"/>
      </w:pPr>
      <w:r>
        <w:t xml:space="preserve">Mother machine </w:t>
      </w:r>
      <w:r>
        <w:rPr>
          <w:rFonts w:hint="eastAsia"/>
        </w:rPr>
        <w:t>ID说明</w:t>
      </w:r>
    </w:p>
    <w:p>
      <w:r>
        <w:t>(</w:t>
      </w:r>
      <w:r>
        <w:rPr>
          <w:color w:val="FF0000"/>
        </w:rPr>
        <w:t>待添加</w:t>
      </w:r>
      <w:r>
        <w:t>)</w:t>
      </w:r>
    </w:p>
    <w:p>
      <w:pPr>
        <w:pStyle w:val="15"/>
      </w:pPr>
      <w:bookmarkStart w:id="10" w:name="_Toc9175267"/>
      <w:bookmarkStart w:id="11" w:name="_Toc10908"/>
      <w:r>
        <w:t>其他说明</w:t>
      </w:r>
      <w:bookmarkEnd w:id="10"/>
      <w:bookmarkEnd w:id="11"/>
    </w:p>
    <w:p>
      <w:pPr>
        <w:pStyle w:val="14"/>
      </w:pPr>
      <w:r>
        <w:rPr>
          <w:rFonts w:hint="eastAsia"/>
        </w:rPr>
        <w:t>数据包头（Header）长度2字节，统一使用0x</w:t>
      </w:r>
      <w:r>
        <w:t>AA 0xAA</w:t>
      </w:r>
    </w:p>
    <w:p>
      <w:pPr>
        <w:pStyle w:val="14"/>
      </w:pPr>
      <w:r>
        <w:rPr>
          <w:rFonts w:hint="eastAsia"/>
        </w:rPr>
        <w:t>数据包长度（Len）：长度1字节，数据包长度上限为255字节</w:t>
      </w:r>
    </w:p>
    <w:p>
      <w:pPr>
        <w:pStyle w:val="14"/>
      </w:pPr>
      <w:r>
        <w:rPr>
          <w:rFonts w:hint="eastAsia"/>
        </w:rPr>
        <w:t>校验位（</w:t>
      </w:r>
      <w:r>
        <w:t>Checksum</w:t>
      </w:r>
      <w:r>
        <w:rPr>
          <w:rFonts w:hint="eastAsia"/>
        </w:rPr>
        <w:t>）：长度1字节，具体计算参照上文</w:t>
      </w:r>
      <w:r>
        <w:rPr>
          <w:rFonts w:hint="eastAsia"/>
          <w:b/>
        </w:rPr>
        <w:t>校验计算</w:t>
      </w:r>
      <w:r>
        <w:rPr>
          <w:rFonts w:hint="eastAsia"/>
        </w:rPr>
        <w:t>章节</w:t>
      </w:r>
    </w:p>
    <w:p>
      <w:pPr>
        <w:pStyle w:val="1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连接密码（</w:t>
      </w:r>
      <w:r>
        <w:t>Password）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长度6字节，默认</w:t>
      </w:r>
      <w:r>
        <w:t>”</w:t>
      </w:r>
      <w:r>
        <w:rPr>
          <w:rFonts w:hint="eastAsia"/>
        </w:rPr>
        <w:t>123456</w:t>
      </w:r>
      <w:r>
        <w:t>”</w:t>
      </w:r>
    </w:p>
    <w:p>
      <w:pPr>
        <w:pStyle w:val="13"/>
      </w:pPr>
      <w:r>
        <w:br w:type="page"/>
      </w:r>
      <w:bookmarkStart w:id="12" w:name="_Toc9175258"/>
      <w:bookmarkStart w:id="13" w:name="_Toc29826"/>
      <w:r>
        <w:t>通讯协议</w:t>
      </w:r>
      <w:bookmarkEnd w:id="12"/>
      <w:bookmarkEnd w:id="13"/>
    </w:p>
    <w:p>
      <w:pPr>
        <w:pStyle w:val="15"/>
      </w:pPr>
      <w:bookmarkStart w:id="14" w:name="_Toc16720"/>
      <w:r>
        <w:rPr>
          <w:rFonts w:hint="eastAsia"/>
        </w:rPr>
        <w:t>A</w:t>
      </w:r>
      <w:r>
        <w:t>PP</w:t>
      </w:r>
      <w:r>
        <w:rPr>
          <w:rFonts w:hint="eastAsia"/>
        </w:rPr>
        <w:t>发送连接密码</w:t>
      </w:r>
      <w:bookmarkEnd w:id="14"/>
    </w:p>
    <w:p>
      <w:pPr>
        <w:pStyle w:val="22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发送连接密码</w:t>
      </w:r>
      <w:r>
        <w:t>指令包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1994"/>
        <w:gridCol w:w="2259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Password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(6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0xA1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“123456”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5"/>
        <w:numPr>
          <w:ilvl w:val="1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rPr>
          <w:rFonts w:hint="default" w:eastAsia="黑体"/>
          <w:lang w:val="en-US" w:eastAsia="zh-CN"/>
        </w:rPr>
      </w:pPr>
      <w:bookmarkStart w:id="15" w:name="_Toc4691"/>
      <w:r>
        <w:rPr>
          <w:rFonts w:hint="eastAsia"/>
          <w:lang w:val="en-US" w:eastAsia="zh-CN"/>
        </w:rPr>
        <w:t xml:space="preserve">1.8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  <w:lang w:val="en-US" w:eastAsia="zh-CN"/>
        </w:rPr>
        <w:t>询问上一订单是否正常指令</w:t>
      </w:r>
      <w:bookmarkEnd w:id="15"/>
    </w:p>
    <w:p>
      <w:pPr>
        <w:pStyle w:val="22"/>
      </w:pPr>
      <w:r>
        <w:rPr>
          <w:rFonts w:hint="eastAsia"/>
        </w:rPr>
        <w:t>A</w:t>
      </w:r>
      <w:r>
        <w:t>PP</w:t>
      </w:r>
      <w:r>
        <w:rPr>
          <w:rFonts w:hint="eastAsia"/>
          <w:lang w:val="en-US" w:eastAsia="zh-CN"/>
        </w:rPr>
        <w:t>询问上一订单是否正常</w:t>
      </w:r>
      <w:r>
        <w:rPr>
          <w:rFonts w:hint="eastAsia"/>
        </w:rPr>
        <w:t>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59"/>
        <w:gridCol w:w="411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Len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Checksum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rPr>
          <w:rFonts w:hint="default" w:eastAsia="黑体"/>
          <w:lang w:val="en-US" w:eastAsia="zh-CN"/>
        </w:rPr>
      </w:pPr>
      <w:bookmarkStart w:id="16" w:name="_Toc5171"/>
      <w:r>
        <w:rPr>
          <w:rFonts w:hint="eastAsia"/>
          <w:lang w:val="en-US" w:eastAsia="zh-CN"/>
        </w:rPr>
        <w:t xml:space="preserve">1.9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  <w:lang w:val="en-US" w:eastAsia="zh-CN"/>
        </w:rPr>
        <w:t>获取洗衣机状态指令</w:t>
      </w:r>
      <w:bookmarkEnd w:id="16"/>
    </w:p>
    <w:p>
      <w:pPr>
        <w:pStyle w:val="22"/>
      </w:pPr>
      <w:r>
        <w:rPr>
          <w:rFonts w:hint="eastAsia"/>
        </w:rPr>
        <w:t>A</w:t>
      </w:r>
      <w:r>
        <w:t>PP</w:t>
      </w:r>
      <w:r>
        <w:rPr>
          <w:rFonts w:hint="eastAsia"/>
          <w:lang w:val="en-US" w:eastAsia="zh-CN"/>
        </w:rPr>
        <w:t>获取洗衣机状态</w:t>
      </w:r>
      <w:r>
        <w:rPr>
          <w:rFonts w:hint="eastAsia"/>
        </w:rPr>
        <w:t>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59"/>
        <w:gridCol w:w="411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Len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Checksum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15"/>
        <w:numPr>
          <w:ilvl w:val="1"/>
          <w:numId w:val="0"/>
        </w:numPr>
        <w:rPr>
          <w:rFonts w:hint="eastAsia" w:eastAsia="黑体"/>
          <w:lang w:eastAsia="zh-CN"/>
        </w:rPr>
      </w:pPr>
      <w:bookmarkStart w:id="17" w:name="_Toc7753"/>
      <w:r>
        <w:rPr>
          <w:rFonts w:hint="eastAsia"/>
          <w:lang w:val="en-US" w:eastAsia="zh-CN"/>
        </w:rPr>
        <w:t xml:space="preserve">1.10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选择的模式</w:t>
      </w:r>
      <w:bookmarkStart w:id="18" w:name="OLE_LINK1"/>
      <w:r>
        <w:rPr>
          <w:rFonts w:hint="eastAsia"/>
          <w:lang w:val="en-US" w:eastAsia="zh-CN"/>
        </w:rPr>
        <w:t>与订单编号</w:t>
      </w:r>
      <w:bookmarkEnd w:id="18"/>
      <w:r>
        <w:rPr>
          <w:rFonts w:hint="eastAsia"/>
        </w:rPr>
        <w:t>指令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已支付成功</w:t>
      </w:r>
      <w:r>
        <w:rPr>
          <w:rFonts w:hint="eastAsia"/>
          <w:lang w:eastAsia="zh-CN"/>
        </w:rPr>
        <w:t>）</w:t>
      </w:r>
      <w:bookmarkEnd w:id="17"/>
    </w:p>
    <w:p>
      <w:pPr>
        <w:pStyle w:val="22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选择的模式与订单编号（已支付成功）</w:t>
      </w:r>
      <w:r>
        <w:rPr>
          <w:rFonts w:hint="eastAsia"/>
        </w:rPr>
        <w:t>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59"/>
        <w:gridCol w:w="1370"/>
        <w:gridCol w:w="1370"/>
        <w:gridCol w:w="137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Len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Checksum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1 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0E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5"/>
                <w:szCs w:val="18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模式一</w:t>
            </w:r>
            <w:r>
              <w:rPr>
                <w:rFonts w:hint="eastAsia" w:eastAsiaTheme="minorHAnsi"/>
                <w:sz w:val="15"/>
                <w:szCs w:val="18"/>
              </w:rPr>
              <w:t>：0x00</w:t>
            </w:r>
          </w:p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模式二</w:t>
            </w:r>
            <w:r>
              <w:rPr>
                <w:rFonts w:hint="eastAsia" w:eastAsiaTheme="minorHAnsi"/>
                <w:sz w:val="15"/>
                <w:szCs w:val="18"/>
              </w:rPr>
              <w:t>：0x01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0x0000000000000000</w:t>
            </w:r>
          </w:p>
          <w:p>
            <w:pPr>
              <w:jc w:val="center"/>
              <w:rPr>
                <w:rFonts w:hint="eastAsia" w:eastAsiaTheme="minorHAnsi"/>
                <w:sz w:val="15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~0x7fffffffffffffff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</w:pPr>
    </w:p>
    <w:p>
      <w:pPr>
        <w:pStyle w:val="15"/>
        <w:numPr>
          <w:ilvl w:val="1"/>
          <w:numId w:val="0"/>
        </w:numPr>
        <w:rPr>
          <w:rFonts w:hint="default" w:eastAsia="黑体"/>
          <w:lang w:val="en-US" w:eastAsia="zh-CN"/>
        </w:rPr>
      </w:pPr>
      <w:bookmarkStart w:id="19" w:name="_Toc17814"/>
      <w:r>
        <w:rPr>
          <w:rFonts w:hint="eastAsia"/>
          <w:lang w:val="en-US" w:eastAsia="zh-CN"/>
        </w:rPr>
        <w:t xml:space="preserve">1.11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APP回复收到洗衣完成</w:t>
      </w:r>
      <w:r>
        <w:rPr>
          <w:rFonts w:hint="eastAsia"/>
        </w:rPr>
        <w:t>指令</w:t>
      </w:r>
      <w:bookmarkEnd w:id="19"/>
    </w:p>
    <w:p>
      <w:pPr>
        <w:pStyle w:val="22"/>
      </w:pPr>
      <w:r>
        <w:rPr>
          <w:rFonts w:hint="eastAsia"/>
        </w:rPr>
        <w:t>A</w:t>
      </w:r>
      <w:r>
        <w:t>PP</w:t>
      </w:r>
      <w:r>
        <w:rPr>
          <w:rFonts w:hint="eastAsia"/>
          <w:lang w:val="en-US" w:eastAsia="zh-CN"/>
        </w:rPr>
        <w:t>回复收到洗衣完成</w:t>
      </w:r>
      <w:r>
        <w:rPr>
          <w:rFonts w:hint="eastAsia"/>
        </w:rPr>
        <w:t>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59"/>
        <w:gridCol w:w="411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Len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Checksum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0" w:name="_Toc24816"/>
      <w:r>
        <w:rPr>
          <w:rFonts w:hint="eastAsia"/>
          <w:lang w:val="en-US" w:eastAsia="zh-CN"/>
        </w:rPr>
        <w:t>2.0  Sensor回复</w:t>
      </w:r>
      <w:r>
        <w:rPr>
          <w:rFonts w:hint="eastAsia"/>
        </w:rPr>
        <w:t>连接密码</w:t>
      </w:r>
      <w:r>
        <w:rPr>
          <w:rFonts w:hint="eastAsia"/>
          <w:lang w:val="en-US" w:eastAsia="zh-CN"/>
        </w:rPr>
        <w:t>指令</w:t>
      </w:r>
      <w:bookmarkEnd w:id="20"/>
    </w:p>
    <w:p>
      <w:pPr>
        <w:pStyle w:val="22"/>
      </w:pPr>
      <w:r>
        <w:rPr>
          <w:rFonts w:hint="eastAsia"/>
          <w:lang w:val="en-US" w:eastAsia="zh-CN"/>
        </w:rPr>
        <w:t>Sensor回复链接密码指令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1843"/>
        <w:gridCol w:w="241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5"/>
                <w:szCs w:val="18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正确</w:t>
            </w:r>
            <w:r>
              <w:rPr>
                <w:rFonts w:hint="eastAsia" w:eastAsiaTheme="minorHAnsi"/>
                <w:sz w:val="15"/>
                <w:szCs w:val="18"/>
              </w:rPr>
              <w:t>：0x00</w:t>
            </w:r>
          </w:p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错误</w:t>
            </w:r>
            <w:r>
              <w:rPr>
                <w:rFonts w:hint="eastAsia" w:eastAsiaTheme="minorHAnsi"/>
                <w:sz w:val="15"/>
                <w:szCs w:val="18"/>
              </w:rPr>
              <w:t>：0x01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1" w:name="_Toc30031"/>
      <w:r>
        <w:rPr>
          <w:rFonts w:hint="eastAsia"/>
          <w:lang w:val="en-US" w:eastAsia="zh-CN"/>
        </w:rPr>
        <w:t>2.1  Sensor回复上一订单是否正常指令包</w:t>
      </w:r>
      <w:bookmarkEnd w:id="21"/>
    </w:p>
    <w:p>
      <w:pPr>
        <w:pStyle w:val="22"/>
      </w:pPr>
      <w:r>
        <w:rPr>
          <w:rFonts w:hint="eastAsia"/>
          <w:lang w:val="en-US" w:eastAsia="zh-CN"/>
        </w:rPr>
        <w:t>Sensor回复上一订单是否正常指令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1417"/>
        <w:gridCol w:w="1417"/>
        <w:gridCol w:w="1419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1 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正常：0x00</w:t>
            </w:r>
          </w:p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异常：0x01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0x0000000000000000</w:t>
            </w:r>
          </w:p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~0x7fffffffffffffff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5"/>
        <w:numPr>
          <w:ilvl w:val="1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rPr>
          <w:rFonts w:hint="eastAsia" w:eastAsia="黑体"/>
          <w:lang w:eastAsia="zh-CN"/>
        </w:rPr>
      </w:pPr>
      <w:bookmarkStart w:id="22" w:name="_Toc30297"/>
      <w:r>
        <w:rPr>
          <w:rFonts w:hint="eastAsia"/>
          <w:lang w:val="en-US" w:eastAsia="zh-CN"/>
        </w:rPr>
        <w:t xml:space="preserve">2.2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Sensor回复洗衣机状态指令</w:t>
      </w:r>
      <w:bookmarkEnd w:id="22"/>
    </w:p>
    <w:p>
      <w:pPr>
        <w:pStyle w:val="22"/>
      </w:pPr>
      <w:r>
        <w:rPr>
          <w:rFonts w:hint="eastAsia"/>
          <w:lang w:val="en-US" w:eastAsia="zh-CN"/>
        </w:rPr>
        <w:t>Sensor回复洗衣机状态指令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59"/>
        <w:gridCol w:w="2055"/>
        <w:gridCol w:w="205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Len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1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Checksum</w:t>
            </w:r>
          </w:p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1 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待机状态：0x00</w:t>
            </w:r>
          </w:p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正在洗衣：0x01</w:t>
            </w:r>
          </w:p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异常状态：0x02</w:t>
            </w:r>
          </w:p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门开着的状态：0x03</w:t>
            </w:r>
            <w:bookmarkStart w:id="27" w:name="_GoBack"/>
            <w:bookmarkEnd w:id="27"/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3" w:name="_Toc9334"/>
      <w:r>
        <w:rPr>
          <w:rFonts w:hint="eastAsia"/>
          <w:lang w:val="en-US" w:eastAsia="zh-CN"/>
        </w:rPr>
        <w:t>2.3  Sensor收到选择的模式后回复APP指令</w:t>
      </w:r>
      <w:bookmarkEnd w:id="23"/>
    </w:p>
    <w:p>
      <w:pPr>
        <w:pStyle w:val="22"/>
      </w:pPr>
      <w:r>
        <w:rPr>
          <w:rFonts w:hint="eastAsia"/>
          <w:lang w:val="en-US" w:eastAsia="zh-CN"/>
        </w:rPr>
        <w:t>Sensor收到选择的模式后回复APP指令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4253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4" w:name="_Toc863"/>
      <w:r>
        <w:rPr>
          <w:rFonts w:hint="eastAsia"/>
          <w:lang w:val="en-US" w:eastAsia="zh-CN"/>
        </w:rPr>
        <w:t>2.4  Sensor发送洗衣完成指令</w:t>
      </w:r>
      <w:bookmarkEnd w:id="24"/>
    </w:p>
    <w:p>
      <w:pPr>
        <w:pStyle w:val="22"/>
      </w:pPr>
      <w:r>
        <w:rPr>
          <w:rFonts w:hint="eastAsia"/>
          <w:lang w:val="en-US" w:eastAsia="zh-CN"/>
        </w:rPr>
        <w:t>Sensor发送洗衣完成指令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1843"/>
        <w:gridCol w:w="241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State</w:t>
            </w:r>
            <w:r>
              <w:rPr>
                <w:rFonts w:hint="eastAsia" w:eastAsiaTheme="minorHAnsi"/>
                <w:color w:val="FFFFFF" w:themeColor="background1"/>
                <w:sz w:val="16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0xA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eastAsiaTheme="minorHAnsi"/>
                <w:sz w:val="15"/>
                <w:szCs w:val="18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正常</w:t>
            </w:r>
            <w:r>
              <w:rPr>
                <w:rFonts w:hint="eastAsia" w:eastAsiaTheme="minorHAnsi"/>
                <w:sz w:val="15"/>
                <w:szCs w:val="18"/>
              </w:rPr>
              <w:t>：0x00</w:t>
            </w:r>
          </w:p>
          <w:p>
            <w:pPr>
              <w:jc w:val="center"/>
              <w:rPr>
                <w:rFonts w:hint="default" w:eastAsiaTheme="minorHAnsi"/>
                <w:sz w:val="15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5"/>
                <w:szCs w:val="18"/>
                <w:lang w:val="en-US" w:eastAsia="zh-CN"/>
              </w:rPr>
              <w:t>异常：0x01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0x00-0xFF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5" w:name="_Toc29716"/>
      <w:r>
        <w:rPr>
          <w:rFonts w:hint="eastAsia"/>
          <w:lang w:val="en-US" w:eastAsia="zh-CN"/>
        </w:rPr>
        <w:t>3.1 BLE回复通知MCU APP端断开指令</w:t>
      </w:r>
      <w:bookmarkEnd w:id="25"/>
    </w:p>
    <w:p>
      <w:pPr>
        <w:pStyle w:val="22"/>
      </w:pPr>
      <w:r>
        <w:rPr>
          <w:rFonts w:hint="eastAsia"/>
          <w:lang w:val="en-US" w:eastAsia="zh-CN"/>
        </w:rPr>
        <w:t>BLE回复通知MCU APP端断开指令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4253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A4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0x5b</w:t>
            </w:r>
          </w:p>
        </w:tc>
      </w:tr>
    </w:tbl>
    <w:p>
      <w:pPr>
        <w:pStyle w:val="15"/>
        <w:numPr>
          <w:ilvl w:val="1"/>
          <w:numId w:val="0"/>
        </w:numPr>
        <w:ind w:left="142" w:leftChars="0"/>
        <w:rPr>
          <w:rFonts w:hint="eastAsia"/>
          <w:lang w:val="en-US" w:eastAsia="zh-CN"/>
        </w:rPr>
      </w:pPr>
    </w:p>
    <w:p>
      <w:pPr>
        <w:pStyle w:val="15"/>
        <w:numPr>
          <w:ilvl w:val="1"/>
          <w:numId w:val="0"/>
        </w:numPr>
        <w:ind w:left="142" w:leftChars="0"/>
        <w:rPr>
          <w:rFonts w:hint="default" w:eastAsia="黑体"/>
          <w:lang w:val="en-US" w:eastAsia="zh-CN"/>
        </w:rPr>
      </w:pPr>
      <w:bookmarkStart w:id="26" w:name="_Toc24090"/>
      <w:r>
        <w:rPr>
          <w:rFonts w:hint="eastAsia"/>
          <w:lang w:val="en-US" w:eastAsia="zh-CN"/>
        </w:rPr>
        <w:t>3.2 Sensor给蓝牙发送支付超时断开指令</w:t>
      </w:r>
      <w:bookmarkEnd w:id="26"/>
    </w:p>
    <w:p>
      <w:pPr>
        <w:pStyle w:val="22"/>
      </w:pPr>
      <w:r>
        <w:rPr>
          <w:rFonts w:hint="eastAsia"/>
          <w:lang w:val="en-US" w:eastAsia="zh-CN"/>
        </w:rPr>
        <w:t>sorsen给蓝牙发送支付超时断开指令</w:t>
      </w:r>
      <w:r>
        <w:t>包</w:t>
      </w:r>
    </w:p>
    <w:tbl>
      <w:tblPr>
        <w:tblStyle w:val="10"/>
        <w:tblW w:w="9881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88"/>
        <w:gridCol w:w="4253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Header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(2 Byte)</w:t>
            </w: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Len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Byte)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Checksum </w:t>
            </w:r>
            <w:r>
              <w:rPr>
                <w:rFonts w:eastAsiaTheme="minorHAnsi"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指令ID </w:t>
            </w:r>
            <w:r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(1 Byte)</w:t>
            </w: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HAns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 Narrow" w:hAnsi="Arial Narrow" w:eastAsia="华文楷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0xAA 0xAA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 Narrow" w:hAnsi="Arial Narro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0x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A8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0x57</w:t>
            </w:r>
          </w:p>
        </w:tc>
      </w:tr>
    </w:tbl>
    <w:p>
      <w:pPr>
        <w:pStyle w:val="14"/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945341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2A66"/>
    <w:multiLevelType w:val="multilevel"/>
    <w:tmpl w:val="10C92A66"/>
    <w:lvl w:ilvl="0" w:tentative="0">
      <w:start w:val="1"/>
      <w:numFmt w:val="decimal"/>
      <w:pStyle w:val="22"/>
      <w:lvlText w:val="表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EFA758F"/>
    <w:multiLevelType w:val="multilevel"/>
    <w:tmpl w:val="5EFA758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567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1C"/>
    <w:rsid w:val="00003515"/>
    <w:rsid w:val="00013938"/>
    <w:rsid w:val="00086C36"/>
    <w:rsid w:val="00091F16"/>
    <w:rsid w:val="000A2C7F"/>
    <w:rsid w:val="000F7673"/>
    <w:rsid w:val="00112A03"/>
    <w:rsid w:val="001439C0"/>
    <w:rsid w:val="00162972"/>
    <w:rsid w:val="00170541"/>
    <w:rsid w:val="001F0057"/>
    <w:rsid w:val="0024509F"/>
    <w:rsid w:val="0026167F"/>
    <w:rsid w:val="00266CEA"/>
    <w:rsid w:val="00272A73"/>
    <w:rsid w:val="002A6A9E"/>
    <w:rsid w:val="002F3134"/>
    <w:rsid w:val="00325EE8"/>
    <w:rsid w:val="003355D8"/>
    <w:rsid w:val="003508C4"/>
    <w:rsid w:val="00362CE4"/>
    <w:rsid w:val="00370914"/>
    <w:rsid w:val="0037385F"/>
    <w:rsid w:val="00380230"/>
    <w:rsid w:val="00384C06"/>
    <w:rsid w:val="00385770"/>
    <w:rsid w:val="003F431C"/>
    <w:rsid w:val="00422903"/>
    <w:rsid w:val="00465D55"/>
    <w:rsid w:val="0046711B"/>
    <w:rsid w:val="004861C7"/>
    <w:rsid w:val="004C34BA"/>
    <w:rsid w:val="004D6128"/>
    <w:rsid w:val="004D7D16"/>
    <w:rsid w:val="004E7E07"/>
    <w:rsid w:val="00525385"/>
    <w:rsid w:val="00526E98"/>
    <w:rsid w:val="00540B95"/>
    <w:rsid w:val="00556531"/>
    <w:rsid w:val="00556B1B"/>
    <w:rsid w:val="00561975"/>
    <w:rsid w:val="00567807"/>
    <w:rsid w:val="00584531"/>
    <w:rsid w:val="005936D1"/>
    <w:rsid w:val="005A2BA5"/>
    <w:rsid w:val="005B3F2B"/>
    <w:rsid w:val="0060474C"/>
    <w:rsid w:val="006103E5"/>
    <w:rsid w:val="006155B1"/>
    <w:rsid w:val="00630FE1"/>
    <w:rsid w:val="0066711A"/>
    <w:rsid w:val="00670BBB"/>
    <w:rsid w:val="006B6DC2"/>
    <w:rsid w:val="006D653E"/>
    <w:rsid w:val="0070025B"/>
    <w:rsid w:val="007115B3"/>
    <w:rsid w:val="00732E0E"/>
    <w:rsid w:val="0074296E"/>
    <w:rsid w:val="00751F8A"/>
    <w:rsid w:val="007622AF"/>
    <w:rsid w:val="007863F3"/>
    <w:rsid w:val="007965E5"/>
    <w:rsid w:val="007F3E91"/>
    <w:rsid w:val="008265FA"/>
    <w:rsid w:val="008278A2"/>
    <w:rsid w:val="00856916"/>
    <w:rsid w:val="00865637"/>
    <w:rsid w:val="00875B80"/>
    <w:rsid w:val="008922BD"/>
    <w:rsid w:val="008B506F"/>
    <w:rsid w:val="008C238B"/>
    <w:rsid w:val="008C3CB2"/>
    <w:rsid w:val="008E0ABB"/>
    <w:rsid w:val="00962ECA"/>
    <w:rsid w:val="00974FF0"/>
    <w:rsid w:val="009904E4"/>
    <w:rsid w:val="009A3D75"/>
    <w:rsid w:val="009B1B95"/>
    <w:rsid w:val="009B7065"/>
    <w:rsid w:val="009C5677"/>
    <w:rsid w:val="00A1613D"/>
    <w:rsid w:val="00A2649E"/>
    <w:rsid w:val="00A26657"/>
    <w:rsid w:val="00A516F0"/>
    <w:rsid w:val="00A739D5"/>
    <w:rsid w:val="00A9604A"/>
    <w:rsid w:val="00AD404A"/>
    <w:rsid w:val="00B477C1"/>
    <w:rsid w:val="00B74C81"/>
    <w:rsid w:val="00B87082"/>
    <w:rsid w:val="00BA26CD"/>
    <w:rsid w:val="00BA73D6"/>
    <w:rsid w:val="00BB40FA"/>
    <w:rsid w:val="00BE79D1"/>
    <w:rsid w:val="00C21A6F"/>
    <w:rsid w:val="00C4261C"/>
    <w:rsid w:val="00C43A26"/>
    <w:rsid w:val="00CD7364"/>
    <w:rsid w:val="00D14FE0"/>
    <w:rsid w:val="00D3579F"/>
    <w:rsid w:val="00D5267E"/>
    <w:rsid w:val="00D73598"/>
    <w:rsid w:val="00DA28B9"/>
    <w:rsid w:val="00DB67FC"/>
    <w:rsid w:val="00E135D9"/>
    <w:rsid w:val="00E2767F"/>
    <w:rsid w:val="00E3682A"/>
    <w:rsid w:val="00E373F7"/>
    <w:rsid w:val="00E63242"/>
    <w:rsid w:val="00E87CC2"/>
    <w:rsid w:val="00E92F7C"/>
    <w:rsid w:val="00EB3E91"/>
    <w:rsid w:val="00EC0B27"/>
    <w:rsid w:val="00F000AB"/>
    <w:rsid w:val="00F65CEE"/>
    <w:rsid w:val="00F75FB6"/>
    <w:rsid w:val="00FA2F8E"/>
    <w:rsid w:val="00FE65A1"/>
    <w:rsid w:val="014D0F00"/>
    <w:rsid w:val="01536F88"/>
    <w:rsid w:val="026B6AC3"/>
    <w:rsid w:val="030E48CC"/>
    <w:rsid w:val="041303BB"/>
    <w:rsid w:val="04BF2EAB"/>
    <w:rsid w:val="055C249F"/>
    <w:rsid w:val="06AB7FA9"/>
    <w:rsid w:val="06E712AB"/>
    <w:rsid w:val="079E0679"/>
    <w:rsid w:val="0867757E"/>
    <w:rsid w:val="09264F4C"/>
    <w:rsid w:val="0AEC2156"/>
    <w:rsid w:val="0B3A34FF"/>
    <w:rsid w:val="0B7F21C4"/>
    <w:rsid w:val="0C8E6B09"/>
    <w:rsid w:val="0CE91D92"/>
    <w:rsid w:val="0DDE2455"/>
    <w:rsid w:val="0E203001"/>
    <w:rsid w:val="0E8164BA"/>
    <w:rsid w:val="0EB84F3F"/>
    <w:rsid w:val="0EEF093D"/>
    <w:rsid w:val="0EF20853"/>
    <w:rsid w:val="0FB73495"/>
    <w:rsid w:val="1007432B"/>
    <w:rsid w:val="103F52B6"/>
    <w:rsid w:val="112E4212"/>
    <w:rsid w:val="11FC69A1"/>
    <w:rsid w:val="11FF353E"/>
    <w:rsid w:val="153F4694"/>
    <w:rsid w:val="163F724B"/>
    <w:rsid w:val="16B61531"/>
    <w:rsid w:val="16E10709"/>
    <w:rsid w:val="16EB4598"/>
    <w:rsid w:val="16EC163A"/>
    <w:rsid w:val="17132188"/>
    <w:rsid w:val="17307DC0"/>
    <w:rsid w:val="17987161"/>
    <w:rsid w:val="17D91645"/>
    <w:rsid w:val="17DB44E9"/>
    <w:rsid w:val="18772862"/>
    <w:rsid w:val="19081AEB"/>
    <w:rsid w:val="1A011A9D"/>
    <w:rsid w:val="1A8F22EB"/>
    <w:rsid w:val="1ADA05FE"/>
    <w:rsid w:val="1B254BF8"/>
    <w:rsid w:val="1B504357"/>
    <w:rsid w:val="1B982597"/>
    <w:rsid w:val="1BE17F6A"/>
    <w:rsid w:val="1C55207E"/>
    <w:rsid w:val="1D0A78DE"/>
    <w:rsid w:val="1D7A2422"/>
    <w:rsid w:val="1E80491C"/>
    <w:rsid w:val="1F3367D8"/>
    <w:rsid w:val="1F7174FD"/>
    <w:rsid w:val="205F6E4A"/>
    <w:rsid w:val="20AB3D6E"/>
    <w:rsid w:val="20E52E4F"/>
    <w:rsid w:val="221F59E1"/>
    <w:rsid w:val="23BD52EE"/>
    <w:rsid w:val="25155290"/>
    <w:rsid w:val="274F6C26"/>
    <w:rsid w:val="28023318"/>
    <w:rsid w:val="283F09BD"/>
    <w:rsid w:val="28823B4E"/>
    <w:rsid w:val="289D64B0"/>
    <w:rsid w:val="28E8317E"/>
    <w:rsid w:val="291033E7"/>
    <w:rsid w:val="296758DA"/>
    <w:rsid w:val="297F19D0"/>
    <w:rsid w:val="29F55293"/>
    <w:rsid w:val="2A25460B"/>
    <w:rsid w:val="2B5512DC"/>
    <w:rsid w:val="2B6B526A"/>
    <w:rsid w:val="2BC30210"/>
    <w:rsid w:val="2BCB7E81"/>
    <w:rsid w:val="2C3157E8"/>
    <w:rsid w:val="2C9D4414"/>
    <w:rsid w:val="2CBF445F"/>
    <w:rsid w:val="2D4170B0"/>
    <w:rsid w:val="2DA152A5"/>
    <w:rsid w:val="2E5506C1"/>
    <w:rsid w:val="2EEF7B04"/>
    <w:rsid w:val="2F491B36"/>
    <w:rsid w:val="2FC1290A"/>
    <w:rsid w:val="2FFD01C8"/>
    <w:rsid w:val="30274792"/>
    <w:rsid w:val="30D8280E"/>
    <w:rsid w:val="31116EC9"/>
    <w:rsid w:val="32182F10"/>
    <w:rsid w:val="326A31B1"/>
    <w:rsid w:val="328C3428"/>
    <w:rsid w:val="33231E99"/>
    <w:rsid w:val="33DE7A79"/>
    <w:rsid w:val="33E22C10"/>
    <w:rsid w:val="33EB6531"/>
    <w:rsid w:val="34FA0147"/>
    <w:rsid w:val="35D82739"/>
    <w:rsid w:val="35F92860"/>
    <w:rsid w:val="368952BA"/>
    <w:rsid w:val="36D954B0"/>
    <w:rsid w:val="36E13B9E"/>
    <w:rsid w:val="385E5D5D"/>
    <w:rsid w:val="38B177FD"/>
    <w:rsid w:val="38E35A4C"/>
    <w:rsid w:val="396016E4"/>
    <w:rsid w:val="3A2C4568"/>
    <w:rsid w:val="3B2076F7"/>
    <w:rsid w:val="3B2348BC"/>
    <w:rsid w:val="3B504BCD"/>
    <w:rsid w:val="3B9E1C4B"/>
    <w:rsid w:val="3BC00BAB"/>
    <w:rsid w:val="3C1463DC"/>
    <w:rsid w:val="3C40099D"/>
    <w:rsid w:val="3C8A106E"/>
    <w:rsid w:val="3CF273DE"/>
    <w:rsid w:val="3D354329"/>
    <w:rsid w:val="3D593014"/>
    <w:rsid w:val="3E4A72FE"/>
    <w:rsid w:val="3F5202ED"/>
    <w:rsid w:val="3F99046A"/>
    <w:rsid w:val="404C21EA"/>
    <w:rsid w:val="40C20777"/>
    <w:rsid w:val="417F7256"/>
    <w:rsid w:val="41B34CC0"/>
    <w:rsid w:val="41B63F75"/>
    <w:rsid w:val="429719BB"/>
    <w:rsid w:val="43372DB9"/>
    <w:rsid w:val="437A5D18"/>
    <w:rsid w:val="43E6511B"/>
    <w:rsid w:val="43ED0A05"/>
    <w:rsid w:val="443A2A88"/>
    <w:rsid w:val="450F2181"/>
    <w:rsid w:val="456508BD"/>
    <w:rsid w:val="46787EB5"/>
    <w:rsid w:val="4691427E"/>
    <w:rsid w:val="471252E4"/>
    <w:rsid w:val="47213909"/>
    <w:rsid w:val="47C603DE"/>
    <w:rsid w:val="482B4242"/>
    <w:rsid w:val="48762EA1"/>
    <w:rsid w:val="48BC3274"/>
    <w:rsid w:val="48E05538"/>
    <w:rsid w:val="49AE2CDE"/>
    <w:rsid w:val="4A6F1EA5"/>
    <w:rsid w:val="4AE10AB9"/>
    <w:rsid w:val="4B370183"/>
    <w:rsid w:val="4BCA045F"/>
    <w:rsid w:val="4BD57676"/>
    <w:rsid w:val="4D3F1909"/>
    <w:rsid w:val="4D837456"/>
    <w:rsid w:val="4DD22666"/>
    <w:rsid w:val="4E9D4A0B"/>
    <w:rsid w:val="4F5B425B"/>
    <w:rsid w:val="4FE946A5"/>
    <w:rsid w:val="50494801"/>
    <w:rsid w:val="509B1820"/>
    <w:rsid w:val="50E22B94"/>
    <w:rsid w:val="51361195"/>
    <w:rsid w:val="513E4AD9"/>
    <w:rsid w:val="51ED3133"/>
    <w:rsid w:val="5347524C"/>
    <w:rsid w:val="543B3F37"/>
    <w:rsid w:val="54A00988"/>
    <w:rsid w:val="55114DCA"/>
    <w:rsid w:val="55634449"/>
    <w:rsid w:val="5603278E"/>
    <w:rsid w:val="56822EC8"/>
    <w:rsid w:val="58FE0ED7"/>
    <w:rsid w:val="59F6131A"/>
    <w:rsid w:val="5A9D56DF"/>
    <w:rsid w:val="5AA91A93"/>
    <w:rsid w:val="5B534B37"/>
    <w:rsid w:val="5BA506C1"/>
    <w:rsid w:val="5BBB7C96"/>
    <w:rsid w:val="5C420C22"/>
    <w:rsid w:val="5CD47C19"/>
    <w:rsid w:val="5CE42935"/>
    <w:rsid w:val="5D020E99"/>
    <w:rsid w:val="5D2D4992"/>
    <w:rsid w:val="5E07533D"/>
    <w:rsid w:val="5E41746A"/>
    <w:rsid w:val="5E660011"/>
    <w:rsid w:val="5F09444B"/>
    <w:rsid w:val="60E37ADB"/>
    <w:rsid w:val="61DB56C2"/>
    <w:rsid w:val="61F67B61"/>
    <w:rsid w:val="62665CCF"/>
    <w:rsid w:val="63292718"/>
    <w:rsid w:val="63D90A99"/>
    <w:rsid w:val="640B0F2C"/>
    <w:rsid w:val="64565AFC"/>
    <w:rsid w:val="649908A0"/>
    <w:rsid w:val="64EF485A"/>
    <w:rsid w:val="64F01C4F"/>
    <w:rsid w:val="665B6575"/>
    <w:rsid w:val="665F7C0C"/>
    <w:rsid w:val="6674238F"/>
    <w:rsid w:val="66E82FED"/>
    <w:rsid w:val="670A6632"/>
    <w:rsid w:val="67122B33"/>
    <w:rsid w:val="67CD79A2"/>
    <w:rsid w:val="682E7587"/>
    <w:rsid w:val="689065EB"/>
    <w:rsid w:val="695F794A"/>
    <w:rsid w:val="698B7589"/>
    <w:rsid w:val="69E7324D"/>
    <w:rsid w:val="6A216C27"/>
    <w:rsid w:val="6AF116AA"/>
    <w:rsid w:val="6B0C1E10"/>
    <w:rsid w:val="6B3C29D1"/>
    <w:rsid w:val="6B995470"/>
    <w:rsid w:val="6BB22598"/>
    <w:rsid w:val="6BFA6089"/>
    <w:rsid w:val="6CFC773D"/>
    <w:rsid w:val="6D9B22B0"/>
    <w:rsid w:val="6DF7651A"/>
    <w:rsid w:val="6E321326"/>
    <w:rsid w:val="6FDD2361"/>
    <w:rsid w:val="701055B4"/>
    <w:rsid w:val="71B63251"/>
    <w:rsid w:val="72F33775"/>
    <w:rsid w:val="730020B2"/>
    <w:rsid w:val="731060F9"/>
    <w:rsid w:val="734262EF"/>
    <w:rsid w:val="737D5591"/>
    <w:rsid w:val="743D4636"/>
    <w:rsid w:val="751C3890"/>
    <w:rsid w:val="75354804"/>
    <w:rsid w:val="75611DE8"/>
    <w:rsid w:val="75866AB4"/>
    <w:rsid w:val="76584685"/>
    <w:rsid w:val="769C2E96"/>
    <w:rsid w:val="777B5A41"/>
    <w:rsid w:val="78042432"/>
    <w:rsid w:val="784E69FD"/>
    <w:rsid w:val="792869AC"/>
    <w:rsid w:val="797B1255"/>
    <w:rsid w:val="7A015D7D"/>
    <w:rsid w:val="7A1A0503"/>
    <w:rsid w:val="7AF6721B"/>
    <w:rsid w:val="7BEB3B27"/>
    <w:rsid w:val="7CB96CB0"/>
    <w:rsid w:val="7DA936AA"/>
    <w:rsid w:val="7FD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4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my标题1"/>
    <w:next w:val="14"/>
    <w:link w:val="16"/>
    <w:qFormat/>
    <w:uiPriority w:val="0"/>
    <w:pPr>
      <w:ind w:left="425"/>
      <w:jc w:val="both"/>
      <w:outlineLvl w:val="0"/>
    </w:pPr>
    <w:rPr>
      <w:rFonts w:eastAsia="黑体" w:asciiTheme="minorHAnsi" w:hAnsiTheme="minorHAnsi" w:cstheme="minorBidi"/>
      <w:b/>
      <w:kern w:val="2"/>
      <w:sz w:val="30"/>
      <w:szCs w:val="22"/>
      <w:lang w:val="en-US" w:eastAsia="zh-CN" w:bidi="ar-SA"/>
    </w:rPr>
  </w:style>
  <w:style w:type="paragraph" w:customStyle="1" w:styleId="14">
    <w:name w:val="my正文"/>
    <w:link w:val="23"/>
    <w:qFormat/>
    <w:uiPriority w:val="0"/>
    <w:pPr>
      <w:spacing w:line="360" w:lineRule="auto"/>
      <w:jc w:val="both"/>
    </w:pPr>
    <w:rPr>
      <w:rFonts w:eastAsia="华文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customStyle="1" w:styleId="15">
    <w:name w:val="my标题2"/>
    <w:next w:val="14"/>
    <w:link w:val="18"/>
    <w:qFormat/>
    <w:uiPriority w:val="0"/>
    <w:pPr>
      <w:numPr>
        <w:ilvl w:val="1"/>
        <w:numId w:val="1"/>
      </w:numPr>
      <w:outlineLvl w:val="1"/>
    </w:pPr>
    <w:rPr>
      <w:rFonts w:eastAsia="黑体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16">
    <w:name w:val="my标题1 字符"/>
    <w:basedOn w:val="11"/>
    <w:link w:val="13"/>
    <w:qFormat/>
    <w:uiPriority w:val="0"/>
    <w:rPr>
      <w:rFonts w:eastAsia="黑体"/>
      <w:b/>
      <w:sz w:val="30"/>
    </w:rPr>
  </w:style>
  <w:style w:type="paragraph" w:customStyle="1" w:styleId="17">
    <w:name w:val="my标题3"/>
    <w:next w:val="14"/>
    <w:link w:val="20"/>
    <w:qFormat/>
    <w:uiPriority w:val="0"/>
    <w:pPr>
      <w:numPr>
        <w:ilvl w:val="2"/>
        <w:numId w:val="1"/>
      </w:numPr>
      <w:ind w:left="113" w:firstLine="0"/>
      <w:outlineLvl w:val="2"/>
    </w:pPr>
    <w:rPr>
      <w:rFonts w:eastAsia="黑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18">
    <w:name w:val="my标题2 字符"/>
    <w:basedOn w:val="16"/>
    <w:link w:val="15"/>
    <w:qFormat/>
    <w:uiPriority w:val="0"/>
    <w:rPr>
      <w:sz w:val="28"/>
    </w:rPr>
  </w:style>
  <w:style w:type="paragraph" w:customStyle="1" w:styleId="19">
    <w:name w:val="my标题4"/>
    <w:next w:val="14"/>
    <w:link w:val="21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my标题3 字符"/>
    <w:basedOn w:val="18"/>
    <w:link w:val="17"/>
    <w:qFormat/>
    <w:uiPriority w:val="0"/>
    <w:rPr>
      <w:rFonts w:eastAsia="黑体"/>
      <w:sz w:val="24"/>
    </w:rPr>
  </w:style>
  <w:style w:type="character" w:customStyle="1" w:styleId="21">
    <w:name w:val="my标题4 字符"/>
    <w:basedOn w:val="20"/>
    <w:link w:val="19"/>
    <w:qFormat/>
    <w:uiPriority w:val="0"/>
    <w:rPr>
      <w:rFonts w:eastAsia="黑体"/>
      <w:sz w:val="24"/>
    </w:rPr>
  </w:style>
  <w:style w:type="paragraph" w:customStyle="1" w:styleId="22">
    <w:name w:val="my表格"/>
    <w:next w:val="14"/>
    <w:link w:val="24"/>
    <w:qFormat/>
    <w:uiPriority w:val="0"/>
    <w:pPr>
      <w:numPr>
        <w:ilvl w:val="0"/>
        <w:numId w:val="2"/>
      </w:numPr>
      <w:jc w:val="center"/>
    </w:pPr>
    <w:rPr>
      <w:rFonts w:eastAsia="黑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3">
    <w:name w:val="my正文 字符"/>
    <w:basedOn w:val="21"/>
    <w:link w:val="14"/>
    <w:qFormat/>
    <w:uiPriority w:val="0"/>
    <w:rPr>
      <w:rFonts w:eastAsia="华文楷体"/>
      <w:b w:val="0"/>
      <w:sz w:val="24"/>
    </w:rPr>
  </w:style>
  <w:style w:type="character" w:customStyle="1" w:styleId="24">
    <w:name w:val="my表格 字符"/>
    <w:basedOn w:val="23"/>
    <w:link w:val="22"/>
    <w:qFormat/>
    <w:uiPriority w:val="0"/>
    <w:rPr>
      <w:rFonts w:eastAsia="黑体"/>
      <w:sz w:val="24"/>
    </w:rPr>
  </w:style>
  <w:style w:type="character" w:customStyle="1" w:styleId="2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7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28">
    <w:name w:val="页脚 Char"/>
    <w:basedOn w:val="11"/>
    <w:link w:val="5"/>
    <w:qFormat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3C70F-7568-4728-A9F4-1DDF5EA1CB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1266</Words>
  <Characters>7217</Characters>
  <Lines>60</Lines>
  <Paragraphs>16</Paragraphs>
  <TotalTime>649</TotalTime>
  <ScaleCrop>false</ScaleCrop>
  <LinksUpToDate>false</LinksUpToDate>
  <CharactersWithSpaces>8467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2019-05-19T07:41:00Z</dcterms:created>
  <dc:creator>tokin01@outlook.com</dc:creator>
  <cp:lastModifiedBy>Mediocity</cp:lastModifiedBy>
  <cp:lastPrinted>2019-05-19T09:41:00Z</cp:lastPrinted>
  <dcterms:modified xsi:type="dcterms:W3CDTF">2020-09-29T07:45:21Z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