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ville de Tanger</w:t>
      </w:r>
    </w:p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pStyle w:val="ipccorps"/>
      </w:pP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../../Rapports_mensuels/Mois2026_08/Graphique_variation_annuelle2026_08_Ville10_fr.png</w:t>
      </w:r>
    </w:p>
    <w:p>
      <w:pPr>
        <w:pStyle w:val="ipccorps"/>
      </w:pP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../../Rapports_mensuels/Mois2026_08/Graphique_variation_mensuelle2026_08_Ville10_fr.png</w:t>
      </w:r>
    </w:p>
    <w:p>
      <w:pPr>
        <w:pStyle w:val="ipccorps"/>
      </w:pPr>
      <w:r>
        <w:t xml:space="preserve">La variation des prix en Août 2026 a augmenté de 0,9% après avoir été de -1,1% en Juillet 2026</w:t>
      </w: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para0"/>
      </w:pPr>
      <w:r>
        <w:t xml:space="preserve">Haut-Commissariat au Plan, Direction de la Statistique – Enquête Nationale sur les Prix à la Consommation.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2026-10-05T15:58:52Z</dcterms:created>
  <dcterms:modified xsi:type="dcterms:W3CDTF">2026-10-05T15:58:52Z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