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غشت 2026 ارتفعت أسعار الاستهلاك على المستوى الوطني بنسبة (1.2% ) خلال شهر واحد في حين ارتفعت أسعار الاستهلاك بما يقارب (0.7%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1.6%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ب7,2%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ب5,7%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 NA NA NA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3.6 %،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ب12,4%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0.7 % مقارنة بشهر غشت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1.2 % مقارنة بشهر يوليوز 2026</w:t>
      </w:r>
    </w:p>
    <w:p>
      <w:pPr>
        <w:pStyle w:val="ipcpara0"/>
      </w:pPr>
      <w:r>
        <w:t xml:space="preserve">جدول 3: الرقم الاستدلالي للأثمان عند الاستهلاك لمدينة تطوان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2026-10-09T16:56:52Z</dcterms:created>
  <dcterms:modified xsi:type="dcterms:W3CDTF">2026-10-09T16:56:52Z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