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August 2026, the consumer price index for households in the city of Tangier increased by 0,9% compared to the previous month. On an annual level, the consumer price index decreased by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1,3% in August 2026 compared to July 2026, due to the rise in prices of «Meat» by 5,5%, «Milk, Cheese and Eggs» by 4,2%, «Fish and Seafood» by 1,6%, «Food Productsnot elsewhere classified» by 0,8% and «Sugar, Jam, Honey, Chocolate and Confectionery», «Mineral Waters, Soft Drinks and Fruit and Vegetable Juices (Nd)» by 0,1%.</w:t>
      </w:r>
    </w:p>
    <w:p>
      <w:pPr>
        <w:pStyle w:val="ipccorps"/>
      </w:pPr>
      <w:r>
        <w:t xml:space="preserve">Similarly, the monthly variation of the index for the non-food products index increased by 0,6% due to the increase in prices in the following divisions: «Transportation» by 3,4%, «Restaurants and Hotels» by 0,8%, «Various Goods and Services» by 0,4% and «Clothing and Shoes» and «Communications» by 0,2%. Also, the decrease in prices of «Leisure and Culture» by 0,3%.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4,3% in August 2026 compared to August 2025 , due to the decrease in the prices of «Oils and Fats» by 21,5%, «Fruits» by 7,5%, «Vegetables» by 4,9%, «Meat» by 3,1%, «Milk, Cheese and Eggs» by 3,0%, «Cafe, Tea and Cocoa» by 0,6% and «Food Productsnot elsewhere classified» by 0,4%. Moreover, the rise in prices of «Tobacco» by 4,0%, «Mineral Waters, Soft Drinks, Fruit and Vegetable Juices (Nd)» by 2,2%, «Bread and Cereals» and «Fish and Seafood» by 1,9% and «Sugar, Jam, Honey, Chocolate and Confectionery» by 0,6% did not affect the general evolution.</w:t>
      </w:r>
    </w:p>
    <w:p>
      <w:pPr>
        <w:pStyle w:val="ipccorps"/>
      </w:pPr>
      <w:r>
        <w:t xml:space="preserve">On the other hand, the annual variation in the non-food product index increased by 2,3%. While the price variation of the divisions that constitute non-food products fluctuated between a decrease of 1,3% for the division of «Communications» and the rise of 8,5% for the division of «Various Goods and Services»</w:t>
      </w:r>
    </w:p>
    <w:p>
      <w:pPr>
        <w:pStyle w:val="ipctitre0"/>
      </w:pPr>
      <w:r>
        <w:t xml:space="preserve">1-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0,3% compared to August 2025</w:t>
      </w:r>
    </w:p>
    <w:p>
      <w:pPr>
        <w:pStyle w:val="ipctitre0"/>
      </w:pPr>
      <w:r>
        <w:t xml:space="preserve">2- Evolution of the monthly variation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0,9% after being -1,1% in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Tangier: August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2026-10-09T16:57:27Z</dcterms:created>
  <dcterms:modified xsi:type="dcterms:W3CDTF">2026-10-09T16:57:27Z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