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فبراير 2026 ارتفعت أسعار الاستهلاك على المستوى الوطني بنسبة (1.2% ) خلال شهر واحد في حين ارتفعت أسعار الاستهلاك بما يقارب (0.7%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 2.3% 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6.9 %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5.9 %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5.5 %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2.3 %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2 %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0.7 %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0.4 %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0.3 % ‏</w:t>
      </w:r>
    </w:p>
    <w:p>
      <w:pPr>
        <w:pStyle w:val="ipccorps"/>
      </w:pPr>
      <w:r>
        <w:t xml:space="preserve">كما ارتفع التغير الشهري للرقم الاستدلالي للمواد غير الغذائية ب (0.2%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1.2 %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0.7 %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ارتفع الرقم الاستدلالي للمواد الغذائية</w:t>
      </w:r>
      <w:r>
        <w:t xml:space="preserve"> </w:t>
      </w:r>
      <w:r>
        <w:t xml:space="preserve">ب 0.1%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15.4 %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14.4 %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6.2 %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4.5 %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3.7 %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1 %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0.8 %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-14.3 %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-7.4 %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-0.8 %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-0.6 %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ارتفاعا ب 1.2 %،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-4.5 % ‏ بينما ارتفع</w:t>
      </w:r>
      <w:r>
        <w:t xml:space="preserve"> </w:t>
      </w:r>
      <w:r>
        <w:rPr>
          <w:b/>
          <w:bCs/>
        </w:rPr>
        <w:t xml:space="preserve">تعليم</w:t>
      </w:r>
      <w:r>
        <w:t xml:space="preserve"> </w:t>
      </w:r>
      <w:r>
        <w:t xml:space="preserve">ب 10.9 % ‏</w:t>
      </w:r>
    </w:p>
    <w:p>
      <w:pPr>
        <w:pStyle w:val="ipctitre0"/>
      </w:pPr>
      <w:r>
        <w:t xml:space="preserve">5-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0.7 % مقارنة بشهر فبراير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1.2 % مقارنة بشهر يناير 2026</w:t>
      </w:r>
    </w:p>
    <w:p>
      <w:pPr>
        <w:pStyle w:val="ipcpara0"/>
      </w:pPr>
      <w:r>
        <w:t xml:space="preserve">جدول 3: الرقم الاستدلالي للأثمان عند الاستهلاك لمدينة تطوان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2026-03-31T09:43:47Z</dcterms:created>
  <dcterms:modified xsi:type="dcterms:W3CDTF">2026-03-31T09:43:47Z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