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ipctitre1center"/>
        <w:rPr/>
      </w:pPr>
      <w:r>
        <w:rPr>
          <w:rtl w:val="true"/>
        </w:rPr>
        <w:t>مذكرة اخبارية للمديرية الجهوية لجهة طنجة تطوان الحسيمة</w:t>
      </w:r>
    </w:p>
    <w:p>
      <w:pPr>
        <w:pStyle w:val="ipctitre0"/>
        <w:rPr/>
      </w:pPr>
      <w:r>
        <w:rPr>
          <w:rtl w:val="true"/>
        </w:rPr>
        <w:t xml:space="preserve">الرقم الاستدلالي للأثمان عند الاستهلاك أساس </w:t>
      </w:r>
      <w:r>
        <w:rPr>
          <w:rtl w:val="true"/>
        </w:rPr>
        <w:t>: (</w:t>
      </w:r>
      <w:r>
        <w:rPr/>
        <w:t>2017</w:t>
      </w:r>
      <w:r>
        <w:rPr>
          <w:rtl w:val="true"/>
        </w:rPr>
        <w:t xml:space="preserve"> :</w:t>
      </w:r>
      <w:r>
        <w:rPr/>
        <w:t>100</w:t>
      </w:r>
      <w:r>
        <w:rPr>
          <w:rtl w:val="true"/>
        </w:rPr>
        <w:t xml:space="preserve">) </w:t>
      </w:r>
      <w:r>
        <w:rPr>
          <w:rtl w:val="true"/>
        </w:rPr>
        <w:t>لمدينة الحسيمة</w:t>
      </w:r>
    </w:p>
    <w:p>
      <w:pPr>
        <w:pStyle w:val="ipcpara0"/>
        <w:rPr/>
      </w:pPr>
      <w:r>
        <w:rPr>
          <w:rtl w:val="true"/>
        </w:rPr>
        <w:t xml:space="preserve">في شهر فبراير </w:t>
      </w:r>
      <w:r>
        <w:rPr/>
        <w:t>2026</w:t>
      </w:r>
      <w:r>
        <w:rPr>
          <w:rtl w:val="true"/>
        </w:rPr>
        <w:t xml:space="preserve"> </w:t>
      </w:r>
      <w:r>
        <w:rPr>
          <w:rtl w:val="true"/>
        </w:rPr>
        <w:t xml:space="preserve">ارتفعت أسعار الاستهلاك على المستوى الوطني بنسبة </w:t>
      </w:r>
      <w:r>
        <w:rPr>
          <w:rtl w:val="true"/>
        </w:rPr>
        <w:t>(</w:t>
      </w:r>
      <w:r>
        <w:rPr/>
        <w:t>0.7</w:t>
      </w:r>
      <w:r>
        <w:rPr>
          <w:rtl w:val="true"/>
        </w:rPr>
        <w:t xml:space="preserve">% ) </w:t>
      </w:r>
      <w:r>
        <w:rPr>
          <w:rtl w:val="true"/>
        </w:rPr>
        <w:t xml:space="preserve">خلال شهر واحد في حين انخفضت أسعار الاستهلاك بما يقارب </w:t>
      </w:r>
      <w:r>
        <w:rPr>
          <w:rtl w:val="true"/>
        </w:rPr>
        <w:t>(-</w:t>
      </w:r>
      <w:r>
        <w:rPr/>
        <w:t>0.2</w:t>
      </w:r>
      <w:r>
        <w:rPr>
          <w:rtl w:val="true"/>
        </w:rPr>
        <w:t xml:space="preserve">% ) </w:t>
      </w:r>
      <w:r>
        <w:rPr>
          <w:rtl w:val="true"/>
        </w:rPr>
        <w:t>خلال سنة كاملة</w:t>
      </w:r>
      <w:r>
        <w:rPr/>
        <w:t>.</w:t>
      </w:r>
    </w:p>
    <w:p>
      <w:pPr>
        <w:pStyle w:val="ipccorps"/>
        <w:rPr/>
      </w:pPr>
      <w:r>
        <w:rPr>
          <w:rtl w:val="true"/>
        </w:rPr>
        <w:t xml:space="preserve">على المستوى الشهري ارتفع الرقم الاستدلالي للمواد الغذائية ب </w:t>
      </w:r>
      <w:r>
        <w:rPr/>
        <w:t>1.1</w:t>
      </w:r>
      <w:r>
        <w:rPr>
          <w:rtl w:val="true"/>
        </w:rPr>
        <w:t xml:space="preserve">% </w:t>
      </w:r>
      <w:r>
        <w:rPr>
          <w:rtl w:val="true"/>
        </w:rPr>
        <w:t xml:space="preserve">في شهر فبراير </w:t>
      </w:r>
      <w:r>
        <w:rPr/>
        <w:t>2026</w:t>
      </w:r>
      <w:r>
        <w:rPr>
          <w:rtl w:val="true"/>
        </w:rPr>
        <w:t xml:space="preserve"> </w:t>
      </w:r>
      <w:r>
        <w:rPr>
          <w:rtl w:val="true"/>
        </w:rPr>
        <w:t xml:space="preserve">مقارنة بشهر يناير </w:t>
      </w:r>
      <w:r>
        <w:rPr>
          <w:rtl w:val="true"/>
        </w:rPr>
        <w:t>.</w:t>
      </w:r>
      <w:r>
        <w:rPr/>
        <w:t>2026</w:t>
      </w:r>
      <w:r>
        <w:rPr>
          <w:rtl w:val="true"/>
        </w:rPr>
        <w:t xml:space="preserve"> </w:t>
      </w:r>
      <w:r>
        <w:rPr>
          <w:rtl w:val="true"/>
        </w:rPr>
        <w:t xml:space="preserve">ويعزى ذلك الى زيادة أثمان </w:t>
      </w:r>
      <w:r>
        <w:rPr>
          <w:b/>
          <w:b/>
          <w:bCs/>
          <w:rtl w:val="true"/>
        </w:rPr>
        <w:t>الأسماك والمأكولات البحرية</w:t>
      </w:r>
      <w:r>
        <w:rPr>
          <w:rtl w:val="true"/>
        </w:rPr>
        <w:t xml:space="preserve"> ب </w:t>
      </w:r>
      <w:r>
        <w:rPr/>
        <w:t>7.8</w:t>
      </w:r>
      <w:r>
        <w:rPr>
          <w:rtl w:val="true"/>
        </w:rPr>
        <w:t xml:space="preserve"> % ‏</w:t>
      </w:r>
      <w:r>
        <w:rPr>
          <w:rtl w:val="true"/>
        </w:rPr>
        <w:t xml:space="preserve">، </w:t>
      </w:r>
      <w:r>
        <w:rPr>
          <w:b/>
          <w:b/>
          <w:bCs/>
          <w:rtl w:val="true"/>
        </w:rPr>
        <w:t>الفواكه</w:t>
      </w:r>
      <w:r>
        <w:rPr>
          <w:rtl w:val="true"/>
        </w:rPr>
        <w:t xml:space="preserve"> ب </w:t>
      </w:r>
      <w:r>
        <w:rPr/>
        <w:t>4.5</w:t>
      </w:r>
      <w:r>
        <w:rPr>
          <w:rtl w:val="true"/>
        </w:rPr>
        <w:t xml:space="preserve"> % ‏</w:t>
      </w:r>
      <w:r>
        <w:rPr>
          <w:rtl w:val="true"/>
        </w:rPr>
        <w:t xml:space="preserve">، </w:t>
      </w:r>
      <w:r>
        <w:rPr>
          <w:b/>
          <w:b/>
          <w:bCs/>
          <w:rtl w:val="true"/>
        </w:rPr>
        <w:t>اللحم</w:t>
      </w:r>
      <w:r>
        <w:rPr>
          <w:rtl w:val="true"/>
        </w:rPr>
        <w:t xml:space="preserve"> ب </w:t>
      </w:r>
      <w:r>
        <w:rPr/>
        <w:t>3.3</w:t>
      </w:r>
      <w:r>
        <w:rPr>
          <w:rtl w:val="true"/>
        </w:rPr>
        <w:t xml:space="preserve"> % ‏</w:t>
      </w:r>
      <w:r>
        <w:rPr>
          <w:rtl w:val="true"/>
        </w:rPr>
        <w:t xml:space="preserve">، </w:t>
      </w:r>
      <w:r>
        <w:rPr>
          <w:b/>
          <w:b/>
          <w:bCs/>
          <w:rtl w:val="true"/>
        </w:rPr>
        <w:t>مواد غذائية غير مصنفة في مكان آخر</w:t>
      </w:r>
      <w:r>
        <w:rPr>
          <w:rtl w:val="true"/>
        </w:rPr>
        <w:t xml:space="preserve"> ب </w:t>
      </w:r>
      <w:r>
        <w:rPr/>
        <w:t>0.1</w:t>
      </w:r>
      <w:r>
        <w:rPr>
          <w:rtl w:val="true"/>
        </w:rPr>
        <w:t xml:space="preserve"> % ‏</w:t>
      </w:r>
    </w:p>
    <w:p>
      <w:pPr>
        <w:pStyle w:val="ipccorps"/>
        <w:rPr/>
      </w:pPr>
      <w:r>
        <w:rPr>
          <w:rtl w:val="true"/>
        </w:rPr>
        <w:t xml:space="preserve">كما ارتفع التغير الشهري للرقم الاستدلالي للمواد غير الغذائية ب </w:t>
      </w:r>
      <w:r>
        <w:rPr>
          <w:rtl w:val="true"/>
        </w:rPr>
        <w:t>(</w:t>
      </w:r>
      <w:r>
        <w:rPr/>
        <w:t>0.2</w:t>
      </w:r>
      <w:r>
        <w:rPr>
          <w:rtl w:val="true"/>
        </w:rPr>
        <w:t xml:space="preserve">% ) </w:t>
      </w:r>
      <w:r>
        <w:rPr>
          <w:rtl w:val="true"/>
        </w:rPr>
        <w:t>جراء زيادة أثمان الأقسام التالية</w:t>
      </w:r>
      <w:r>
        <w:rPr>
          <w:rtl w:val="true"/>
        </w:rPr>
        <w:t xml:space="preserve">: </w:t>
      </w:r>
      <w:r>
        <w:rPr>
          <w:b/>
          <w:b/>
          <w:bCs/>
          <w:rtl w:val="true"/>
        </w:rPr>
        <w:t>سلع وخدمات متنوعة</w:t>
      </w:r>
      <w:r>
        <w:rPr>
          <w:rtl w:val="true"/>
        </w:rPr>
        <w:t xml:space="preserve"> ب </w:t>
      </w:r>
      <w:r>
        <w:rPr/>
        <w:t>1</w:t>
      </w:r>
      <w:r>
        <w:rPr>
          <w:rtl w:val="true"/>
        </w:rPr>
        <w:t xml:space="preserve"> % ‏</w:t>
      </w:r>
      <w:r>
        <w:rPr>
          <w:rtl w:val="true"/>
        </w:rPr>
        <w:t xml:space="preserve">، </w:t>
      </w:r>
      <w:r>
        <w:rPr>
          <w:b/>
          <w:b/>
          <w:bCs/>
          <w:rtl w:val="true"/>
        </w:rPr>
        <w:t>مواصلات</w:t>
      </w:r>
      <w:r>
        <w:rPr>
          <w:rtl w:val="true"/>
        </w:rPr>
        <w:t xml:space="preserve"> و </w:t>
      </w:r>
      <w:r>
        <w:rPr>
          <w:b/>
          <w:b/>
          <w:bCs/>
          <w:rtl w:val="true"/>
        </w:rPr>
        <w:t>المطاعم والفنادق</w:t>
      </w:r>
      <w:r>
        <w:rPr>
          <w:rtl w:val="true"/>
        </w:rPr>
        <w:t xml:space="preserve"> ب </w:t>
      </w:r>
      <w:r>
        <w:rPr/>
        <w:t>0.4</w:t>
      </w:r>
      <w:r>
        <w:rPr>
          <w:rtl w:val="true"/>
        </w:rPr>
        <w:t xml:space="preserve"> % ‏</w:t>
      </w:r>
      <w:r>
        <w:rPr/>
        <w:t xml:space="preserve"> .</w:t>
      </w:r>
    </w:p>
    <w:p>
      <w:pPr>
        <w:pStyle w:val="ipccorps"/>
        <w:rPr/>
      </w:pPr>
      <w:r>
        <w:rPr>
          <w:b/>
          <w:b/>
          <w:bCs/>
          <w:rtl w:val="true"/>
        </w:rPr>
        <w:t>على المستوى السنوي،</w:t>
      </w:r>
      <w:r>
        <w:rPr>
          <w:rtl w:val="true"/>
        </w:rPr>
        <w:t xml:space="preserve">انخفض الرقم الاستدلالي للمواد الغذائية ب </w:t>
      </w:r>
      <w:r>
        <w:rPr>
          <w:rtl w:val="true"/>
        </w:rPr>
        <w:t>-</w:t>
      </w:r>
      <w:r>
        <w:rPr/>
        <w:t>0.4</w:t>
      </w:r>
      <w:r>
        <w:rPr>
          <w:rtl w:val="true"/>
        </w:rPr>
        <w:t xml:space="preserve">% </w:t>
      </w:r>
      <w:r>
        <w:rPr>
          <w:rtl w:val="true"/>
        </w:rPr>
        <w:t xml:space="preserve">في نونبر </w:t>
      </w:r>
      <w:r>
        <w:rPr/>
        <w:t>2025</w:t>
      </w:r>
      <w:r>
        <w:rPr>
          <w:rtl w:val="true"/>
        </w:rPr>
        <w:t xml:space="preserve"> </w:t>
      </w:r>
      <w:r>
        <w:rPr>
          <w:rtl w:val="true"/>
        </w:rPr>
        <w:t>مقارنة بنظيره من السنة الماضية،ويعزى ذلك إلى تراجع أثمان المواد المكونة للمجموعات التالية</w:t>
      </w:r>
      <w:r>
        <w:rPr>
          <w:rtl w:val="true"/>
        </w:rPr>
        <w:t xml:space="preserve">: </w:t>
      </w:r>
      <w:r>
        <w:rPr>
          <w:b/>
          <w:b/>
          <w:bCs/>
          <w:rtl w:val="true"/>
        </w:rPr>
        <w:t>الزيوت والدهون</w:t>
      </w:r>
      <w:r>
        <w:rPr>
          <w:rtl w:val="true"/>
        </w:rPr>
        <w:t xml:space="preserve"> ب </w:t>
      </w:r>
      <w:r>
        <w:rPr>
          <w:rtl w:val="true"/>
        </w:rPr>
        <w:t>-</w:t>
      </w:r>
      <w:r>
        <w:rPr/>
        <w:t>23.6</w:t>
      </w:r>
      <w:r>
        <w:rPr>
          <w:rtl w:val="true"/>
        </w:rPr>
        <w:t xml:space="preserve"> % ‏</w:t>
      </w:r>
      <w:r>
        <w:rPr>
          <w:rtl w:val="true"/>
        </w:rPr>
        <w:t xml:space="preserve">، </w:t>
      </w:r>
      <w:r>
        <w:rPr>
          <w:b/>
          <w:b/>
          <w:bCs/>
          <w:rtl w:val="true"/>
        </w:rPr>
        <w:t>اللحم</w:t>
      </w:r>
      <w:r>
        <w:rPr>
          <w:rtl w:val="true"/>
        </w:rPr>
        <w:t xml:space="preserve"> ب </w:t>
      </w:r>
      <w:r>
        <w:rPr>
          <w:rtl w:val="true"/>
        </w:rPr>
        <w:t>-</w:t>
      </w:r>
      <w:r>
        <w:rPr/>
        <w:t>5.1</w:t>
      </w:r>
      <w:r>
        <w:rPr>
          <w:rtl w:val="true"/>
        </w:rPr>
        <w:t xml:space="preserve"> % ‏</w:t>
      </w:r>
      <w:r>
        <w:rPr>
          <w:rtl w:val="true"/>
        </w:rPr>
        <w:t xml:space="preserve">، </w:t>
      </w:r>
      <w:r>
        <w:rPr>
          <w:b/>
          <w:b/>
          <w:bCs/>
          <w:rtl w:val="true"/>
        </w:rPr>
        <w:t>الحليب والجبن والبيض</w:t>
      </w:r>
      <w:r>
        <w:rPr>
          <w:rtl w:val="true"/>
        </w:rPr>
        <w:t xml:space="preserve"> ب </w:t>
      </w:r>
      <w:r>
        <w:rPr>
          <w:rtl w:val="true"/>
        </w:rPr>
        <w:t>-</w:t>
      </w:r>
      <w:r>
        <w:rPr/>
        <w:t>5</w:t>
      </w:r>
      <w:r>
        <w:rPr>
          <w:rtl w:val="true"/>
        </w:rPr>
        <w:t xml:space="preserve"> % ‏</w:t>
      </w:r>
      <w:r>
        <w:rPr>
          <w:rtl w:val="true"/>
        </w:rPr>
        <w:t xml:space="preserve">، </w:t>
      </w:r>
      <w:r>
        <w:rPr>
          <w:b/>
          <w:b/>
          <w:bCs/>
          <w:rtl w:val="true"/>
        </w:rPr>
        <w:t xml:space="preserve">المياه المعدنية، والمشروبات الغازية، وعصائر الفاكهة والخضراوات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بدون تاريخ</w:t>
      </w:r>
      <w:r>
        <w:rPr>
          <w:b/>
          <w:bCs/>
          <w:rtl w:val="true"/>
        </w:rPr>
        <w:t>)</w:t>
      </w:r>
      <w:r>
        <w:rPr>
          <w:rtl w:val="true"/>
        </w:rPr>
        <w:t xml:space="preserve"> </w:t>
      </w:r>
      <w:r>
        <w:rPr>
          <w:rtl w:val="true"/>
        </w:rPr>
        <w:t xml:space="preserve">ب </w:t>
      </w:r>
      <w:r>
        <w:rPr>
          <w:rtl w:val="true"/>
        </w:rPr>
        <w:t>-</w:t>
      </w:r>
      <w:r>
        <w:rPr/>
        <w:t>2.1</w:t>
      </w:r>
      <w:r>
        <w:rPr>
          <w:rtl w:val="true"/>
        </w:rPr>
        <w:t xml:space="preserve"> % ‏</w:t>
      </w:r>
      <w:r>
        <w:rPr>
          <w:rtl w:val="true"/>
        </w:rPr>
        <w:t xml:space="preserve">، </w:t>
      </w:r>
      <w:r>
        <w:rPr>
          <w:b/>
          <w:b/>
          <w:bCs/>
          <w:rtl w:val="true"/>
        </w:rPr>
        <w:t>الخبز والحبوب</w:t>
      </w:r>
      <w:r>
        <w:rPr>
          <w:rtl w:val="true"/>
        </w:rPr>
        <w:t xml:space="preserve"> ب </w:t>
      </w:r>
      <w:r>
        <w:rPr>
          <w:rtl w:val="true"/>
        </w:rPr>
        <w:t>-</w:t>
      </w:r>
      <w:r>
        <w:rPr/>
        <w:t>1.9</w:t>
      </w:r>
      <w:r>
        <w:rPr>
          <w:rtl w:val="true"/>
        </w:rPr>
        <w:t xml:space="preserve"> % ‏</w:t>
      </w:r>
      <w:r>
        <w:rPr>
          <w:rtl w:val="true"/>
        </w:rPr>
        <w:t xml:space="preserve">، </w:t>
      </w:r>
      <w:r>
        <w:rPr>
          <w:b/>
          <w:b/>
          <w:bCs/>
          <w:rtl w:val="true"/>
        </w:rPr>
        <w:t>مواد غذائية غير مصنفة في مكان آخر</w:t>
      </w:r>
      <w:r>
        <w:rPr>
          <w:rtl w:val="true"/>
        </w:rPr>
        <w:t xml:space="preserve"> ب </w:t>
      </w:r>
      <w:r>
        <w:rPr>
          <w:rtl w:val="true"/>
        </w:rPr>
        <w:t>-</w:t>
      </w:r>
      <w:r>
        <w:rPr/>
        <w:t>1</w:t>
      </w:r>
      <w:r>
        <w:rPr>
          <w:rtl w:val="true"/>
        </w:rPr>
        <w:t xml:space="preserve"> % ‏. </w:t>
      </w:r>
      <w:r>
        <w:rPr>
          <w:rtl w:val="true"/>
        </w:rPr>
        <w:t>وعلى الرغم من الارتفاعات المسجلة في أثمان المواد المكونة للمجموعات التالية</w:t>
      </w:r>
      <w:r>
        <w:rPr>
          <w:rtl w:val="true"/>
        </w:rPr>
        <w:t xml:space="preserve">: </w:t>
      </w:r>
      <w:r>
        <w:rPr>
          <w:b/>
          <w:b/>
          <w:bCs/>
          <w:rtl w:val="true"/>
        </w:rPr>
        <w:t>الأسماك والمأكولات البحرية</w:t>
      </w:r>
      <w:r>
        <w:rPr>
          <w:rtl w:val="true"/>
        </w:rPr>
        <w:t xml:space="preserve"> ب </w:t>
      </w:r>
      <w:r>
        <w:rPr/>
        <w:t>18.6</w:t>
      </w:r>
      <w:r>
        <w:rPr>
          <w:rtl w:val="true"/>
        </w:rPr>
        <w:t xml:space="preserve"> % ‏</w:t>
      </w:r>
      <w:r>
        <w:rPr>
          <w:rtl w:val="true"/>
        </w:rPr>
        <w:t xml:space="preserve">، </w:t>
      </w:r>
      <w:r>
        <w:rPr>
          <w:b/>
          <w:b/>
          <w:bCs/>
          <w:rtl w:val="true"/>
        </w:rPr>
        <w:t>الخضراوات</w:t>
      </w:r>
      <w:r>
        <w:rPr>
          <w:rtl w:val="true"/>
        </w:rPr>
        <w:t xml:space="preserve"> ب </w:t>
      </w:r>
      <w:r>
        <w:rPr/>
        <w:t>11.8</w:t>
      </w:r>
      <w:r>
        <w:rPr>
          <w:rtl w:val="true"/>
        </w:rPr>
        <w:t xml:space="preserve"> % ‏</w:t>
      </w:r>
      <w:r>
        <w:rPr>
          <w:rtl w:val="true"/>
        </w:rPr>
        <w:t xml:space="preserve">، </w:t>
      </w:r>
      <w:r>
        <w:rPr>
          <w:b/>
          <w:b/>
          <w:bCs/>
          <w:rtl w:val="true"/>
        </w:rPr>
        <w:t>مقهى، شاي وكاكاو</w:t>
      </w:r>
      <w:r>
        <w:rPr>
          <w:rtl w:val="true"/>
        </w:rPr>
        <w:t xml:space="preserve"> ب </w:t>
      </w:r>
      <w:r>
        <w:rPr/>
        <w:t>8.4</w:t>
      </w:r>
      <w:r>
        <w:rPr>
          <w:rtl w:val="true"/>
        </w:rPr>
        <w:t xml:space="preserve"> % ‏</w:t>
      </w:r>
      <w:r>
        <w:rPr>
          <w:rtl w:val="true"/>
        </w:rPr>
        <w:t xml:space="preserve">، </w:t>
      </w:r>
      <w:r>
        <w:rPr>
          <w:b/>
          <w:b/>
          <w:bCs/>
          <w:rtl w:val="true"/>
        </w:rPr>
        <w:t>التبغ</w:t>
      </w:r>
      <w:r>
        <w:rPr>
          <w:rtl w:val="true"/>
        </w:rPr>
        <w:t xml:space="preserve"> ب </w:t>
      </w:r>
      <w:r>
        <w:rPr/>
        <w:t>4.7</w:t>
      </w:r>
      <w:r>
        <w:rPr>
          <w:rtl w:val="true"/>
        </w:rPr>
        <w:t xml:space="preserve"> % ‏</w:t>
      </w:r>
      <w:r>
        <w:rPr>
          <w:rtl w:val="true"/>
        </w:rPr>
        <w:t xml:space="preserve">، </w:t>
      </w:r>
      <w:r>
        <w:rPr>
          <w:b/>
          <w:b/>
          <w:bCs/>
          <w:rtl w:val="true"/>
        </w:rPr>
        <w:t>الفواكه</w:t>
      </w:r>
      <w:r>
        <w:rPr>
          <w:rtl w:val="true"/>
        </w:rPr>
        <w:t xml:space="preserve"> ب </w:t>
      </w:r>
      <w:r>
        <w:rPr/>
        <w:t>2.1</w:t>
      </w:r>
      <w:r>
        <w:rPr>
          <w:rtl w:val="true"/>
        </w:rPr>
        <w:t xml:space="preserve"> % ‏</w:t>
      </w:r>
      <w:r>
        <w:rPr>
          <w:rtl w:val="true"/>
        </w:rPr>
        <w:t xml:space="preserve">، </w:t>
      </w:r>
      <w:r>
        <w:rPr>
          <w:b/>
          <w:b/>
          <w:bCs/>
          <w:rtl w:val="true"/>
        </w:rPr>
        <w:t>السكر، والمربى، والعسل، والشوكولاتة، والحلويات</w:t>
      </w:r>
      <w:r>
        <w:rPr>
          <w:rtl w:val="true"/>
        </w:rPr>
        <w:t xml:space="preserve"> ب </w:t>
      </w:r>
      <w:r>
        <w:rPr/>
        <w:t>0.5</w:t>
      </w:r>
      <w:r>
        <w:rPr>
          <w:rtl w:val="true"/>
        </w:rPr>
        <w:t xml:space="preserve"> % ‏ </w:t>
      </w:r>
      <w:r>
        <w:rPr>
          <w:rtl w:val="true"/>
        </w:rPr>
        <w:t>و كذا استقرار أثمان فإن ذلك لم يؤثر على التطور العام</w:t>
      </w:r>
      <w:r>
        <w:rPr/>
        <w:t>.</w:t>
      </w:r>
    </w:p>
    <w:p>
      <w:pPr>
        <w:pStyle w:val="ipccorps"/>
        <w:rPr/>
      </w:pPr>
      <w:r>
        <w:rPr>
          <w:rtl w:val="true"/>
        </w:rPr>
        <w:t xml:space="preserve">كما سجل التغير السنوي لمؤشر المواد غير الغذائية انخفاضا ب </w:t>
      </w:r>
      <w:r>
        <w:rPr>
          <w:rtl w:val="true"/>
        </w:rPr>
        <w:t>-</w:t>
      </w:r>
      <w:r>
        <w:rPr/>
        <w:t>0.1</w:t>
      </w:r>
      <w:r>
        <w:rPr>
          <w:rtl w:val="true"/>
        </w:rPr>
        <w:t xml:space="preserve"> %</w:t>
      </w:r>
      <w:r>
        <w:rPr>
          <w:rtl w:val="true"/>
        </w:rPr>
        <w:t xml:space="preserve">، نتيجة التباين بين أقسامه حيث انخفض قسم </w:t>
      </w:r>
      <w:r>
        <w:rPr>
          <w:b/>
          <w:b/>
          <w:bCs/>
          <w:rtl w:val="true"/>
        </w:rPr>
        <w:t>مواصلات</w:t>
      </w:r>
      <w:r>
        <w:rPr>
          <w:rtl w:val="true"/>
        </w:rPr>
        <w:t xml:space="preserve"> ب </w:t>
      </w:r>
      <w:r>
        <w:rPr>
          <w:rtl w:val="true"/>
        </w:rPr>
        <w:t>-</w:t>
      </w:r>
      <w:r>
        <w:rPr/>
        <w:t>5.6</w:t>
      </w:r>
      <w:r>
        <w:rPr>
          <w:rtl w:val="true"/>
        </w:rPr>
        <w:t xml:space="preserve"> % ‏ </w:t>
      </w:r>
      <w:r>
        <w:rPr>
          <w:rtl w:val="true"/>
        </w:rPr>
        <w:t xml:space="preserve">بينما ارتفع </w:t>
      </w:r>
      <w:r>
        <w:rPr>
          <w:b/>
          <w:b/>
          <w:bCs/>
          <w:rtl w:val="true"/>
        </w:rPr>
        <w:t>سلع وخدمات متنوعة</w:t>
      </w:r>
      <w:r>
        <w:rPr>
          <w:rtl w:val="true"/>
        </w:rPr>
        <w:t xml:space="preserve"> ب </w:t>
      </w:r>
      <w:r>
        <w:rPr/>
        <w:t>3.6</w:t>
      </w:r>
      <w:r>
        <w:rPr>
          <w:rtl w:val="true"/>
        </w:rPr>
        <w:t xml:space="preserve"> % ‏</w:t>
      </w:r>
    </w:p>
    <w:p>
      <w:pPr>
        <w:pStyle w:val="ipctitre0"/>
        <w:rPr/>
      </w:pPr>
      <w:r>
        <w:rPr/>
        <w:t xml:space="preserve">1- </w:t>
      </w:r>
      <w:r>
        <w:rPr>
          <w:rtl w:val="true"/>
        </w:rPr>
        <w:t xml:space="preserve">تطور معدل التغير السنوي </w:t>
      </w:r>
      <w:r>
        <w:rPr>
          <w:rtl w:val="true"/>
        </w:rPr>
        <w:t xml:space="preserve">(%) </w:t>
      </w:r>
      <w:r>
        <w:rPr>
          <w:rtl w:val="true"/>
        </w:rPr>
        <w:t>للرقم الاستدلالي للأثمان عند الاستهلاك لشهر فبراير</w:t>
      </w:r>
    </w:p>
    <w:p>
      <w:pPr>
        <w:pStyle w:val="BodyText"/>
        <w:rPr/>
      </w:pPr>
      <w:r>
        <w:rPr/>
        <w:drawing>
          <wp:inline distT="0" distB="0" distL="0" distR="0">
            <wp:extent cx="5544185" cy="3696335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85" cy="369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pccorps"/>
        <w:rPr/>
      </w:pPr>
      <w:r>
        <w:rPr>
          <w:rtl w:val="true"/>
        </w:rPr>
        <w:t>قراءة</w:t>
      </w:r>
      <w:r>
        <w:rPr>
          <w:rtl w:val="true"/>
        </w:rPr>
        <w:t xml:space="preserve">: </w:t>
      </w:r>
      <w:r>
        <w:rPr>
          <w:rtl w:val="true"/>
        </w:rPr>
        <w:t xml:space="preserve">في فبراير </w:t>
      </w:r>
      <w:r>
        <w:rPr/>
        <w:t>2026</w:t>
      </w:r>
      <w:r>
        <w:rPr>
          <w:rtl w:val="true"/>
        </w:rPr>
        <w:t xml:space="preserve"> </w:t>
      </w:r>
      <w:r>
        <w:rPr>
          <w:rtl w:val="true"/>
        </w:rPr>
        <w:t xml:space="preserve">انخفض الرقم الاستدلالي للأثمان عند الاستهلاك </w:t>
      </w:r>
      <w:r>
        <w:rPr>
          <w:rtl w:val="true"/>
        </w:rPr>
        <w:t>-</w:t>
      </w:r>
      <w:r>
        <w:rPr/>
        <w:t>0.2</w:t>
      </w:r>
      <w:r>
        <w:rPr>
          <w:rtl w:val="true"/>
        </w:rPr>
        <w:t xml:space="preserve"> % </w:t>
      </w:r>
      <w:r>
        <w:rPr>
          <w:rtl w:val="true"/>
        </w:rPr>
        <w:t xml:space="preserve">مقارنة بشهر فبراير </w:t>
      </w:r>
      <w:r>
        <w:rPr/>
        <w:t>2025</w:t>
      </w:r>
    </w:p>
    <w:p>
      <w:pPr>
        <w:pStyle w:val="ipctitre0"/>
        <w:rPr/>
      </w:pPr>
      <w:r>
        <w:rPr/>
        <w:t xml:space="preserve">2- </w:t>
      </w:r>
      <w:r>
        <w:rPr>
          <w:rtl w:val="true"/>
        </w:rPr>
        <w:t xml:space="preserve">تطور معدل التغير السنوي </w:t>
      </w:r>
      <w:r>
        <w:rPr>
          <w:rtl w:val="true"/>
        </w:rPr>
        <w:t xml:space="preserve">(%) </w:t>
      </w:r>
      <w:r>
        <w:rPr>
          <w:rtl w:val="true"/>
        </w:rPr>
        <w:t>للرقم الاستدلالي للأثمان عند الاستهلاك لشهر فبراير</w:t>
      </w:r>
    </w:p>
    <w:p>
      <w:pPr>
        <w:pStyle w:val="BodyText"/>
        <w:rPr/>
      </w:pPr>
      <w:r>
        <w:rPr/>
        <w:drawing>
          <wp:inline distT="0" distB="0" distL="0" distR="0">
            <wp:extent cx="5544185" cy="369633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85" cy="369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pccorps"/>
        <w:rPr/>
      </w:pPr>
      <w:r>
        <w:rPr>
          <w:rtl w:val="true"/>
        </w:rPr>
        <w:t>قراءة</w:t>
      </w:r>
      <w:r>
        <w:rPr>
          <w:rtl w:val="true"/>
        </w:rPr>
        <w:t xml:space="preserve">: </w:t>
      </w:r>
      <w:r>
        <w:rPr>
          <w:rtl w:val="true"/>
        </w:rPr>
        <w:t xml:space="preserve">في فبراير </w:t>
      </w:r>
      <w:r>
        <w:rPr/>
        <w:t>2026</w:t>
      </w:r>
      <w:r>
        <w:rPr>
          <w:rtl w:val="true"/>
        </w:rPr>
        <w:t xml:space="preserve"> </w:t>
      </w:r>
      <w:r>
        <w:rPr>
          <w:rtl w:val="true"/>
        </w:rPr>
        <w:t xml:space="preserve">ارتفع الرقم الاستدلالي للأثمان عند الاستهلاك ب </w:t>
      </w:r>
      <w:r>
        <w:rPr/>
        <w:t>0.7</w:t>
      </w:r>
      <w:r>
        <w:rPr>
          <w:rtl w:val="true"/>
        </w:rPr>
        <w:t xml:space="preserve"> % </w:t>
      </w:r>
      <w:r>
        <w:rPr>
          <w:rtl w:val="true"/>
        </w:rPr>
        <w:t xml:space="preserve">مقارنة بشهر يناير </w:t>
      </w:r>
      <w:r>
        <w:rPr/>
        <w:t>2026</w:t>
      </w:r>
    </w:p>
    <w:p>
      <w:pPr>
        <w:pStyle w:val="ipcpara0"/>
        <w:rPr/>
      </w:pPr>
      <w:r>
        <w:rPr>
          <w:rtl w:val="true"/>
        </w:rPr>
        <w:t xml:space="preserve">جدول </w:t>
      </w:r>
      <w:r>
        <w:rPr/>
        <w:t>2</w:t>
      </w:r>
      <w:r>
        <w:rPr>
          <w:rtl w:val="true"/>
        </w:rPr>
        <w:t xml:space="preserve">: </w:t>
      </w:r>
      <w:r>
        <w:rPr>
          <w:rtl w:val="true"/>
        </w:rPr>
        <w:t xml:space="preserve">الرقم الاستدلالي للأثمان عند الاستهلاك لمدينة الحسيمة فبراير </w:t>
      </w:r>
      <w:r>
        <w:rPr>
          <w:rtl w:val="true"/>
        </w:rPr>
        <w:t>:</w:t>
      </w:r>
      <w:r>
        <w:rPr/>
        <w:t>2026</w:t>
      </w:r>
      <w:r>
        <w:rPr>
          <w:rtl w:val="true"/>
        </w:rPr>
        <w:t xml:space="preserve"> (</w:t>
      </w:r>
      <w:r>
        <w:rPr>
          <w:rtl w:val="true"/>
        </w:rPr>
        <w:t xml:space="preserve">أساس </w:t>
      </w:r>
      <w:r>
        <w:rPr/>
        <w:t>2017:100</w:t>
      </w:r>
      <w:r>
        <w:rPr>
          <w:rtl w:val="true"/>
        </w:rPr>
        <w:t>)</w:t>
      </w:r>
    </w:p>
    <w:tbl>
      <w:tblPr>
        <w:tblW w:w="10604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0" w:lastColumn="0" w:noHBand="0"/>
      </w:tblPr>
      <w:tblGrid>
        <w:gridCol w:w="794"/>
        <w:gridCol w:w="794"/>
        <w:gridCol w:w="793"/>
        <w:gridCol w:w="794"/>
        <w:gridCol w:w="795"/>
        <w:gridCol w:w="794"/>
        <w:gridCol w:w="793"/>
        <w:gridCol w:w="794"/>
        <w:gridCol w:w="851"/>
        <w:gridCol w:w="3402"/>
      </w:tblGrid>
      <w:tr>
        <w:trPr>
          <w:tblHeader w:val="true"/>
          <w:trHeight w:val="507" w:hRule="atLeast"/>
        </w:trPr>
        <w:tc>
          <w:tcPr>
            <w:tcW w:w="2381" w:type="dxa"/>
            <w:gridSpan w:val="3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432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Times New Roman" w:hAnsi="Times New Roman" w:eastAsia="Times New Roman"/>
                <w:b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  <w:rtl w:val="true"/>
              </w:rPr>
              <w:t xml:space="preserve">التغير </w:t>
            </w: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  <w:rtl w:val="true"/>
              </w:rPr>
              <w:t xml:space="preserve">(%) </w:t>
            </w:r>
            <w:r>
              <w:rPr>
                <w:rFonts w:ascii="Times New Roman" w:hAnsi="Times New Roman" w:eastAsia="Times New Roman"/>
                <w:b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  <w:rtl w:val="true"/>
              </w:rPr>
              <w:t>منذ</w:t>
            </w:r>
          </w:p>
        </w:tc>
        <w:tc>
          <w:tcPr>
            <w:tcW w:w="3970" w:type="dxa"/>
            <w:gridSpan w:val="5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432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Times New Roman" w:hAnsi="Times New Roman" w:eastAsia="Times New Roman"/>
                <w:b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  <w:rtl w:val="true"/>
              </w:rPr>
              <w:t>الرقم الاستدلالي لشهر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432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Times New Roman" w:hAnsi="Times New Roman" w:eastAsia="Times New Roman"/>
                <w:b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  <w:rtl w:val="true"/>
              </w:rPr>
              <w:t>الترجيحات</w:t>
            </w:r>
          </w:p>
        </w:tc>
        <w:tc>
          <w:tcPr>
            <w:tcW w:w="3402" w:type="dxa"/>
            <w:vMerge w:val="restart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432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Times New Roman" w:hAnsi="Times New Roman" w:eastAsia="Times New Roman"/>
                <w:b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  <w:rtl w:val="true"/>
              </w:rPr>
              <w:t>أقسام المواد</w:t>
            </w:r>
          </w:p>
        </w:tc>
      </w:tr>
      <w:tr>
        <w:trPr>
          <w:tblHeader w:val="true"/>
          <w:trHeight w:val="507" w:hRule="atLeast"/>
        </w:trPr>
        <w:tc>
          <w:tcPr>
            <w:tcW w:w="794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432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 xml:space="preserve">12 </w:t>
            </w:r>
            <w:r>
              <w:rPr>
                <w:rFonts w:ascii="Times New Roman" w:hAnsi="Times New Roman" w:eastAsia="Times New Roman"/>
                <w:b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  <w:rtl w:val="true"/>
              </w:rPr>
              <w:t>شهرا</w:t>
            </w:r>
          </w:p>
        </w:tc>
        <w:tc>
          <w:tcPr>
            <w:tcW w:w="794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432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</w:t>
            </w:r>
            <w:r>
              <w:rPr>
                <w:rFonts w:ascii="Times New Roman" w:hAnsi="Times New Roman" w:eastAsia="Times New Roman"/>
                <w:b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  <w:rtl w:val="true"/>
              </w:rPr>
              <w:t>أشهر</w:t>
            </w:r>
          </w:p>
        </w:tc>
        <w:tc>
          <w:tcPr>
            <w:tcW w:w="793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432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Times New Roman" w:hAnsi="Times New Roman" w:eastAsia="Times New Roman"/>
                <w:b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  <w:rtl w:val="true"/>
              </w:rPr>
              <w:t>شهر واحد</w:t>
            </w:r>
          </w:p>
        </w:tc>
        <w:tc>
          <w:tcPr>
            <w:tcW w:w="794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432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Times New Roman" w:hAnsi="Times New Roman" w:eastAsia="Times New Roman"/>
                <w:b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  <w:rtl w:val="true"/>
              </w:rPr>
              <w:t xml:space="preserve">فبراير </w:t>
            </w: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2026</w:t>
            </w:r>
          </w:p>
        </w:tc>
        <w:tc>
          <w:tcPr>
            <w:tcW w:w="795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432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Times New Roman" w:hAnsi="Times New Roman" w:eastAsia="Times New Roman"/>
                <w:b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  <w:rtl w:val="true"/>
              </w:rPr>
              <w:t xml:space="preserve">يناير </w:t>
            </w: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2026</w:t>
            </w:r>
          </w:p>
        </w:tc>
        <w:tc>
          <w:tcPr>
            <w:tcW w:w="794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432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Times New Roman" w:hAnsi="Times New Roman" w:eastAsia="Times New Roman"/>
                <w:b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  <w:rtl w:val="true"/>
              </w:rPr>
              <w:t xml:space="preserve">دجنبر </w:t>
            </w: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2025</w:t>
            </w:r>
          </w:p>
        </w:tc>
        <w:tc>
          <w:tcPr>
            <w:tcW w:w="793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432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Times New Roman" w:hAnsi="Times New Roman" w:eastAsia="Times New Roman"/>
                <w:b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  <w:rtl w:val="true"/>
              </w:rPr>
              <w:t xml:space="preserve">نونبر </w:t>
            </w: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2025</w:t>
            </w:r>
          </w:p>
        </w:tc>
        <w:tc>
          <w:tcPr>
            <w:tcW w:w="794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432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Times New Roman" w:hAnsi="Times New Roman" w:eastAsia="Times New Roman"/>
                <w:b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  <w:rtl w:val="true"/>
              </w:rPr>
              <w:t xml:space="preserve">فبراير </w:t>
            </w: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2025</w:t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432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402" w:type="dxa"/>
            <w:vMerge w:val="continue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432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>
          <w:trHeight w:val="360" w:hRule="atLeast"/>
        </w:trPr>
        <w:tc>
          <w:tcPr>
            <w:tcW w:w="794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-0,4</w:t>
            </w:r>
          </w:p>
        </w:tc>
        <w:tc>
          <w:tcPr>
            <w:tcW w:w="794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1,8</w:t>
            </w:r>
          </w:p>
        </w:tc>
        <w:tc>
          <w:tcPr>
            <w:tcW w:w="793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1,1</w:t>
            </w:r>
          </w:p>
        </w:tc>
        <w:tc>
          <w:tcPr>
            <w:tcW w:w="794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137,7</w:t>
            </w:r>
          </w:p>
        </w:tc>
        <w:tc>
          <w:tcPr>
            <w:tcW w:w="795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136,2</w:t>
            </w:r>
          </w:p>
        </w:tc>
        <w:tc>
          <w:tcPr>
            <w:tcW w:w="794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134,1</w:t>
            </w:r>
          </w:p>
        </w:tc>
        <w:tc>
          <w:tcPr>
            <w:tcW w:w="793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135,3</w:t>
            </w:r>
          </w:p>
        </w:tc>
        <w:tc>
          <w:tcPr>
            <w:tcW w:w="794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138,3</w:t>
            </w:r>
          </w:p>
        </w:tc>
        <w:tc>
          <w:tcPr>
            <w:tcW w:w="851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49,716</w:t>
            </w:r>
          </w:p>
        </w:tc>
        <w:tc>
          <w:tcPr>
            <w:tcW w:w="3402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Times New Roman" w:hAnsi="Times New Roman" w:eastAsia="Times New Roman"/>
                <w:b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  <w:rtl w:val="true"/>
              </w:rPr>
              <w:t>المواد الغذائية</w:t>
            </w:r>
          </w:p>
        </w:tc>
      </w:tr>
      <w:tr>
        <w:trPr>
          <w:trHeight w:val="360" w:hRule="atLeast"/>
        </w:trPr>
        <w:tc>
          <w:tcPr>
            <w:tcW w:w="794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-0,6</w:t>
            </w:r>
          </w:p>
        </w:tc>
        <w:tc>
          <w:tcPr>
            <w:tcW w:w="794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1,7</w:t>
            </w:r>
          </w:p>
        </w:tc>
        <w:tc>
          <w:tcPr>
            <w:tcW w:w="793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1,2</w:t>
            </w:r>
          </w:p>
        </w:tc>
        <w:tc>
          <w:tcPr>
            <w:tcW w:w="794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137,2</w:t>
            </w:r>
          </w:p>
        </w:tc>
        <w:tc>
          <w:tcPr>
            <w:tcW w:w="795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135,6</w:t>
            </w:r>
          </w:p>
        </w:tc>
        <w:tc>
          <w:tcPr>
            <w:tcW w:w="794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133,6</w:t>
            </w:r>
          </w:p>
        </w:tc>
        <w:tc>
          <w:tcPr>
            <w:tcW w:w="793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134,9</w:t>
            </w:r>
          </w:p>
        </w:tc>
        <w:tc>
          <w:tcPr>
            <w:tcW w:w="794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138,0</w:t>
            </w:r>
          </w:p>
        </w:tc>
        <w:tc>
          <w:tcPr>
            <w:tcW w:w="851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48,371</w:t>
            </w:r>
          </w:p>
        </w:tc>
        <w:tc>
          <w:tcPr>
            <w:tcW w:w="3402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 xml:space="preserve">01- </w:t>
            </w:r>
            <w:r>
              <w:rPr>
                <w:rFonts w:ascii="Times New Roman" w:hAnsi="Times New Roman" w:eastAsia="Times New Roman"/>
                <w:b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  <w:rtl w:val="true"/>
              </w:rPr>
              <w:t>المواد الغذائية والمشروبات غير الكحولية</w:t>
            </w:r>
          </w:p>
        </w:tc>
      </w:tr>
      <w:tr>
        <w:trPr>
          <w:trHeight w:val="360" w:hRule="atLeast"/>
        </w:trPr>
        <w:tc>
          <w:tcPr>
            <w:tcW w:w="794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5,0</w:t>
            </w:r>
          </w:p>
        </w:tc>
        <w:tc>
          <w:tcPr>
            <w:tcW w:w="794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4,1</w:t>
            </w:r>
          </w:p>
        </w:tc>
        <w:tc>
          <w:tcPr>
            <w:tcW w:w="793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0,0</w:t>
            </w:r>
          </w:p>
        </w:tc>
        <w:tc>
          <w:tcPr>
            <w:tcW w:w="794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156,3</w:t>
            </w:r>
          </w:p>
        </w:tc>
        <w:tc>
          <w:tcPr>
            <w:tcW w:w="795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156,3</w:t>
            </w:r>
          </w:p>
        </w:tc>
        <w:tc>
          <w:tcPr>
            <w:tcW w:w="794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150,8</w:t>
            </w:r>
          </w:p>
        </w:tc>
        <w:tc>
          <w:tcPr>
            <w:tcW w:w="793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150,1</w:t>
            </w:r>
          </w:p>
        </w:tc>
        <w:tc>
          <w:tcPr>
            <w:tcW w:w="794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148,9</w:t>
            </w:r>
          </w:p>
        </w:tc>
        <w:tc>
          <w:tcPr>
            <w:tcW w:w="851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1,345</w:t>
            </w:r>
          </w:p>
        </w:tc>
        <w:tc>
          <w:tcPr>
            <w:tcW w:w="3402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 xml:space="preserve">02- </w:t>
            </w:r>
            <w:r>
              <w:rPr>
                <w:rFonts w:ascii="Times New Roman" w:hAnsi="Times New Roman" w:eastAsia="Times New Roman"/>
                <w:b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  <w:rtl w:val="true"/>
              </w:rPr>
              <w:t>المشروبات الكحولية والتبغ</w:t>
            </w:r>
          </w:p>
        </w:tc>
      </w:tr>
      <w:tr>
        <w:trPr>
          <w:trHeight w:val="360" w:hRule="atLeast"/>
        </w:trPr>
        <w:tc>
          <w:tcPr>
            <w:tcW w:w="794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-0,1</w:t>
            </w:r>
          </w:p>
        </w:tc>
        <w:tc>
          <w:tcPr>
            <w:tcW w:w="794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0,1</w:t>
            </w:r>
          </w:p>
        </w:tc>
        <w:tc>
          <w:tcPr>
            <w:tcW w:w="793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0,2</w:t>
            </w:r>
          </w:p>
        </w:tc>
        <w:tc>
          <w:tcPr>
            <w:tcW w:w="794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109,7</w:t>
            </w:r>
          </w:p>
        </w:tc>
        <w:tc>
          <w:tcPr>
            <w:tcW w:w="795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109,5</w:t>
            </w:r>
          </w:p>
        </w:tc>
        <w:tc>
          <w:tcPr>
            <w:tcW w:w="794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109,8</w:t>
            </w:r>
          </w:p>
        </w:tc>
        <w:tc>
          <w:tcPr>
            <w:tcW w:w="793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109,6</w:t>
            </w:r>
          </w:p>
        </w:tc>
        <w:tc>
          <w:tcPr>
            <w:tcW w:w="794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109,8</w:t>
            </w:r>
          </w:p>
        </w:tc>
        <w:tc>
          <w:tcPr>
            <w:tcW w:w="851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50,284</w:t>
            </w:r>
          </w:p>
        </w:tc>
        <w:tc>
          <w:tcPr>
            <w:tcW w:w="3402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Times New Roman" w:hAnsi="Times New Roman" w:eastAsia="Times New Roman"/>
                <w:b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  <w:rtl w:val="true"/>
              </w:rPr>
              <w:t>المواد غير الغذائية</w:t>
            </w:r>
          </w:p>
        </w:tc>
      </w:tr>
      <w:tr>
        <w:trPr>
          <w:trHeight w:val="360" w:hRule="atLeast"/>
        </w:trPr>
        <w:tc>
          <w:tcPr>
            <w:tcW w:w="794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-0,9</w:t>
            </w:r>
          </w:p>
        </w:tc>
        <w:tc>
          <w:tcPr>
            <w:tcW w:w="794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0,1</w:t>
            </w:r>
          </w:p>
        </w:tc>
        <w:tc>
          <w:tcPr>
            <w:tcW w:w="793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-0,1</w:t>
            </w:r>
          </w:p>
        </w:tc>
        <w:tc>
          <w:tcPr>
            <w:tcW w:w="794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117,4</w:t>
            </w:r>
          </w:p>
        </w:tc>
        <w:tc>
          <w:tcPr>
            <w:tcW w:w="795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117,5</w:t>
            </w:r>
          </w:p>
        </w:tc>
        <w:tc>
          <w:tcPr>
            <w:tcW w:w="794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117,5</w:t>
            </w:r>
          </w:p>
        </w:tc>
        <w:tc>
          <w:tcPr>
            <w:tcW w:w="793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117,3</w:t>
            </w:r>
          </w:p>
        </w:tc>
        <w:tc>
          <w:tcPr>
            <w:tcW w:w="794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118,5</w:t>
            </w:r>
          </w:p>
        </w:tc>
        <w:tc>
          <w:tcPr>
            <w:tcW w:w="851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5,155</w:t>
            </w:r>
          </w:p>
        </w:tc>
        <w:tc>
          <w:tcPr>
            <w:tcW w:w="3402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 xml:space="preserve">03 - </w:t>
            </w:r>
            <w:r>
              <w:rPr>
                <w:rFonts w:ascii="Times New Roman" w:hAnsi="Times New Roman" w:eastAsia="Times New Roman"/>
                <w:b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  <w:rtl w:val="true"/>
              </w:rPr>
              <w:t>الملابس والأحذية</w:t>
            </w:r>
          </w:p>
        </w:tc>
      </w:tr>
      <w:tr>
        <w:trPr>
          <w:trHeight w:val="360" w:hRule="atLeast"/>
        </w:trPr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1,5</w:t>
            </w:r>
          </w:p>
        </w:tc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0,2</w:t>
            </w:r>
          </w:p>
        </w:tc>
        <w:tc>
          <w:tcPr>
            <w:tcW w:w="79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0,0</w:t>
            </w:r>
          </w:p>
        </w:tc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107,1</w:t>
            </w:r>
          </w:p>
        </w:tc>
        <w:tc>
          <w:tcPr>
            <w:tcW w:w="79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107,1</w:t>
            </w:r>
          </w:p>
        </w:tc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106,9</w:t>
            </w:r>
          </w:p>
        </w:tc>
        <w:tc>
          <w:tcPr>
            <w:tcW w:w="79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106,9</w:t>
            </w:r>
          </w:p>
        </w:tc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105,5</w:t>
            </w:r>
          </w:p>
        </w:tc>
        <w:tc>
          <w:tcPr>
            <w:tcW w:w="851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11,732</w:t>
            </w:r>
          </w:p>
        </w:tc>
        <w:tc>
          <w:tcPr>
            <w:tcW w:w="340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 xml:space="preserve">04 - </w:t>
            </w:r>
            <w:r>
              <w:rPr>
                <w:rFonts w:ascii="Times New Roman" w:hAnsi="Times New Roman" w:eastAsia="Times New Roman"/>
                <w:b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  <w:rtl w:val="true"/>
              </w:rPr>
              <w:t>السكن والماء والكهرباء والغاز ومحروقات أخرى</w:t>
            </w:r>
          </w:p>
        </w:tc>
      </w:tr>
      <w:tr>
        <w:trPr>
          <w:trHeight w:val="360" w:hRule="atLeast"/>
        </w:trPr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-0,5</w:t>
            </w:r>
          </w:p>
        </w:tc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-0,3</w:t>
            </w:r>
          </w:p>
        </w:tc>
        <w:tc>
          <w:tcPr>
            <w:tcW w:w="79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-0,1</w:t>
            </w:r>
          </w:p>
        </w:tc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112,8</w:t>
            </w:r>
          </w:p>
        </w:tc>
        <w:tc>
          <w:tcPr>
            <w:tcW w:w="79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112,9</w:t>
            </w:r>
          </w:p>
        </w:tc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113,0</w:t>
            </w:r>
          </w:p>
        </w:tc>
        <w:tc>
          <w:tcPr>
            <w:tcW w:w="79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113,1</w:t>
            </w:r>
          </w:p>
        </w:tc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113,4</w:t>
            </w:r>
          </w:p>
        </w:tc>
        <w:tc>
          <w:tcPr>
            <w:tcW w:w="851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3,094</w:t>
            </w:r>
          </w:p>
        </w:tc>
        <w:tc>
          <w:tcPr>
            <w:tcW w:w="340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 xml:space="preserve">05 - </w:t>
            </w:r>
            <w:r>
              <w:rPr>
                <w:rFonts w:ascii="Times New Roman" w:hAnsi="Times New Roman" w:eastAsia="Times New Roman"/>
                <w:b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  <w:rtl w:val="true"/>
              </w:rPr>
              <w:t>الأثاث والأدوات المنزلية والصيانة العادية للمنزل</w:t>
            </w:r>
          </w:p>
        </w:tc>
      </w:tr>
      <w:tr>
        <w:trPr>
          <w:trHeight w:val="360" w:hRule="atLeast"/>
        </w:trPr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0,3</w:t>
            </w:r>
          </w:p>
        </w:tc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0,3</w:t>
            </w:r>
          </w:p>
        </w:tc>
        <w:tc>
          <w:tcPr>
            <w:tcW w:w="79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0,0</w:t>
            </w:r>
          </w:p>
        </w:tc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99,1</w:t>
            </w:r>
          </w:p>
        </w:tc>
        <w:tc>
          <w:tcPr>
            <w:tcW w:w="79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99,1</w:t>
            </w:r>
          </w:p>
        </w:tc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98,8</w:t>
            </w:r>
          </w:p>
        </w:tc>
        <w:tc>
          <w:tcPr>
            <w:tcW w:w="79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98,8</w:t>
            </w:r>
          </w:p>
        </w:tc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98,8</w:t>
            </w:r>
          </w:p>
        </w:tc>
        <w:tc>
          <w:tcPr>
            <w:tcW w:w="851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6,413</w:t>
            </w:r>
          </w:p>
        </w:tc>
        <w:tc>
          <w:tcPr>
            <w:tcW w:w="340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 xml:space="preserve">06 - </w:t>
            </w:r>
            <w:r>
              <w:rPr>
                <w:rFonts w:ascii="Times New Roman" w:hAnsi="Times New Roman" w:eastAsia="Times New Roman"/>
                <w:b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  <w:rtl w:val="true"/>
              </w:rPr>
              <w:t>الصحة</w:t>
            </w:r>
          </w:p>
        </w:tc>
      </w:tr>
      <w:tr>
        <w:trPr>
          <w:trHeight w:val="360" w:hRule="atLeast"/>
        </w:trPr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-5,6</w:t>
            </w:r>
          </w:p>
        </w:tc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-1,6</w:t>
            </w:r>
          </w:p>
        </w:tc>
        <w:tc>
          <w:tcPr>
            <w:tcW w:w="79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0,4</w:t>
            </w:r>
          </w:p>
        </w:tc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114,3</w:t>
            </w:r>
          </w:p>
        </w:tc>
        <w:tc>
          <w:tcPr>
            <w:tcW w:w="79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113,9</w:t>
            </w:r>
          </w:p>
        </w:tc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116,8</w:t>
            </w:r>
          </w:p>
        </w:tc>
        <w:tc>
          <w:tcPr>
            <w:tcW w:w="79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116,2</w:t>
            </w:r>
          </w:p>
        </w:tc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121,1</w:t>
            </w:r>
          </w:p>
        </w:tc>
        <w:tc>
          <w:tcPr>
            <w:tcW w:w="851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7,704</w:t>
            </w:r>
          </w:p>
        </w:tc>
        <w:tc>
          <w:tcPr>
            <w:tcW w:w="340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 xml:space="preserve">07 - </w:t>
            </w:r>
            <w:r>
              <w:rPr>
                <w:rFonts w:ascii="Times New Roman" w:hAnsi="Times New Roman" w:eastAsia="Times New Roman"/>
                <w:b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  <w:rtl w:val="true"/>
              </w:rPr>
              <w:t>النقل</w:t>
            </w:r>
          </w:p>
        </w:tc>
      </w:tr>
      <w:tr>
        <w:trPr>
          <w:trHeight w:val="360" w:hRule="atLeast"/>
        </w:trPr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-0,2</w:t>
            </w:r>
          </w:p>
        </w:tc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0,0</w:t>
            </w:r>
          </w:p>
        </w:tc>
        <w:tc>
          <w:tcPr>
            <w:tcW w:w="79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0,0</w:t>
            </w:r>
          </w:p>
        </w:tc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101,4</w:t>
            </w:r>
          </w:p>
        </w:tc>
        <w:tc>
          <w:tcPr>
            <w:tcW w:w="79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101,4</w:t>
            </w:r>
          </w:p>
        </w:tc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101,4</w:t>
            </w:r>
          </w:p>
        </w:tc>
        <w:tc>
          <w:tcPr>
            <w:tcW w:w="79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101,4</w:t>
            </w:r>
          </w:p>
        </w:tc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101,6</w:t>
            </w:r>
          </w:p>
        </w:tc>
        <w:tc>
          <w:tcPr>
            <w:tcW w:w="851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2,892</w:t>
            </w:r>
          </w:p>
        </w:tc>
        <w:tc>
          <w:tcPr>
            <w:tcW w:w="340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 xml:space="preserve">08 - </w:t>
            </w:r>
            <w:r>
              <w:rPr>
                <w:rFonts w:ascii="Times New Roman" w:hAnsi="Times New Roman" w:eastAsia="Times New Roman"/>
                <w:b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  <w:rtl w:val="true"/>
              </w:rPr>
              <w:t>المواصلات</w:t>
            </w:r>
          </w:p>
        </w:tc>
      </w:tr>
      <w:tr>
        <w:trPr>
          <w:trHeight w:val="360" w:hRule="atLeast"/>
        </w:trPr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2,1</w:t>
            </w:r>
          </w:p>
        </w:tc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2,2</w:t>
            </w:r>
          </w:p>
        </w:tc>
        <w:tc>
          <w:tcPr>
            <w:tcW w:w="79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0,0</w:t>
            </w:r>
          </w:p>
        </w:tc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97,0</w:t>
            </w:r>
          </w:p>
        </w:tc>
        <w:tc>
          <w:tcPr>
            <w:tcW w:w="79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97,0</w:t>
            </w:r>
          </w:p>
        </w:tc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96,4</w:t>
            </w:r>
          </w:p>
        </w:tc>
        <w:tc>
          <w:tcPr>
            <w:tcW w:w="79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94,9</w:t>
            </w:r>
          </w:p>
        </w:tc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95,0</w:t>
            </w:r>
          </w:p>
        </w:tc>
        <w:tc>
          <w:tcPr>
            <w:tcW w:w="851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1,933</w:t>
            </w:r>
          </w:p>
        </w:tc>
        <w:tc>
          <w:tcPr>
            <w:tcW w:w="340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 xml:space="preserve">09 - </w:t>
            </w:r>
            <w:r>
              <w:rPr>
                <w:rFonts w:ascii="Times New Roman" w:hAnsi="Times New Roman" w:eastAsia="Times New Roman"/>
                <w:b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  <w:rtl w:val="true"/>
              </w:rPr>
              <w:t>الترفيه والثقافة</w:t>
            </w:r>
          </w:p>
        </w:tc>
      </w:tr>
      <w:tr>
        <w:trPr>
          <w:trHeight w:val="360" w:hRule="atLeast"/>
        </w:trPr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0,6</w:t>
            </w:r>
          </w:p>
        </w:tc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0,0</w:t>
            </w:r>
          </w:p>
        </w:tc>
        <w:tc>
          <w:tcPr>
            <w:tcW w:w="79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0,0</w:t>
            </w:r>
          </w:p>
        </w:tc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114,8</w:t>
            </w:r>
          </w:p>
        </w:tc>
        <w:tc>
          <w:tcPr>
            <w:tcW w:w="79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114,8</w:t>
            </w:r>
          </w:p>
        </w:tc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114,8</w:t>
            </w:r>
          </w:p>
        </w:tc>
        <w:tc>
          <w:tcPr>
            <w:tcW w:w="79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114,8</w:t>
            </w:r>
          </w:p>
        </w:tc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114,1</w:t>
            </w:r>
          </w:p>
        </w:tc>
        <w:tc>
          <w:tcPr>
            <w:tcW w:w="851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3,842</w:t>
            </w:r>
          </w:p>
        </w:tc>
        <w:tc>
          <w:tcPr>
            <w:tcW w:w="340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 xml:space="preserve">10 - </w:t>
            </w:r>
            <w:r>
              <w:rPr>
                <w:rFonts w:ascii="Times New Roman" w:hAnsi="Times New Roman" w:eastAsia="Times New Roman"/>
                <w:b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  <w:rtl w:val="true"/>
              </w:rPr>
              <w:t>التعليم</w:t>
            </w:r>
          </w:p>
        </w:tc>
      </w:tr>
      <w:tr>
        <w:trPr>
          <w:trHeight w:val="360" w:hRule="atLeast"/>
        </w:trPr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2,9</w:t>
            </w:r>
          </w:p>
        </w:tc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0,1</w:t>
            </w:r>
          </w:p>
        </w:tc>
        <w:tc>
          <w:tcPr>
            <w:tcW w:w="79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0,4</w:t>
            </w:r>
          </w:p>
        </w:tc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113,3</w:t>
            </w:r>
          </w:p>
        </w:tc>
        <w:tc>
          <w:tcPr>
            <w:tcW w:w="79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112,8</w:t>
            </w:r>
          </w:p>
        </w:tc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113,3</w:t>
            </w:r>
          </w:p>
        </w:tc>
        <w:tc>
          <w:tcPr>
            <w:tcW w:w="79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113,2</w:t>
            </w:r>
          </w:p>
        </w:tc>
        <w:tc>
          <w:tcPr>
            <w:tcW w:w="79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110,1</w:t>
            </w:r>
          </w:p>
        </w:tc>
        <w:tc>
          <w:tcPr>
            <w:tcW w:w="851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2,258</w:t>
            </w:r>
          </w:p>
        </w:tc>
        <w:tc>
          <w:tcPr>
            <w:tcW w:w="340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 xml:space="preserve">11 - </w:t>
            </w:r>
            <w:r>
              <w:rPr>
                <w:rFonts w:ascii="Times New Roman" w:hAnsi="Times New Roman" w:eastAsia="Times New Roman"/>
                <w:b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  <w:rtl w:val="true"/>
              </w:rPr>
              <w:t>مطاعم وفنادق</w:t>
            </w:r>
          </w:p>
        </w:tc>
      </w:tr>
      <w:tr>
        <w:trPr>
          <w:trHeight w:val="360" w:hRule="atLeast"/>
        </w:trPr>
        <w:tc>
          <w:tcPr>
            <w:tcW w:w="794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3,6</w:t>
            </w:r>
          </w:p>
        </w:tc>
        <w:tc>
          <w:tcPr>
            <w:tcW w:w="794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1,7</w:t>
            </w:r>
          </w:p>
        </w:tc>
        <w:tc>
          <w:tcPr>
            <w:tcW w:w="793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1,0</w:t>
            </w:r>
          </w:p>
        </w:tc>
        <w:tc>
          <w:tcPr>
            <w:tcW w:w="794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116,3</w:t>
            </w:r>
          </w:p>
        </w:tc>
        <w:tc>
          <w:tcPr>
            <w:tcW w:w="795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115,1</w:t>
            </w:r>
          </w:p>
        </w:tc>
        <w:tc>
          <w:tcPr>
            <w:tcW w:w="794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114,4</w:t>
            </w:r>
          </w:p>
        </w:tc>
        <w:tc>
          <w:tcPr>
            <w:tcW w:w="793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114,3</w:t>
            </w:r>
          </w:p>
        </w:tc>
        <w:tc>
          <w:tcPr>
            <w:tcW w:w="794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112,3</w:t>
            </w:r>
          </w:p>
        </w:tc>
        <w:tc>
          <w:tcPr>
            <w:tcW w:w="851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5,261</w:t>
            </w:r>
          </w:p>
        </w:tc>
        <w:tc>
          <w:tcPr>
            <w:tcW w:w="3402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 xml:space="preserve">12 - </w:t>
            </w:r>
            <w:r>
              <w:rPr>
                <w:rFonts w:ascii="Times New Roman" w:hAnsi="Times New Roman" w:eastAsia="Times New Roman"/>
                <w:b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  <w:rtl w:val="true"/>
              </w:rPr>
              <w:t>مواد وخدمات أخرى</w:t>
            </w:r>
          </w:p>
        </w:tc>
      </w:tr>
      <w:tr>
        <w:trPr>
          <w:trHeight w:val="360" w:hRule="atLeast"/>
        </w:trPr>
        <w:tc>
          <w:tcPr>
            <w:tcW w:w="794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-0,2</w:t>
            </w:r>
          </w:p>
        </w:tc>
        <w:tc>
          <w:tcPr>
            <w:tcW w:w="794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1,1</w:t>
            </w:r>
          </w:p>
        </w:tc>
        <w:tc>
          <w:tcPr>
            <w:tcW w:w="793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0,7</w:t>
            </w:r>
          </w:p>
        </w:tc>
        <w:tc>
          <w:tcPr>
            <w:tcW w:w="794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123,9</w:t>
            </w:r>
          </w:p>
        </w:tc>
        <w:tc>
          <w:tcPr>
            <w:tcW w:w="795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123,0</w:t>
            </w:r>
          </w:p>
        </w:tc>
        <w:tc>
          <w:tcPr>
            <w:tcW w:w="794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122,1</w:t>
            </w:r>
          </w:p>
        </w:tc>
        <w:tc>
          <w:tcPr>
            <w:tcW w:w="793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122,6</w:t>
            </w:r>
          </w:p>
        </w:tc>
        <w:tc>
          <w:tcPr>
            <w:tcW w:w="794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124,2</w:t>
            </w:r>
          </w:p>
        </w:tc>
        <w:tc>
          <w:tcPr>
            <w:tcW w:w="851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100,000</w:t>
            </w:r>
          </w:p>
        </w:tc>
        <w:tc>
          <w:tcPr>
            <w:tcW w:w="3402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36" w:after="36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Times New Roman" w:hAnsi="Times New Roman" w:eastAsia="Times New Roman"/>
                <w:b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  <w:rtl w:val="true"/>
              </w:rPr>
              <w:t>الرقم الاستدلالي العام</w:t>
            </w:r>
          </w:p>
        </w:tc>
      </w:tr>
    </w:tbl>
    <w:p>
      <w:pPr>
        <w:pStyle w:val="ipcpara0"/>
        <w:spacing w:before="0" w:after="160"/>
        <w:rPr/>
      </w:pPr>
      <w:r>
        <w:rPr>
          <w:rtl w:val="true"/>
        </w:rPr>
        <w:t>المصدر</w:t>
      </w:r>
      <w:r>
        <w:rPr>
          <w:rtl w:val="true"/>
        </w:rPr>
        <w:t xml:space="preserve">: </w:t>
      </w:r>
      <w:r>
        <w:rPr>
          <w:rtl w:val="true"/>
        </w:rPr>
        <w:t xml:space="preserve">المندوبية السامية للتخطيط، مديرية الإحصاء </w:t>
      </w:r>
      <w:r>
        <w:rPr>
          <w:rtl w:val="true"/>
        </w:rPr>
        <w:t>-</w:t>
      </w:r>
      <w:r>
        <w:rPr>
          <w:rtl w:val="true"/>
        </w:rPr>
        <w:t>البحث الوطني حول الأثمان عند الاستهلاك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720" w:right="720" w:gutter="0" w:header="397" w:top="720" w:footer="737" w:bottom="79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inline distT="0" distB="0" distL="0" distR="0">
              <wp:extent cx="5760720" cy="791210"/>
              <wp:effectExtent l="0" t="0" r="0" b="0"/>
              <wp:docPr id="3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0720" cy="791280"/>
                        <a:chOff x="0" y="0"/>
                        <a:chExt cx="5760720" cy="791280"/>
                      </a:xfrm>
                    </wpg:grpSpPr>
                    <pic:pic xmlns:pic="http://schemas.openxmlformats.org/drawingml/2006/picture">
                      <pic:nvPicPr>
                        <pic:cNvPr id="4" name="Image 2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2167920" y="68760"/>
                          <a:ext cx="1544400" cy="722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5" name="Image 3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760720" cy="97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id="shape_0" alt="Group 1" style="position:absolute;margin-left:0pt;margin-top:-62.35pt;width:453.6pt;height:62.3pt" coordorigin="0,-1247" coordsize="9072,124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left:3414;top:-1139;width:2431;height:1137;mso-wrap-style:none;v-text-anchor:middle;mso-position-vertical:top" type="_x0000_t75">
                <v:imagedata r:id="rId3" o:detectmouseclick="t"/>
                <v:stroke color="#3465a4" joinstyle="round" endcap="flat"/>
                <w10:wrap type="none"/>
              </v:shape>
              <v:shape id="shape_0" stroked="f" o:allowincell="f" style="position:absolute;left:0;top:-1247;width:9071;height:153;mso-wrap-style:none;v-text-anchor:middle;mso-position-vertical:top" type="_x0000_t75">
                <v:imagedata r:id="rId4" o:detectmouseclick="t"/>
                <v:stroke color="#3465a4" joinstyle="round" endcap="flat"/>
                <w10:wrap type="none"/>
              </v:shape>
            </v:group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inline distT="0" distB="0" distL="0" distR="0">
              <wp:extent cx="5760720" cy="791210"/>
              <wp:effectExtent l="0" t="0" r="0" b="0"/>
              <wp:docPr id="6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0720" cy="791280"/>
                        <a:chOff x="0" y="0"/>
                        <a:chExt cx="5760720" cy="791280"/>
                      </a:xfrm>
                    </wpg:grpSpPr>
                    <pic:pic xmlns:pic="http://schemas.openxmlformats.org/drawingml/2006/picture">
                      <pic:nvPicPr>
                        <pic:cNvPr id="7" name="Image 2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2167920" y="68760"/>
                          <a:ext cx="1544400" cy="722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8" name="Image 3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760720" cy="97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id="shape_0" alt="Group 1" style="position:absolute;margin-left:0pt;margin-top:-62.35pt;width:453.6pt;height:62.3pt" coordorigin="0,-1247" coordsize="9072,1246">
              <v:shape id="shape_0" stroked="f" o:allowincell="f" style="position:absolute;left:3414;top:-1139;width:2431;height:1137;mso-wrap-style:none;v-text-anchor:middle;mso-position-vertical:top" type="_x0000_t75">
                <v:imagedata r:id="rId3" o:detectmouseclick="t"/>
                <v:stroke color="#3465a4" joinstyle="round" endcap="flat"/>
                <w10:wrap type="none"/>
              </v:shape>
              <v:shape id="shape_0" stroked="f" o:allowincell="f" style="position:absolute;left:0;top:-1247;width:9071;height:153;mso-wrap-style:none;v-text-anchor:middle;mso-position-vertical:top" type="_x0000_t75">
                <v:imagedata r:id="rId4" o:detectmouseclick="t"/>
                <v:stroke color="#3465a4" joinstyle="round" endcap="flat"/>
                <w10:wrap type="none"/>
              </v:shape>
            </v:group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hyphenationZone w:val="0"/>
  <w:compat>
    <w:compatSetting w:name="compatibilityMode" w:uri="http://schemas.microsoft.com/office/word" w:val="12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kern w:val="2"/>
        <w:sz w:val="22"/>
        <w:szCs w:val="22"/>
        <w:lang w:val="fr-FR" w:eastAsia="en-US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42a1f"/>
    <w:pPr>
      <w:widowControl/>
      <w:bidi w:val="0"/>
      <w:spacing w:lineRule="auto" w:line="259" w:before="0" w:after="160"/>
      <w:jc w:val="left"/>
    </w:pPr>
    <w:rPr>
      <w:rFonts w:cs="Times New Roman" w:ascii="Aptos" w:hAnsi="Aptos" w:eastAsia="Aptos" w:asciiTheme="minorHAnsi" w:eastAsiaTheme="minorHAnsi" w:hAnsiTheme="minorHAnsi"/>
      <w:color w:val="auto"/>
      <w:kern w:val="2"/>
      <w:sz w:val="22"/>
      <w:szCs w:val="22"/>
      <w:lang w:bidi="ar-SA" w:val="fr-FR" w:eastAsia="en-US"/>
    </w:rPr>
  </w:style>
  <w:style w:type="paragraph" w:styleId="Heading1">
    <w:name w:val="heading 1"/>
    <w:basedOn w:val="Normal"/>
    <w:next w:val="Normal"/>
    <w:link w:val="Titre1Car"/>
    <w:uiPriority w:val="9"/>
    <w:qFormat/>
    <w:rsid w:val="007c4ec7"/>
    <w:pPr>
      <w:keepNext w:val="true"/>
      <w:keepLines/>
      <w:spacing w:before="360" w:after="80"/>
      <w:outlineLvl w:val="0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7c4ec7"/>
    <w:pPr>
      <w:keepNext w:val="true"/>
      <w:keepLines/>
      <w:spacing w:before="160" w:after="80"/>
      <w:outlineLvl w:val="1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7c4ec7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7c4ec7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7c4ec7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7c4ec7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7c4ec7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7c4ec7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7c4ec7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7c4ec7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7c4ec7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7c4ec7"/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7c4ec7"/>
    <w:rPr>
      <w:rFonts w:eastAsia="" w:cs="Times New Roman" w:cstheme="majorBidi" w:eastAsiaTheme="majorEastAsia"/>
      <w:i/>
      <w:iCs/>
      <w:color w:themeColor="accent1" w:themeShade="bf" w:val="0F4761"/>
    </w:rPr>
  </w:style>
  <w:style w:type="character" w:styleId="Titre5Car" w:customStyle="1">
    <w:name w:val="Titre 5 Car"/>
    <w:basedOn w:val="DefaultParagraphFont"/>
    <w:uiPriority w:val="9"/>
    <w:semiHidden/>
    <w:qFormat/>
    <w:rsid w:val="007c4ec7"/>
    <w:rPr>
      <w:rFonts w:eastAsia="" w:cs="Times New Roman" w:cstheme="majorBidi" w:eastAsiaTheme="majorEastAsia"/>
      <w:color w:themeColor="accent1" w:themeShade="bf" w:val="0F4761"/>
    </w:rPr>
  </w:style>
  <w:style w:type="character" w:styleId="Titre6Car" w:customStyle="1">
    <w:name w:val="Titre 6 Car"/>
    <w:basedOn w:val="DefaultParagraphFont"/>
    <w:uiPriority w:val="9"/>
    <w:semiHidden/>
    <w:qFormat/>
    <w:rsid w:val="007c4ec7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7c4ec7"/>
    <w:rPr>
      <w:rFonts w:eastAsia="" w:cs="Times New Roman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7c4ec7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7c4ec7"/>
    <w:rPr>
      <w:rFonts w:eastAsia="" w:cs="Times New Roman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7c4ec7"/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7c4ec7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7c4ec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c4ec7"/>
    <w:rPr>
      <w:i/>
      <w:iCs/>
      <w:color w:themeColor="accent1" w:themeShade="bf" w:val="0F4761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7c4ec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type="character" w:styleId="En-tteCar" w:customStyle="1">
    <w:name w:val="En-tête Car"/>
    <w:basedOn w:val="DefaultParagraphFont"/>
    <w:uiPriority w:val="99"/>
    <w:qFormat/>
    <w:rsid w:val="000707ff"/>
    <w:rPr/>
  </w:style>
  <w:style w:type="character" w:styleId="PieddepageCar" w:customStyle="1">
    <w:name w:val="Pied de page Car"/>
    <w:basedOn w:val="DefaultParagraphFont"/>
    <w:uiPriority w:val="99"/>
    <w:qFormat/>
    <w:rsid w:val="000707ff"/>
    <w:rPr/>
  </w:style>
  <w:style w:type="character" w:styleId="ipctitre1centerCar" w:customStyle="1">
    <w:name w:val="ipc_titre_1_center Car"/>
    <w:basedOn w:val="DefaultParagraphFont"/>
    <w:link w:val="ipctitre1center"/>
    <w:qFormat/>
    <w:rsid w:val="009110df"/>
    <w:rPr>
      <w:rFonts w:ascii="Times New Roman" w:hAnsi="Times New Roman"/>
      <w:b/>
      <w:bCs/>
      <w:color w:val="CA400A"/>
      <w:spacing w:val="13"/>
      <w:sz w:val="28"/>
    </w:rPr>
  </w:style>
  <w:style w:type="character" w:styleId="ipctitre0Car" w:customStyle="1">
    <w:name w:val="ipc_titre_0 Car"/>
    <w:basedOn w:val="ipctitre1centerCar"/>
    <w:link w:val="ipctitre0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type="character" w:styleId="ipccorpsCar" w:customStyle="1">
    <w:name w:val="ipc_corps Car"/>
    <w:basedOn w:val="ipctitre0Car"/>
    <w:link w:val="ipccorps"/>
    <w:qFormat/>
    <w:rsid w:val="00af1ac6"/>
    <w:rPr>
      <w:rFonts w:ascii="Times New Roman" w:hAnsi="Times New Roman"/>
      <w:b w:val="false"/>
      <w:bCs/>
      <w:color w:val="CA400A"/>
      <w:spacing w:val="13"/>
      <w:sz w:val="21"/>
      <w:szCs w:val="24"/>
    </w:rPr>
  </w:style>
  <w:style w:type="character" w:styleId="ipcpara0Car" w:customStyle="1">
    <w:name w:val="ipc_para_0 Car"/>
    <w:basedOn w:val="ipccorpsCar"/>
    <w:link w:val="ipcpara0"/>
    <w:qFormat/>
    <w:rsid w:val="0028069c"/>
    <w:rPr>
      <w:rFonts w:ascii="Times New Roman" w:hAnsi="Times New Roman" w:eastAsia="Times New Roman" w:cs="Times New Roman"/>
      <w:b/>
      <w:bCs/>
      <w:color w:val="8D4354"/>
      <w:spacing w:val="13"/>
      <w:kern w:val="0"/>
      <w:sz w:val="24"/>
      <w:szCs w:val="24"/>
    </w:rPr>
  </w:style>
  <w:style w:type="character" w:styleId="KeywordTok" w:customStyle="1">
    <w:name w:val="KeywordTok"/>
    <w:qFormat/>
    <w:rsid w:val="00742a1f"/>
    <w:rPr>
      <w:b/>
      <w:color w:val="003B4F"/>
      <w:shd w:fill="F1F3F5" w:val="clear"/>
    </w:rPr>
  </w:style>
  <w:style w:type="character" w:styleId="DataTypeTok" w:customStyle="1">
    <w:name w:val="DataTypeTok"/>
    <w:qFormat/>
    <w:rsid w:val="00742a1f"/>
    <w:rPr>
      <w:color w:val="AD0000"/>
      <w:shd w:fill="F1F3F5" w:val="clear"/>
    </w:rPr>
  </w:style>
  <w:style w:type="character" w:styleId="DecValTok" w:customStyle="1">
    <w:name w:val="DecValTok"/>
    <w:qFormat/>
    <w:rsid w:val="00742a1f"/>
    <w:rPr>
      <w:color w:val="AD0000"/>
      <w:shd w:fill="F1F3F5" w:val="clear"/>
    </w:rPr>
  </w:style>
  <w:style w:type="character" w:styleId="BaseNTok" w:customStyle="1">
    <w:name w:val="BaseNTok"/>
    <w:qFormat/>
    <w:rsid w:val="00742a1f"/>
    <w:rPr>
      <w:color w:val="AD0000"/>
      <w:shd w:fill="F1F3F5" w:val="clear"/>
    </w:rPr>
  </w:style>
  <w:style w:type="character" w:styleId="FloatTok" w:customStyle="1">
    <w:name w:val="FloatTok"/>
    <w:qFormat/>
    <w:rsid w:val="00742a1f"/>
    <w:rPr>
      <w:color w:val="AD0000"/>
      <w:shd w:fill="F1F3F5" w:val="clear"/>
    </w:rPr>
  </w:style>
  <w:style w:type="character" w:styleId="ConstantTok" w:customStyle="1">
    <w:name w:val="ConstantTok"/>
    <w:qFormat/>
    <w:rsid w:val="00742a1f"/>
    <w:rPr>
      <w:color w:val="8F5902"/>
      <w:shd w:fill="F1F3F5" w:val="clear"/>
    </w:rPr>
  </w:style>
  <w:style w:type="character" w:styleId="CharTok" w:customStyle="1">
    <w:name w:val="CharTok"/>
    <w:qFormat/>
    <w:rsid w:val="00742a1f"/>
    <w:rPr>
      <w:color w:val="20794D"/>
      <w:shd w:fill="F1F3F5" w:val="clear"/>
    </w:rPr>
  </w:style>
  <w:style w:type="character" w:styleId="SpecialCharTok" w:customStyle="1">
    <w:name w:val="SpecialCharTok"/>
    <w:qFormat/>
    <w:rsid w:val="00742a1f"/>
    <w:rPr>
      <w:color w:val="5E5E5E"/>
      <w:shd w:fill="F1F3F5" w:val="clear"/>
    </w:rPr>
  </w:style>
  <w:style w:type="character" w:styleId="StringTok" w:customStyle="1">
    <w:name w:val="StringTok"/>
    <w:qFormat/>
    <w:rsid w:val="00742a1f"/>
    <w:rPr>
      <w:color w:val="20794D"/>
      <w:shd w:fill="F1F3F5" w:val="clear"/>
    </w:rPr>
  </w:style>
  <w:style w:type="character" w:styleId="VerbatimStringTok" w:customStyle="1">
    <w:name w:val="VerbatimStringTok"/>
    <w:qFormat/>
    <w:rsid w:val="00742a1f"/>
    <w:rPr>
      <w:color w:val="20794D"/>
      <w:shd w:fill="F1F3F5" w:val="clear"/>
    </w:rPr>
  </w:style>
  <w:style w:type="character" w:styleId="SpecialStringTok" w:customStyle="1">
    <w:name w:val="SpecialStringTok"/>
    <w:qFormat/>
    <w:rsid w:val="00742a1f"/>
    <w:rPr>
      <w:color w:val="20794D"/>
      <w:shd w:fill="F1F3F5" w:val="clear"/>
    </w:rPr>
  </w:style>
  <w:style w:type="character" w:styleId="ImportTok" w:customStyle="1">
    <w:name w:val="ImportTok"/>
    <w:qFormat/>
    <w:rsid w:val="00742a1f"/>
    <w:rPr>
      <w:color w:val="00769E"/>
      <w:shd w:fill="F1F3F5" w:val="clear"/>
    </w:rPr>
  </w:style>
  <w:style w:type="character" w:styleId="CommentTok" w:customStyle="1">
    <w:name w:val="CommentTok"/>
    <w:qFormat/>
    <w:rsid w:val="00742a1f"/>
    <w:rPr>
      <w:color w:val="5E5E5E"/>
      <w:shd w:fill="F1F3F5" w:val="clear"/>
    </w:rPr>
  </w:style>
  <w:style w:type="character" w:styleId="DocumentationTok" w:customStyle="1">
    <w:name w:val="DocumentationTok"/>
    <w:qFormat/>
    <w:rsid w:val="00742a1f"/>
    <w:rPr>
      <w:i/>
      <w:color w:val="5E5E5E"/>
      <w:shd w:fill="F1F3F5" w:val="clear"/>
    </w:rPr>
  </w:style>
  <w:style w:type="character" w:styleId="AnnotationTok" w:customStyle="1">
    <w:name w:val="AnnotationTok"/>
    <w:qFormat/>
    <w:rsid w:val="00742a1f"/>
    <w:rPr>
      <w:color w:val="5E5E5E"/>
      <w:shd w:fill="F1F3F5" w:val="clear"/>
    </w:rPr>
  </w:style>
  <w:style w:type="character" w:styleId="CommentVarTok" w:customStyle="1">
    <w:name w:val="CommentVarTok"/>
    <w:qFormat/>
    <w:rsid w:val="00742a1f"/>
    <w:rPr>
      <w:i/>
      <w:color w:val="5E5E5E"/>
      <w:shd w:fill="F1F3F5" w:val="clear"/>
    </w:rPr>
  </w:style>
  <w:style w:type="character" w:styleId="OtherTok" w:customStyle="1">
    <w:name w:val="OtherTok"/>
    <w:qFormat/>
    <w:rsid w:val="00742a1f"/>
    <w:rPr>
      <w:color w:val="003B4F"/>
      <w:shd w:fill="F1F3F5" w:val="clear"/>
    </w:rPr>
  </w:style>
  <w:style w:type="character" w:styleId="FunctionTok" w:customStyle="1">
    <w:name w:val="FunctionTok"/>
    <w:qFormat/>
    <w:rsid w:val="00742a1f"/>
    <w:rPr>
      <w:color w:val="4758AB"/>
      <w:shd w:fill="F1F3F5" w:val="clear"/>
    </w:rPr>
  </w:style>
  <w:style w:type="character" w:styleId="VariableTok" w:customStyle="1">
    <w:name w:val="VariableTok"/>
    <w:qFormat/>
    <w:rsid w:val="00742a1f"/>
    <w:rPr>
      <w:color w:val="111111"/>
      <w:shd w:fill="F1F3F5" w:val="clear"/>
    </w:rPr>
  </w:style>
  <w:style w:type="character" w:styleId="ControlFlowTok" w:customStyle="1">
    <w:name w:val="ControlFlowTok"/>
    <w:qFormat/>
    <w:rsid w:val="00742a1f"/>
    <w:rPr>
      <w:b/>
      <w:color w:val="003B4F"/>
      <w:shd w:fill="F1F3F5" w:val="clear"/>
    </w:rPr>
  </w:style>
  <w:style w:type="character" w:styleId="OperatorTok" w:customStyle="1">
    <w:name w:val="OperatorTok"/>
    <w:qFormat/>
    <w:rsid w:val="00742a1f"/>
    <w:rPr>
      <w:color w:val="5E5E5E"/>
      <w:shd w:fill="F1F3F5" w:val="clear"/>
    </w:rPr>
  </w:style>
  <w:style w:type="character" w:styleId="BuiltInTok" w:customStyle="1">
    <w:name w:val="BuiltInTok"/>
    <w:qFormat/>
    <w:rsid w:val="00742a1f"/>
    <w:rPr>
      <w:color w:val="003B4F"/>
      <w:shd w:fill="F1F3F5" w:val="clear"/>
    </w:rPr>
  </w:style>
  <w:style w:type="character" w:styleId="ExtensionTok" w:customStyle="1">
    <w:name w:val="ExtensionTok"/>
    <w:qFormat/>
    <w:rsid w:val="00742a1f"/>
    <w:rPr>
      <w:color w:val="003B4F"/>
      <w:shd w:fill="F1F3F5" w:val="clear"/>
    </w:rPr>
  </w:style>
  <w:style w:type="character" w:styleId="PreprocessorTok" w:customStyle="1">
    <w:name w:val="PreprocessorTok"/>
    <w:qFormat/>
    <w:rsid w:val="00742a1f"/>
    <w:rPr>
      <w:color w:val="AD0000"/>
      <w:shd w:fill="F1F3F5" w:val="clear"/>
    </w:rPr>
  </w:style>
  <w:style w:type="character" w:styleId="AttributeTok" w:customStyle="1">
    <w:name w:val="AttributeTok"/>
    <w:qFormat/>
    <w:rsid w:val="00742a1f"/>
    <w:rPr>
      <w:color w:val="657422"/>
      <w:shd w:fill="F1F3F5" w:val="clear"/>
    </w:rPr>
  </w:style>
  <w:style w:type="character" w:styleId="RegionMarkerTok" w:customStyle="1">
    <w:name w:val="RegionMarkerTok"/>
    <w:qFormat/>
    <w:rsid w:val="00742a1f"/>
    <w:rPr>
      <w:color w:val="003B4F"/>
      <w:shd w:fill="F1F3F5" w:val="clear"/>
    </w:rPr>
  </w:style>
  <w:style w:type="character" w:styleId="InformationTok" w:customStyle="1">
    <w:name w:val="InformationTok"/>
    <w:qFormat/>
    <w:rsid w:val="00742a1f"/>
    <w:rPr>
      <w:color w:val="5E5E5E"/>
      <w:shd w:fill="F1F3F5" w:val="clear"/>
    </w:rPr>
  </w:style>
  <w:style w:type="character" w:styleId="WarningTok" w:customStyle="1">
    <w:name w:val="WarningTok"/>
    <w:qFormat/>
    <w:rsid w:val="00742a1f"/>
    <w:rPr>
      <w:i/>
      <w:color w:val="5E5E5E"/>
      <w:shd w:fill="F1F3F5" w:val="clear"/>
    </w:rPr>
  </w:style>
  <w:style w:type="character" w:styleId="AlertTok" w:customStyle="1">
    <w:name w:val="AlertTok"/>
    <w:qFormat/>
    <w:rsid w:val="00742a1f"/>
    <w:rPr>
      <w:color w:val="AD0000"/>
      <w:shd w:fill="F1F3F5" w:val="clear"/>
    </w:rPr>
  </w:style>
  <w:style w:type="character" w:styleId="ErrorTok" w:customStyle="1">
    <w:name w:val="ErrorTok"/>
    <w:qFormat/>
    <w:rsid w:val="00742a1f"/>
    <w:rPr>
      <w:color w:val="AD0000"/>
      <w:shd w:fill="F1F3F5" w:val="clear"/>
    </w:rPr>
  </w:style>
  <w:style w:type="character" w:styleId="NormalTok" w:customStyle="1">
    <w:name w:val="NormalTok"/>
    <w:qFormat/>
    <w:rsid w:val="00742a1f"/>
    <w:rPr>
      <w:color w:val="003B4F"/>
      <w:shd w:fill="F1F3F5" w:val="clear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reCar"/>
    <w:uiPriority w:val="10"/>
    <w:qFormat/>
    <w:rsid w:val="007c4ec7"/>
    <w:pPr>
      <w:spacing w:lineRule="auto" w:line="240" w:before="0" w:after="80"/>
      <w:contextualSpacing/>
    </w:pPr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7c4ec7"/>
    <w:pPr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7c4ec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c4ec7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7c4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0707f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0707f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ipctitre1center" w:customStyle="1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type="paragraph" w:styleId="ipctitre0" w:customStyle="1">
    <w:name w:val="ipc_titre_0"/>
    <w:link w:val="ipctitre0Car"/>
    <w:qFormat/>
    <w:rsid w:val="00a77669"/>
    <w:pPr>
      <w:widowControl/>
      <w:bidi w:val="0"/>
      <w:spacing w:lineRule="auto" w:line="259" w:before="0" w:after="160"/>
      <w:jc w:val="left"/>
    </w:pPr>
    <w:rPr>
      <w:rFonts w:ascii="Times New Roman" w:hAnsi="Times New Roman" w:cs="Times New Roman" w:eastAsia="Aptos"/>
      <w:b/>
      <w:bCs/>
      <w:color w:val="CA400A"/>
      <w:spacing w:val="13"/>
      <w:kern w:val="2"/>
      <w:sz w:val="32"/>
      <w:szCs w:val="22"/>
      <w:lang w:bidi="ar-SA" w:val="fr-FR" w:eastAsia="en-US"/>
    </w:rPr>
  </w:style>
  <w:style w:type="paragraph" w:styleId="ipccorps" w:customStyle="1">
    <w:name w:val="ipc_corps"/>
    <w:link w:val="ipccorpsCar"/>
    <w:qFormat/>
    <w:rsid w:val="00af1ac6"/>
    <w:pPr>
      <w:widowControl/>
      <w:bidi w:val="0"/>
      <w:spacing w:lineRule="auto" w:line="259" w:before="0" w:after="160"/>
      <w:jc w:val="left"/>
    </w:pPr>
    <w:rPr>
      <w:rFonts w:ascii="Times New Roman" w:hAnsi="Times New Roman" w:cs="Times New Roman" w:eastAsia="Aptos" w:eastAsiaTheme="minorHAnsi"/>
      <w:bCs/>
      <w:color w:val="auto"/>
      <w:spacing w:val="13"/>
      <w:kern w:val="2"/>
      <w:sz w:val="21"/>
      <w:szCs w:val="24"/>
      <w:lang w:bidi="ar-SA" w:val="fr-FR" w:eastAsia="en-US"/>
    </w:rPr>
  </w:style>
  <w:style w:type="paragraph" w:styleId="ipcpara0" w:customStyle="1">
    <w:name w:val="ipc_para_0"/>
    <w:basedOn w:val="ipccorps"/>
    <w:link w:val="ipcpara0Car"/>
    <w:qFormat/>
    <w:rsid w:val="0028069c"/>
    <w:pPr/>
    <w:rPr>
      <w:rFonts w:eastAsia="Times New Roman"/>
      <w:b/>
      <w:color w:val="8D4354"/>
      <w:spacing w:val="0"/>
      <w:kern w:val="0"/>
      <w:sz w:val="24"/>
    </w:rPr>
  </w:style>
  <w:style w:type="paragraph" w:styleId="SourceCode" w:customStyle="1">
    <w:name w:val="Source Code"/>
    <w:basedOn w:val="Normal"/>
    <w:qFormat/>
    <w:rsid w:val="00742a1f"/>
    <w:pPr>
      <w:shd w:val="clear" w:color="auto" w:fill="F1F3F5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8868e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auipc1">
    <w:name w:val="tableau_ipc_1"/>
    <w:basedOn w:val="TableauNormal"/>
    <w:uiPriority w:val="99"/>
    <w:rsid w:val="006734db"/>
    <w:pPr>
      <w:spacing w:after="0" w:line="240" w:lineRule="auto"/>
    </w:pPr>
    <w:rPr>
      <w:b/>
      <w:sz w:val="32"/>
    </w:rPr>
    <w:tblPr>
      <w:tblBorders>
        <w:top w:val="thinThickSmallGap" w:color="C00000" w:sz="24" w:space="0"/>
        <w:bottom w:val="thinThickSmallGap" w:color="C00000" w:sz="24" w:space="0"/>
        <w:insideH w:val="thinThickSmallGap" w:color="C00000" w:sz="2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3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4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styletable1">
    <w:name w:val="style_table1"/>
    <w:basedOn w:val="TableauNormal"/>
    <w:uiPriority w:val="99"/>
    <w:rsid w:val="00333d65"/>
    <w:pPr>
      <w:spacing w:after="0" w:line="240" w:lineRule="auto"/>
      <w:jc w:val="center"/>
    </w:pPr>
    <w:rPr>
      <w:sz w:val="24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background2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4.png"/><Relationship Id="rId3" Type="http://schemas.openxmlformats.org/officeDocument/2006/relationships/image" Target="media/image3.jpeg"/><Relationship Id="rId4" Type="http://schemas.openxmlformats.org/officeDocument/2006/relationships/image" Target="media/image4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4.png"/><Relationship Id="rId3" Type="http://schemas.openxmlformats.org/officeDocument/2006/relationships/image" Target="media/image3.jpeg"/><Relationship Id="rId4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</a:majorFont>
      <a:minorFont>
        <a:latin typeface="Apto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Application>LibreOffice/25.8.5.2$Windows_X86_64 LibreOffice_project/9c8b85f387cc00a89945a79c9e6239f32e450ac2</Application>
  <AppVersion>15.0000</AppVersion>
  <Pages>2</Pages>
  <Words>618</Words>
  <Characters>2763</Characters>
  <CharactersWithSpaces>3191</CharactersWithSpaces>
  <Paragraphs>178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2026-03-31T09:44:49Z</dcterms:created>
  <dc:creator/>
  <dc:description/>
  <dc:language>ar</dc:language>
  <cp:lastModifiedBy/>
  <dcterms:modified xsi:type="dcterms:W3CDTF">2026-03-31T09:44:49Z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