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para_0"/>
      </w:pPr>
      <w:r>
        <w:t>مثال على فقرة تمهيدية: ارتفع الرقم الاستدلالي للأثمان عند الاستهلاك بنسبة 0,3% خلال شهر غشت 2025.</w:t>
      </w:r>
    </w:p>
    <w:p>
      <w:pPr>
        <w:pStyle w:val="ipc_corps"/>
      </w:pPr>
      <w:r>
        <w:t>مثال على نص الفقرة العادية: على مدى سنة، سجل الرقم الاستدلالي ارتفاعا بنسبة 1,2% مقارنة مع نفس الشهر من السنة الماضية.</w:t>
      </w:r>
    </w:p>
    <w:p>
      <w:pPr>
        <w:pStyle w:val="ipc_titre_0"/>
      </w:pPr>
      <w:r>
        <w:t>1. تطور الرقم الاستدلالي للأثمان</w:t>
      </w:r>
    </w:p>
    <w:p>
      <w:pPr>
        <w:pStyle w:val="ipc_legende"/>
      </w:pPr>
      <w:r>
        <w:t>المصدر: المندوبية السامية للتخطيط</w:t>
      </w:r>
    </w:p>
    <w:p>
      <w:pPr>
        <w:pStyle w:val="ipc_legende_tableau"/>
      </w:pPr>
      <w:r>
        <w:t>الجدول 1: الرقم الاستدلالي حسب المجموعات</w:t>
      </w:r>
    </w:p>
    <w:sectPr>
      <w:pgSz w:w="11906" w:h="16838"/>
      <w:pgMar w:top="284" w:right="283" w:bottom="284" w:left="283" w:header="708" w:footer="708" w:gutter="0"/>
      <w:cols w:space="708"/>
      <w:bidi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fr-FR" w:bidi="ar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MA"/>
      </w:rPr>
    </w:rPrDefault>
    <w:pPrDefault>
      <w:pPr>
        <w:bidi/>
        <w:spacing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bidi/>
    </w:pPr>
    <w:rPr>
      <w:rFonts w:ascii="Arial" w:hAnsi="Arial" w:eastAsia="Arial" w:cs="Arial"/>
      <w:sz w:val="20"/>
      <w:szCs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Arial" w:cs="Arial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Arial" w:cs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bidiVisual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  <w:style w:type="paragraph" w:customStyle="1" w:styleId="ipc_para_0">
    <w:name w:val="ipc_para_0"/>
    <w:basedOn w:val="Normal"/>
    <w:qFormat/>
    <w:pPr>
      <w:bidi/>
      <w:spacing w:before="60" w:after="100" w:line="276" w:lineRule="auto"/>
      <w:jc w:val="both"/>
    </w:pPr>
    <w:rPr>
      <w:rFonts w:ascii="Arial" w:hAnsi="Arial" w:eastAsia="Arial" w:cs="Arial"/>
      <w:b/>
      <w:bCs/>
      <w:color w:val="8D4354"/>
      <w:sz w:val="21"/>
      <w:szCs w:val="21"/>
    </w:rPr>
  </w:style>
  <w:style w:type="paragraph" w:customStyle="1" w:styleId="ipc_corps">
    <w:name w:val="ipc_corps"/>
    <w:basedOn w:val="Normal"/>
    <w:qFormat/>
    <w:pPr>
      <w:bidi/>
      <w:spacing w:before="0" w:after="100" w:line="276" w:lineRule="auto"/>
      <w:jc w:val="both"/>
    </w:pPr>
    <w:rPr>
      <w:rFonts w:ascii="Arial" w:hAnsi="Arial" w:eastAsia="Arial" w:cs="Arial"/>
      <w:sz w:val="19"/>
      <w:szCs w:val="19"/>
    </w:rPr>
  </w:style>
  <w:style w:type="paragraph" w:customStyle="1" w:styleId="ipc_titre_0">
    <w:name w:val="ipc_titre_0"/>
    <w:basedOn w:val="Normal"/>
    <w:qFormat/>
    <w:pPr>
      <w:keepNext/>
      <w:keepLines/>
      <w:bidi/>
      <w:spacing w:before="120" w:after="60"/>
      <w:jc w:val="center"/>
    </w:pPr>
    <w:rPr>
      <w:rFonts w:ascii="Arial" w:hAnsi="Arial" w:eastAsia="Arial" w:cs="Arial"/>
      <w:b/>
      <w:bCs/>
      <w:color w:val="8D4354"/>
      <w:sz w:val="19"/>
      <w:szCs w:val="19"/>
    </w:rPr>
  </w:style>
  <w:style w:type="paragraph" w:customStyle="1" w:styleId="ipc_legende">
    <w:name w:val="ipc_legende"/>
    <w:basedOn w:val="Normal"/>
    <w:qFormat/>
    <w:pPr>
      <w:bidi/>
      <w:spacing w:before="40" w:after="120"/>
      <w:jc w:val="center"/>
    </w:pPr>
    <w:rPr>
      <w:rFonts w:ascii="Arial" w:hAnsi="Arial" w:eastAsia="Arial" w:cs="Arial"/>
      <w:sz w:val="15"/>
      <w:szCs w:val="15"/>
    </w:rPr>
  </w:style>
  <w:style w:type="paragraph" w:customStyle="1" w:styleId="ipc_legende_tableau">
    <w:name w:val="ipc_legende_tableau"/>
    <w:basedOn w:val="Normal"/>
    <w:qFormat/>
    <w:pPr>
      <w:bidi/>
      <w:spacing w:before="40" w:after="60"/>
      <w:jc w:val="center"/>
    </w:pPr>
    <w:rPr>
      <w:rFonts w:ascii="Arial" w:hAnsi="Arial" w:eastAsia="Arial" w:cs="Arial"/>
      <w:sz w:val="15"/>
      <w:szCs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