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فبراير 2026 ارتفعت أسعار الاستهلاك على المستوى الوطني بنسبة (0.7% ) خلال شهر واحد في حين انخفضت أسعار الاستهلاك بما يقارب (0.2’%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1.1%</w:t>
      </w:r>
      <w:r>
        <w:t xml:space="preserve"> </w:t>
      </w:r>
      <w:r>
        <w:t xml:space="preserve">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ب7.8%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ب4.5%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ب3.3%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ب0.1%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(0.2%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ب1% ‏ و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ب0.4%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-0.4%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ب23.6%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ب5.1%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ب5%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ب2.1%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ب1.9%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ب18.6%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ب11.8%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ب8.4%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ب4.7%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ب2.1%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ب0.5%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انخفاضا ب 0.1’%،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ب5.6%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ب3.6%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انخفض الرقم الاستدلالي للأثمان عند الاستهلاك</w:t>
      </w:r>
      <w:r>
        <w:t xml:space="preserve"> </w:t>
      </w:r>
      <w:r>
        <w:t xml:space="preserve">0.2’% مقارنة بشهر فبراير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0.7 % مقارنة بشهر يناير 2026</w:t>
      </w:r>
    </w:p>
    <w:p>
      <w:pPr>
        <w:pStyle w:val="ipcpara0"/>
      </w:pPr>
      <w:r>
        <w:t xml:space="preserve">جدول 2: الرقم الاستدلالي للأثمان عند الاستهلاك لمدينة الحسيمة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2026-05-05T15:33:35Z</dcterms:created>
  <dcterms:modified xsi:type="dcterms:W3CDTF">2026-05-05T15:33:35Z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