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pgSz w:w="11906" w:h="16838"/>
      <!-- A4 en twips -->
      <w:pgMar w:top="800" w:bottom="800" w:left="992" w:right="992" w:header="708" w:footer="708" w:gutter="0"/>
    </w:sectPr>
    <w:p>
      <w:pPr>
        <w:pStyle w:val="enteteville"/>
      </w:pPr>
      <w:r>
        <w:t xml:space="preserve">Indice des prix à la consommation - Septembre 2025             VILLE DE TANGER</w:t>
      </w:r>
    </w:p>
    <w:p>
      <w:pPr>
        <w:pStyle w:val="Chapo"/>
      </w:pPr>
      <w:r>
        <w:t xml:space="preserve">En Septembre 2025, l’indice des prix à la consommation des ménages de la ville de Tanger a décru de -0.2% par rapport au mois précédent. En glissement annuel, il s’est accru de 0.9%.</w:t>
      </w:r>
    </w:p>
    <w:sectPr>
      <w:pgSz w:w="11906" w:h="16838"/>
      <!-- A4 en twips -->
      <w:pgMar w:top="800" w:bottom="800" w:left="992" w:right="992" w:header="708" w:footer="708" w:gutter="0"/>
    </w:sectPr>
    <w:p>
      <w:pPr>
        <w:sectPr>
          <!-- Section à 1 colonne -->
          <w:type w:val="continuous"/>
          <w:cols w:num="1" w:space="820"/>
        </w:sectPr>
      </w:pPr>
    </w:p>
    <w:p>
      <w:pPr>
        <w:pStyle w:val="ligneseparation"/>
      </w:pPr>
      <w:r>
        <w:rPr>
          <w:b/>
          <w:bCs/>
        </w:rPr>
        <w:t xml:space="preserve">Sur un mois</w:t>
      </w:r>
      <w:r>
        <w:t xml:space="preserve"> </w:t>
      </w:r>
      <w:r>
        <w:t xml:space="preserve">, l’indice des prix des produits alimentaires a diminué de -0.7% en Septembre 2025 par rapport à Août 2025, en raison de la baisse des «Poisson et fruits de mer» de -4.8%, des «Fruits» de -2.7%, des «Huiles et graisses» de -2.1%, des «Lait, fromage et oeufs» de -0.9% et des «Viande» de -0.1%. A l’inverse une hausse des «Légumes» de 1.8%, des «Pain et céréales» de 0.7%, des «Café, thé et cacao» de 0.4%, des «Produits alimentaires n.c.a.» de 0.3% et des «Eaux minérales, boissons rafraîchissantes, jus de fruits et de légumes (nd)» de 0.1% a été observée.</w:t>
      </w:r>
    </w:p>
    <w:p>
      <w:pPr>
        <w:pStyle w:val="Texte"/>
      </w:pPr>
      <w:r>
        <w:t xml:space="preserve">La variation mensuelle de l’indice des produits non alimentaires a decru de -0.1% en raison de la baisse des prix des divisions suivantes : des «Transports» de -1.5% et des «Articles d’habillement et chaussures» de -0.1%</w:t>
      </w:r>
    </w:p>
    <w:p>
      <w:pPr>
        <w:pStyle w:val="Texte"/>
      </w:pPr>
      <w:r>
        <w:rPr>
          <w:b/>
          <w:bCs/>
        </w:rPr>
        <w:t xml:space="preserve">Sur un an</w:t>
      </w:r>
      <w:r>
        <w:t xml:space="preserve"> </w:t>
      </w:r>
      <w:r>
        <w:t xml:space="preserve">, l’indice des prix des produits alimentaires s’est accru de 1.7% en Septembre 2025, par rapport à Septembre 2024, sous l’effet de l’augmentation des prix des «Fruits» de 10.1%, des «Café, thé et cacao» de 8.2%, des «Légumes» de 7.5%, des «Tabac» de 3.6%, des «Poisson et fruits de mer» de 2.3%, des «Sucre, confiture, miel, chocolat et confiserie» de 1.2%, des «Produits alimentaires n.c.a.» de 0.9% et des «Lait, fromage et oeufs» de 0.2%. Par ailleurs, la diminution des prix des «Huiles et graisses» de -6.4%, des «Eaux minérales, boissons rafraîchissantes, jus de fruits et de légumes (nd)» de -4.3%, des «Viande» de -0.3% et des «Pain et céréales» de -0.1% n’a pas affecté l’évolution générale.</w:t>
      </w:r>
    </w:p>
    <w:p>
      <w:pPr>
        <w:pStyle w:val="Texte"/>
      </w:pPr>
      <w:r>
        <w:t xml:space="preserve">La variation annuelle de l’indice des produits non alimentaires a augmenté de 0.4%.La variation des prix des divisions qui constituent</w:t>
      </w:r>
      <w:r>
        <w:t xml:space="preserve"> </w:t>
      </w:r>
      <w:r>
        <w:t xml:space="preserve">les produits non alimentaires a fluctué entre</w:t>
      </w:r>
    </w:p>
    <w:p>
      <w:pPr>
        <w:pStyle w:val="titreillustration"/>
      </w:pPr>
      <w:r>
        <w:t xml:space="preserve">1-Évolution du taux de la variation annuelle (%) de l’indice des prix à la consommation pour le mois dXXX</w:t>
      </w:r>
    </w:p>
    <w:p>
      <w:pPr>
        <w:pStyle w:val="Texte"/>
      </w:pPr>
      <w:r>
        <w:drawing>
          <wp:inline>
            <wp:extent cx="2843999" cy="215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phique_variation_annuelle2025_09_Ville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999" cy="21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telecture"/>
      </w:pPr>
      <w:r>
        <w:t xml:space="preserve">Lecture : En Août 2025, l’indice des prix à la consommation a décru de 0,5% par rapport à Août 2024</w:t>
      </w:r>
    </w:p>
    <w:p>
      <w:pPr>
        <w:pStyle w:val="titreillustration"/>
      </w:pPr>
      <w:r>
        <w:t xml:space="preserve">2- Évolution de la variation mensuelle (%) de l’indice des prix à la consommation</w:t>
      </w:r>
    </w:p>
    <w:p>
      <w:pPr>
        <w:pStyle w:val="Texte"/>
      </w:pPr>
      <w:r>
        <w:drawing>
          <wp:inline>
            <wp:extent cx="2843999" cy="1799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Graphique_variation_mensuelle2025_09_Ville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999" cy="17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telecture"/>
      </w:pPr>
      <w:r>
        <w:t xml:space="preserve">Lecture : La variation des prix en Août 2025 a augmenté de 2,2% Après avoir été de 0,4% en Juillet 2025</w:t>
      </w:r>
    </w:p>
    <w:p>
      <w:pPr>
        <w:sectPr>
          <w:pgSz w:w="11906" w:h="16838"/>
          <!-- A4 en twips -->
          <!-- Début de la section à 2 colonnes -->
          <w:type w:val="continuous"/>
          <!-- marges identiques à la section précédente -->
          <w:pgMar w:top="800" w:bottom="800" w:left="992" w:right="992" w:header="708" w:footer="708" w:gutter="0"/>
          <w:cols w:num="2" w:space="820"/>
        </w:sectPr>
      </w:pPr>
    </w:p>
    <w:p>
      <w:pPr>
        <w:pStyle w:val="Texte"/>
      </w:pPr>
      <w:r>
        <w:drawing>
          <wp:inline>
            <wp:extent cx="6273800" cy="277712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Tableau_synthese2025_09_Ville1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77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Pr>
      <w:sectPr>
        <w:type w:val="continuous"/>
        <w:cols w:num="2" w:space="820"/>
      </w:sectPr>
    </w:pPr>
    <w:sectPr w:rsidR="001F302A" w:rsidSect="00F75DF1">
      <w:pgSz w:h="16838" w:w="11906"/>
      <w:pgMar w:bottom="1004" w:footer="708" w:gutter="0" w:header="708" w:left="1004" w:right="1004" w:top="100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Gothic-Medium">
    <w:altName w:val="Malgun Gothic"/>
    <w:panose1 w:val="00000000000000000000"/>
    <w:charset w:val="81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F1"/>
    <w:rsid w:val="00063F05"/>
    <w:rsid w:val="00085458"/>
    <w:rsid w:val="001F302A"/>
    <w:rsid w:val="002D69AE"/>
    <w:rsid w:val="003355EF"/>
    <w:rsid w:val="0044309C"/>
    <w:rsid w:val="00443B3B"/>
    <w:rsid w:val="00480326"/>
    <w:rsid w:val="004E4C1F"/>
    <w:rsid w:val="00582440"/>
    <w:rsid w:val="005C4691"/>
    <w:rsid w:val="0065481A"/>
    <w:rsid w:val="00695913"/>
    <w:rsid w:val="007A6788"/>
    <w:rsid w:val="007F4C6C"/>
    <w:rsid w:val="00813002"/>
    <w:rsid w:val="008A0BD5"/>
    <w:rsid w:val="00937718"/>
    <w:rsid w:val="00992E9A"/>
    <w:rsid w:val="009E5625"/>
    <w:rsid w:val="009F0C72"/>
    <w:rsid w:val="00B2016D"/>
    <w:rsid w:val="00B27E51"/>
    <w:rsid w:val="00BE23B7"/>
    <w:rsid w:val="00D3727B"/>
    <w:rsid w:val="00E86126"/>
    <w:rsid w:val="00ED26F4"/>
    <w:rsid w:val="00F75DF1"/>
    <w:rsid w:val="00FA6688"/>
    <w:rsid w:val="00FC03AE"/>
    <w:rsid w:val="00FC5568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fr-F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F75D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F75D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F75DF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F75D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F75DF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F75DF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F75DF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F75DF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F75DF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F75DF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F75DF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F75DF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F75DF1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F75DF1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F75DF1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F75DF1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F75DF1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F75DF1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F75DF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F75D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F75DF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F75DF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F75DF1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F75DF1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F75DF1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F75DF1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F75D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F75DF1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F75DF1"/>
    <w:rPr>
      <w:b/>
      <w:bCs/>
      <w:smallCaps/>
      <w:color w:themeColor="accent1" w:themeShade="BF" w:val="0F4761"/>
      <w:spacing w:val="5"/>
    </w:rPr>
  </w:style>
  <w:style w:customStyle="1" w:styleId="ipctitre0" w:type="paragraph">
    <w:name w:val="ipc_titre0"/>
    <w:basedOn w:val="Normal"/>
    <w:link w:val="ipctitre0Car"/>
    <w:qFormat/>
    <w:rsid w:val="0044309C"/>
    <w:pPr>
      <w:tabs>
        <w:tab w:pos="8573" w:val="left"/>
      </w:tabs>
      <w:spacing w:after="200" w:line="252" w:lineRule="auto"/>
    </w:pPr>
    <w:rPr>
      <w:rFonts w:ascii="Times New Roman" w:cs="Times New Roman" w:eastAsia="Malgun Gothic" w:hAnsi="Times New Roman"/>
      <w:b/>
      <w:caps/>
      <w:color w:val="CB400B"/>
      <w:kern w:val="0"/>
      <w:sz w:val="32"/>
      <w:szCs w:val="22"/>
      <w:lang w:eastAsia="ko-KR"/>
      <w14:ligatures w14:val="none"/>
    </w:rPr>
  </w:style>
  <w:style w:customStyle="1" w:styleId="ipctitre0Car" w:type="character">
    <w:name w:val="ipc_titre0 Car"/>
    <w:basedOn w:val="Policepardfaut"/>
    <w:link w:val="ipctitre0"/>
    <w:rsid w:val="0044309C"/>
    <w:rPr>
      <w:rFonts w:ascii="Times New Roman" w:cs="Times New Roman" w:eastAsia="Malgun Gothic" w:hAnsi="Times New Roman"/>
      <w:b/>
      <w:caps/>
      <w:color w:val="CB400B"/>
      <w:kern w:val="0"/>
      <w:sz w:val="32"/>
      <w:szCs w:val="22"/>
      <w:lang w:eastAsia="ko-KR"/>
      <w14:ligatures w14:val="none"/>
    </w:rPr>
  </w:style>
  <w:style w:customStyle="1" w:styleId="Chapo" w:type="paragraph">
    <w:name w:val="Chapo"/>
    <w:basedOn w:val="Normal"/>
    <w:link w:val="ChapoCar"/>
    <w:qFormat/>
    <w:rsid w:val="002D69AE"/>
    <w:pPr>
      <w:spacing w:after="120" w:line="120" w:lineRule="atLeast"/>
      <w:contextualSpacing/>
      <w:jc w:val="both"/>
    </w:pPr>
    <w:rPr>
      <w:rFonts w:ascii="Times New Roman" w:cs="Times New Roman" w:eastAsia="HYGothic-Medium" w:hAnsi="Times New Roman"/>
      <w:b/>
      <w:color w:val="8D4355"/>
      <w:kern w:val="0"/>
      <w:szCs w:val="22"/>
      <w:lang w:bidi="fr-FR"/>
      <w14:ligatures w14:val="none"/>
    </w:rPr>
  </w:style>
  <w:style w:customStyle="1" w:styleId="ChapoCar" w:type="character">
    <w:name w:val="Chapo Car"/>
    <w:basedOn w:val="Policepardfaut"/>
    <w:link w:val="Chapo"/>
    <w:rsid w:val="002D69AE"/>
    <w:rPr>
      <w:rFonts w:ascii="Times New Roman" w:cs="Times New Roman" w:eastAsia="HYGothic-Medium" w:hAnsi="Times New Roman"/>
      <w:b/>
      <w:color w:val="8D4355"/>
      <w:kern w:val="0"/>
      <w:szCs w:val="22"/>
      <w:lang w:bidi="fr-FR"/>
      <w14:ligatures w14:val="none"/>
    </w:rPr>
  </w:style>
  <w:style w:customStyle="1" w:styleId="Texte" w:type="paragraph">
    <w:name w:val="Texte"/>
    <w:basedOn w:val="Normal"/>
    <w:link w:val="TexteCar"/>
    <w:qFormat/>
    <w:rsid w:val="003355EF"/>
    <w:pPr>
      <w:tabs>
        <w:tab w:pos="-720" w:val="left"/>
        <w:tab w:pos="709" w:val="left"/>
        <w:tab w:pos="9000" w:val="left"/>
      </w:tabs>
      <w:spacing w:after="0" w:line="240" w:lineRule="auto"/>
      <w:ind w:right="74"/>
      <w:contextualSpacing/>
      <w:jc w:val="both"/>
    </w:pPr>
    <w:rPr>
      <w:rFonts w:ascii="Times New Roman" w:hAnsi="Times New Roman"/>
      <w:sz w:val="22"/>
      <w:szCs w:val="21"/>
    </w:rPr>
  </w:style>
  <w:style w:customStyle="1" w:styleId="TexteCar" w:type="character">
    <w:name w:val="Texte Car"/>
    <w:basedOn w:val="Policepardfaut"/>
    <w:link w:val="Texte"/>
    <w:rsid w:val="003355EF"/>
    <w:rPr>
      <w:rFonts w:ascii="Times New Roman" w:hAnsi="Times New Roman"/>
      <w:sz w:val="22"/>
      <w:szCs w:val="21"/>
    </w:rPr>
  </w:style>
  <w:style w:customStyle="1" w:styleId="ligne" w:type="paragraph">
    <w:name w:val="ligne"/>
    <w:basedOn w:val="Texte"/>
    <w:link w:val="ligneCar"/>
    <w:rsid w:val="003355EF"/>
    <w:rPr>
      <w:b/>
      <w:color w:val="CB400B"/>
      <w:sz w:val="48"/>
    </w:rPr>
  </w:style>
  <w:style w:customStyle="1" w:styleId="ligneCar" w:type="character">
    <w:name w:val="ligne Car"/>
    <w:basedOn w:val="TexteCar"/>
    <w:link w:val="ligne"/>
    <w:rsid w:val="003355EF"/>
    <w:rPr>
      <w:rFonts w:ascii="Times New Roman" w:hAnsi="Times New Roman"/>
      <w:b/>
      <w:color w:val="CB400B"/>
      <w:sz w:val="48"/>
      <w:szCs w:val="21"/>
    </w:rPr>
  </w:style>
  <w:style w:customStyle="1" w:styleId="ligneseparation" w:type="paragraph">
    <w:name w:val="ligne_separation"/>
    <w:basedOn w:val="Normal"/>
    <w:link w:val="ligneseparationCar"/>
    <w:qFormat/>
    <w:rsid w:val="004E4C1F"/>
    <w:pPr>
      <w:pBdr>
        <w:top w:color="CB400B" w:space="1" w:sz="18" w:val="single"/>
      </w:pBdr>
      <w:spacing w:after="0" w:before="120" w:line="240" w:lineRule="auto"/>
      <w:jc w:val="both"/>
    </w:pPr>
    <w:rPr>
      <w:rFonts w:ascii="Times New Roman" w:hAnsi="Times New Roman"/>
      <w:sz w:val="22"/>
    </w:rPr>
  </w:style>
  <w:style w:customStyle="1" w:styleId="ligneseparationCar" w:type="character">
    <w:name w:val="ligne_separation Car"/>
    <w:basedOn w:val="Policepardfaut"/>
    <w:link w:val="ligneseparation"/>
    <w:rsid w:val="004E4C1F"/>
    <w:rPr>
      <w:rFonts w:ascii="Times New Roman" w:hAnsi="Times New Roman"/>
      <w:sz w:val="22"/>
    </w:rPr>
  </w:style>
  <w:style w:styleId="En-tte" w:type="paragraph">
    <w:name w:val="header"/>
    <w:basedOn w:val="Normal"/>
    <w:link w:val="En-tteCar"/>
    <w:uiPriority w:val="99"/>
    <w:unhideWhenUsed/>
    <w:rsid w:val="00FC5568"/>
    <w:pPr>
      <w:tabs>
        <w:tab w:pos="4680" w:val="center"/>
        <w:tab w:pos="9360" w:val="right"/>
      </w:tabs>
      <w:spacing w:after="0" w:line="240" w:lineRule="auto"/>
    </w:pPr>
    <w:rPr>
      <w:rFonts w:ascii="Century Gothic" w:cs="Times New Roman" w:eastAsia="Malgun Gothic" w:hAnsi="Century Gothic"/>
      <w:kern w:val="0"/>
      <w:sz w:val="21"/>
      <w:szCs w:val="22"/>
      <w:lang w:eastAsia="ko-KR"/>
      <w14:ligatures w14:val="none"/>
    </w:rPr>
  </w:style>
  <w:style w:customStyle="1" w:styleId="En-tteCar" w:type="character">
    <w:name w:val="En-tête Car"/>
    <w:basedOn w:val="Policepardfaut"/>
    <w:link w:val="En-tte"/>
    <w:uiPriority w:val="99"/>
    <w:rsid w:val="00FC5568"/>
    <w:rPr>
      <w:rFonts w:ascii="Century Gothic" w:cs="Times New Roman" w:eastAsia="Malgun Gothic" w:hAnsi="Century Gothic"/>
      <w:kern w:val="0"/>
      <w:sz w:val="21"/>
      <w:szCs w:val="22"/>
      <w:lang w:eastAsia="ko-KR"/>
      <w14:ligatures w14:val="none"/>
    </w:rPr>
  </w:style>
  <w:style w:customStyle="1" w:styleId="enteteville" w:type="paragraph">
    <w:name w:val="entete_ville"/>
    <w:basedOn w:val="En-tte"/>
    <w:link w:val="entetevilleCar"/>
    <w:qFormat/>
    <w:rsid w:val="00695913"/>
    <w:pPr>
      <w:pBdr>
        <w:bottom w:color="CB400B" w:space="1" w:sz="12" w:val="single"/>
      </w:pBdr>
      <w:tabs>
        <w:tab w:pos="9360" w:val="left"/>
      </w:tabs>
      <w:spacing w:after="120"/>
    </w:pPr>
    <w:rPr>
      <w:b/>
      <w:bCs/>
      <w:color w:val="8D4355"/>
      <w:sz w:val="20"/>
      <w:szCs w:val="20"/>
    </w:rPr>
  </w:style>
  <w:style w:customStyle="1" w:styleId="entetevilleCar" w:type="character">
    <w:name w:val="entete_ville Car"/>
    <w:basedOn w:val="En-tteCar"/>
    <w:link w:val="enteteville"/>
    <w:rsid w:val="00695913"/>
    <w:rPr>
      <w:rFonts w:ascii="Century Gothic" w:cs="Times New Roman" w:eastAsia="Malgun Gothic" w:hAnsi="Century Gothic"/>
      <w:b/>
      <w:bCs/>
      <w:color w:val="8D4355"/>
      <w:kern w:val="0"/>
      <w:sz w:val="20"/>
      <w:szCs w:val="20"/>
      <w:lang w:eastAsia="ko-KR"/>
      <w14:ligatures w14:val="none"/>
    </w:rPr>
  </w:style>
  <w:style w:customStyle="1" w:styleId="titreillustration" w:type="paragraph">
    <w:name w:val="titre_illustration"/>
    <w:basedOn w:val="Normal"/>
    <w:link w:val="titreillustrationCar"/>
    <w:qFormat/>
    <w:rsid w:val="0065481A"/>
    <w:pPr>
      <w:tabs>
        <w:tab w:pos="-720" w:val="left"/>
        <w:tab w:pos="709" w:val="left"/>
        <w:tab w:pos="9000" w:val="left"/>
      </w:tabs>
      <w:spacing w:after="0" w:before="120" w:line="240" w:lineRule="auto"/>
      <w:ind w:right="74"/>
      <w:jc w:val="center"/>
    </w:pPr>
    <w:rPr>
      <w:rFonts w:ascii="Times New Roman" w:hAnsi="Times New Roman"/>
      <w:b/>
      <w:bCs/>
      <w:color w:val="C0504D"/>
      <w:sz w:val="18"/>
      <w:szCs w:val="18"/>
    </w:rPr>
  </w:style>
  <w:style w:customStyle="1" w:styleId="titreillustrationCar" w:type="character">
    <w:name w:val="titre_illustration Car"/>
    <w:basedOn w:val="Policepardfaut"/>
    <w:link w:val="titreillustration"/>
    <w:rsid w:val="0065481A"/>
    <w:rPr>
      <w:rFonts w:ascii="Times New Roman" w:hAnsi="Times New Roman"/>
      <w:b/>
      <w:bCs/>
      <w:color w:val="C0504D"/>
      <w:sz w:val="18"/>
      <w:szCs w:val="18"/>
    </w:rPr>
  </w:style>
  <w:style w:customStyle="1" w:styleId="Notelecture" w:type="paragraph">
    <w:name w:val="Note_lecture"/>
    <w:basedOn w:val="Normal"/>
    <w:link w:val="NotelectureCar"/>
    <w:qFormat/>
    <w:rsid w:val="00BE23B7"/>
    <w:pPr>
      <w:tabs>
        <w:tab w:pos="-720" w:val="left"/>
        <w:tab w:pos="709" w:val="left"/>
        <w:tab w:pos="9000" w:val="left"/>
      </w:tabs>
      <w:spacing w:after="0" w:before="60" w:line="240" w:lineRule="auto"/>
      <w:ind w:right="74"/>
      <w:jc w:val="both"/>
    </w:pPr>
    <w:rPr>
      <w:rFonts w:ascii="Times New Roman" w:hAnsi="Times New Roman"/>
      <w:b/>
      <w:bCs/>
      <w:sz w:val="16"/>
      <w:szCs w:val="16"/>
    </w:rPr>
  </w:style>
  <w:style w:customStyle="1" w:styleId="NotelectureCar" w:type="character">
    <w:name w:val="Note_lecture Car"/>
    <w:basedOn w:val="Policepardfaut"/>
    <w:link w:val="Notelecture"/>
    <w:rsid w:val="00BE23B7"/>
    <w:rPr>
      <w:rFonts w:ascii="Times New Roman" w:hAnsi="Times New Roman"/>
      <w:b/>
      <w:bCs/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204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2026-04-02T19:16:09Z</dcterms:created>
  <dcterms:modified xsi:type="dcterms:W3CDTF">2026-04-02T19:16:09Z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Direction Régionale de Tanger - Tétouan - Al Hoceima</vt:lpwstr>
  </property>
  <property fmtid="{D5CDD505-2E9C-101B-9397-08002B2CF9AE}" pid="13" name="title-meta">
    <vt:lpwstr>Indice des Prix à la Consommation - Juin 2025</vt:lpwstr>
  </property>
  <property fmtid="{D5CDD505-2E9C-101B-9397-08002B2CF9AE}" pid="14" name="toc-title">
    <vt:lpwstr>Table of contents</vt:lpwstr>
  </property>
</Properties>
</file>