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466" w:type="dxa"/>
        <w:jc w:val="start"/>
        <w:tblInd w:w="0" w:type="dxa"/>
        <w:tblLayout w:type="fixed"/>
        <w:tblCellMar>
          <w:top w:w="0" w:type="dxa"/>
          <w:start w:w="108" w:type="dxa"/>
          <w:bottom w:w="0" w:type="dxa"/>
          <w:end w:w="108" w:type="dxa"/>
        </w:tblCellMar>
      </w:tblPr>
      <w:tblGrid>
        <w:gridCol w:w="1745"/>
        <w:gridCol w:w="8721"/>
      </w:tblGrid>
      <w:tr>
        <w:trPr/>
        <w:tc>
          <w:tcPr>
            <w:tcW w:w="1745" w:type="dxa"/>
            <w:tcBorders/>
          </w:tcPr>
          <w:p>
            <w:pPr>
              <w:pStyle w:val="Standard"/>
              <w:widowControl/>
              <w:spacing w:before="0" w:after="0"/>
              <w:jc w:val="start"/>
              <w:rPr>
                <w:lang w:val="fr-FR" w:bidi="ar-SA"/>
              </w:rPr>
            </w:pPr>
            <w:r>
              <w:rPr>
                <w:lang w:val="fr-FR" w:bidi="ar-SA"/>
              </w:rPr>
              <w:drawing>
                <wp:inline distT="0" distB="0" distL="0" distR="0">
                  <wp:extent cx="781050" cy="1533525"/>
                  <wp:effectExtent l="0" t="0" r="0" b="0"/>
                  <wp:docPr id="1" name="DR59DI"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59DI" descr="" title=""/>
                          <pic:cNvPicPr>
                            <a:picLocks noChangeAspect="1" noChangeArrowheads="1"/>
                          </pic:cNvPicPr>
                        </pic:nvPicPr>
                        <pic:blipFill>
                          <a:blip r:embed="rId2"/>
                          <a:stretch>
                            <a:fillRect/>
                          </a:stretch>
                        </pic:blipFill>
                        <pic:spPr bwMode="auto">
                          <a:xfrm>
                            <a:off x="0" y="0"/>
                            <a:ext cx="781050" cy="1533525"/>
                          </a:xfrm>
                          <a:prstGeom prst="rect">
                            <a:avLst/>
                          </a:prstGeom>
                          <a:noFill/>
                        </pic:spPr>
                      </pic:pic>
                    </a:graphicData>
                  </a:graphic>
                </wp:inline>
              </w:drawing>
            </w:r>
          </w:p>
        </w:tc>
        <w:tc>
          <w:tcPr>
            <w:tcW w:w="8721" w:type="dxa"/>
            <w:tcBorders/>
          </w:tcPr>
          <w:p>
            <w:pPr>
              <w:pStyle w:val="Standard"/>
              <w:widowControl/>
              <w:spacing w:before="0" w:after="0"/>
              <w:ind w:hanging="0" w:start="708" w:end="0"/>
              <w:jc w:val="start"/>
              <w:rPr>
                <w:rFonts w:cs="Arial"/>
                <w:b/>
                <w:color w:val="000000"/>
                <w:sz w:val="24"/>
                <w:szCs w:val="24"/>
                <w:lang w:val="fr-FR" w:bidi="ar-SA"/>
              </w:rPr>
            </w:pPr>
            <w:r>
              <w:rPr>
                <w:rFonts w:cs="Arial"/>
                <w:b/>
                <w:color w:val="000000"/>
                <w:sz w:val="24"/>
                <w:szCs w:val="24"/>
                <w:lang w:val="fr-FR" w:bidi="ar-SA"/>
              </w:rPr>
            </w:r>
          </w:p>
          <w:p>
            <w:pPr>
              <w:pStyle w:val="Standard"/>
              <w:widowControl/>
              <w:spacing w:before="0" w:after="0"/>
              <w:ind w:hanging="0" w:start="708" w:end="0"/>
              <w:jc w:val="start"/>
              <w:rPr>
                <w:rFonts w:ascii="Arial" w:hAnsi="Arial" w:eastAsia="Calibri" w:cs="Arial"/>
                <w:color w:val="000000"/>
                <w:kern w:val="0"/>
                <w:sz w:val="24"/>
                <w:szCs w:val="24"/>
                <w:lang w:val="fr-FR" w:eastAsia="en-US" w:bidi="ar-SA"/>
              </w:rPr>
            </w:pPr>
            <w:r>
              <w:rPr>
                <w:rFonts w:eastAsia="Calibri" w:cs="Arial"/>
                <w:color w:val="000000"/>
                <w:kern w:val="0"/>
                <w:sz w:val="24"/>
                <w:szCs w:val="24"/>
                <w:lang w:val="fr-FR" w:eastAsia="en-US" w:bidi="ar-SA"/>
              </w:rPr>
            </w:r>
          </w:p>
          <w:p>
            <w:pPr>
              <w:pStyle w:val="Contenudecadre"/>
              <w:widowControl/>
              <w:spacing w:before="0" w:after="0"/>
              <w:ind w:hanging="0" w:start="708" w:end="0"/>
              <w:jc w:val="start"/>
              <w:rPr>
                <w:rFonts w:cs="Arial"/>
                <w:color w:val="000000"/>
                <w:sz w:val="24"/>
                <w:szCs w:val="24"/>
                <w:lang w:val="fr-FR" w:bidi="ar-SA"/>
              </w:rPr>
            </w:pPr>
            <w:r>
              <w:rPr>
                <w:rFonts w:cs="Arial"/>
                <w:color w:val="000000"/>
                <w:sz w:val="24"/>
                <w:szCs w:val="24"/>
                <w:lang w:val="fr-FR" w:bidi="ar-SA"/>
              </w:rPr>
            </w:r>
          </w:p>
          <w:p>
            <w:pPr>
              <w:pStyle w:val="Standard"/>
              <w:widowControl/>
              <w:spacing w:before="0" w:after="0"/>
              <w:jc w:val="start"/>
              <w:rPr>
                <w:rFonts w:cs="Arial"/>
                <w:b/>
                <w:color w:val="000000"/>
                <w:sz w:val="24"/>
                <w:szCs w:val="24"/>
                <w:lang w:val="fr-FR" w:bidi="ar-SA"/>
              </w:rPr>
            </w:pPr>
            <w:r>
              <w:rPr>
                <w:rFonts w:cs="Arial"/>
                <w:b/>
                <w:color w:val="000000"/>
                <w:sz w:val="24"/>
                <w:szCs w:val="24"/>
                <w:lang w:val="fr-FR" w:bidi="ar-SA"/>
              </w:rPr>
            </w:r>
          </w:p>
        </w:tc>
      </w:tr>
    </w:tbl>
    <w:p>
      <w:pPr>
        <w:pStyle w:val="Standard"/>
        <w:rPr>
          <w:rFonts w:cs="Arial"/>
          <w:b/>
          <w:sz w:val="18"/>
          <w:szCs w:val="18"/>
        </w:rPr>
      </w:pPr>
      <w:r>
        <w:rPr>
          <w:rFonts w:cs="Arial"/>
          <w:b/>
          <w:sz w:val="18"/>
          <w:szCs w:val="18"/>
        </w:rPr>
      </w:r>
    </w:p>
    <w:p>
      <w:pPr>
        <w:pStyle w:val="Standard"/>
        <w:jc w:val="center"/>
        <w:rPr>
          <w:rFonts w:cs="Arial"/>
          <w:b/>
        </w:rPr>
      </w:pPr>
      <w:r>
        <w:rPr>
          <w:rFonts w:cs="Arial"/>
          <w:b/>
        </w:rPr>
        <w:t>ANNONCE DE FORMATION</w:t>
      </w:r>
    </w:p>
    <w:p>
      <w:pPr>
        <w:pStyle w:val="Standard"/>
        <w:jc w:val="center"/>
        <w:rPr>
          <w:rFonts w:cs="Arial"/>
          <w:i/>
          <w:i/>
        </w:rPr>
      </w:pPr>
      <w:r>
        <w:rPr>
          <w:rFonts w:cs="Arial"/>
          <w:i/>
        </w:rPr>
      </w:r>
    </w:p>
    <w:p>
      <w:pPr>
        <w:pStyle w:val="Standard"/>
        <w:jc w:val="center"/>
        <w:rPr>
          <w:rFonts w:cs="Arial"/>
          <w:i/>
          <w:i/>
        </w:rPr>
      </w:pPr>
      <w:r>
        <w:rPr>
          <w:rFonts w:cs="Arial"/>
          <w:i/>
        </w:rPr>
        <w:t>À</w:t>
      </w:r>
      <w:r>
        <w:rPr>
          <w:rFonts w:cs="Arial"/>
          <w:i/>
        </w:rPr>
        <w:t xml:space="preserve"> l’attention des responsables formation</w:t>
      </w:r>
    </w:p>
    <w:p>
      <w:pPr>
        <w:pStyle w:val="Standard"/>
        <w:jc w:val="center"/>
        <w:rPr>
          <w:rFonts w:cs="Arial"/>
          <w:i/>
          <w:i/>
        </w:rPr>
      </w:pPr>
      <w:r>
        <w:rPr>
          <w:rFonts w:cs="Arial"/>
          <w:i/>
        </w:rPr>
      </w:r>
    </w:p>
    <w:p>
      <w:pPr>
        <w:pStyle w:val="Contenudecadre"/>
        <w:spacing w:before="0" w:after="0"/>
        <w:rPr>
          <w:rFonts w:cs="Arial"/>
          <w:sz w:val="18"/>
          <w:szCs w:val="18"/>
        </w:rPr>
      </w:pPr>
      <w:r>
        <w:rPr>
          <w:rFonts w:cs="Arial"/>
          <w:sz w:val="18"/>
          <w:szCs w:val="18"/>
        </w:rPr>
      </w:r>
    </w:p>
    <w:tbl>
      <w:tblPr>
        <w:tblW w:w="10456" w:type="dxa"/>
        <w:jc w:val="start"/>
        <w:tblInd w:w="0" w:type="dxa"/>
        <w:tblLayout w:type="fixed"/>
        <w:tblCellMar>
          <w:top w:w="0" w:type="dxa"/>
          <w:start w:w="108" w:type="dxa"/>
          <w:bottom w:w="0" w:type="dxa"/>
          <w:end w:w="108" w:type="dxa"/>
        </w:tblCellMar>
      </w:tblPr>
      <w:tblGrid>
        <w:gridCol w:w="5244"/>
        <w:gridCol w:w="5212"/>
      </w:tblGrid>
      <w:tr>
        <w:trPr/>
        <w:tc>
          <w:tcPr>
            <w:tcW w:w="5244" w:type="dxa"/>
            <w:tcBorders/>
          </w:tcPr>
          <w:p>
            <w:pPr>
              <w:pStyle w:val="Standard"/>
              <w:widowControl/>
              <w:spacing w:before="0" w:after="0"/>
              <w:jc w:val="start"/>
              <w:rPr>
                <w:rFonts w:cs="Arial"/>
                <w:sz w:val="18"/>
                <w:szCs w:val="18"/>
                <w:lang w:val="fr-FR" w:bidi="ar-SA"/>
              </w:rPr>
            </w:pPr>
            <w:r>
              <w:rPr>
                <w:rFonts w:cs="Arial"/>
                <w:sz w:val="18"/>
                <w:szCs w:val="18"/>
                <w:lang w:val="fr-FR" w:bidi="ar-SA"/>
              </w:rPr>
              <w:t>Dossier suivi par : Anne-Claire DUFOUR</w:t>
            </w:r>
          </w:p>
          <w:p>
            <w:pPr>
              <w:pStyle w:val="Standard"/>
              <w:widowControl/>
              <w:spacing w:before="0" w:after="0"/>
              <w:jc w:val="start"/>
              <w:rPr>
                <w:rFonts w:cs="Arial"/>
                <w:sz w:val="18"/>
                <w:szCs w:val="18"/>
                <w:lang w:val="fr-FR" w:bidi="ar-SA"/>
              </w:rPr>
            </w:pPr>
            <w:r>
              <w:rPr>
                <w:rFonts w:cs="Arial"/>
                <w:sz w:val="18"/>
                <w:szCs w:val="18"/>
                <w:lang w:val="fr-FR" w:bidi="ar-SA"/>
              </w:rPr>
              <w:t>Tél. : 0549300064</w:t>
            </w:r>
          </w:p>
          <w:p>
            <w:pPr>
              <w:pStyle w:val="Standard"/>
              <w:widowControl/>
              <w:spacing w:before="0" w:after="0"/>
              <w:jc w:val="start"/>
              <w:rPr>
                <w:rFonts w:cs="Arial"/>
                <w:sz w:val="18"/>
                <w:szCs w:val="18"/>
                <w:lang w:val="fr-FR" w:bidi="ar-SA"/>
              </w:rPr>
            </w:pPr>
            <w:r>
              <w:rPr>
                <w:rFonts w:cs="Arial"/>
                <w:sz w:val="18"/>
                <w:szCs w:val="18"/>
                <w:lang w:val="fr-FR" w:bidi="ar-SA"/>
              </w:rPr>
              <w:t>Mél : anne-claire.dufour@insee.fr</w:t>
            </w:r>
          </w:p>
        </w:tc>
        <w:tc>
          <w:tcPr>
            <w:tcW w:w="5212" w:type="dxa"/>
            <w:tcBorders/>
          </w:tcPr>
          <w:p>
            <w:pPr>
              <w:pStyle w:val="Contenudecadre"/>
              <w:widowControl/>
              <w:spacing w:before="0" w:after="0"/>
              <w:jc w:val="start"/>
              <w:rPr>
                <w:rFonts w:cs="Arial"/>
                <w:sz w:val="18"/>
                <w:szCs w:val="18"/>
                <w:lang w:val="fr-FR" w:bidi="ar-SA"/>
              </w:rPr>
            </w:pPr>
            <w:r>
              <w:rPr>
                <w:rFonts w:cs="Arial"/>
                <w:sz w:val="18"/>
                <w:szCs w:val="18"/>
                <w:lang w:val="fr-FR" w:bidi="ar-SA"/>
              </w:rPr>
              <w:t>le jeudi 9 octobre 2025</w:t>
            </w:r>
          </w:p>
          <w:p>
            <w:pPr>
              <w:pStyle w:val="Contenudecadre"/>
              <w:widowControl/>
              <w:spacing w:before="0" w:after="0"/>
              <w:jc w:val="start"/>
              <w:rPr>
                <w:rFonts w:cs="Arial"/>
                <w:color w:val="000000"/>
                <w:sz w:val="18"/>
                <w:szCs w:val="18"/>
                <w:lang w:val="en-US" w:bidi="ar-SA"/>
              </w:rPr>
            </w:pPr>
            <w:r>
              <w:rPr>
                <w:rFonts w:cs="Arial"/>
                <w:color w:val="000000"/>
                <w:sz w:val="18"/>
                <w:szCs w:val="18"/>
                <w:lang w:val="en-US" w:bidi="ar-SA"/>
              </w:rPr>
            </w:r>
          </w:p>
          <w:p>
            <w:pPr>
              <w:pStyle w:val="Contenudecadre"/>
              <w:widowControl/>
              <w:spacing w:before="0" w:after="0"/>
              <w:jc w:val="start"/>
              <w:rPr>
                <w:rFonts w:cs="Arial"/>
                <w:color w:val="000000"/>
                <w:sz w:val="18"/>
                <w:szCs w:val="18"/>
                <w:lang w:val="en-US" w:bidi="ar-SA"/>
              </w:rPr>
            </w:pPr>
            <w:r>
              <w:rPr>
                <w:rFonts w:cs="Arial"/>
                <w:color w:val="000000"/>
                <w:sz w:val="18"/>
                <w:szCs w:val="18"/>
                <w:lang w:val="en-US" w:bidi="ar-SA"/>
              </w:rPr>
              <w:t>Sessions</w:t>
            </w:r>
            <w:r>
              <w:rPr>
                <w:rFonts w:cs="Arial"/>
                <w:color w:val="000000"/>
                <w:sz w:val="18"/>
                <w:szCs w:val="18"/>
                <w:lang w:val="en-US" w:bidi="ar-SA"/>
              </w:rPr>
              <w:t xml:space="preserve"> : 5196</w:t>
            </w:r>
          </w:p>
        </w:tc>
      </w:tr>
    </w:tbl>
    <w:p>
      <w:pPr>
        <w:pStyle w:val="Contenudecadre"/>
        <w:spacing w:before="0" w:after="0"/>
        <w:rPr>
          <w:rFonts w:cs="Arial"/>
          <w:sz w:val="18"/>
          <w:szCs w:val="18"/>
        </w:rPr>
      </w:pPr>
      <w:r>
        <w:rPr>
          <w:rFonts w:cs="Arial"/>
          <w:sz w:val="18"/>
          <w:szCs w:val="18"/>
        </w:rPr>
      </w:r>
    </w:p>
    <w:p>
      <w:pPr>
        <w:pStyle w:val="Contenudecadre"/>
        <w:spacing w:before="0" w:after="0"/>
        <w:rPr>
          <w:rFonts w:cs="Arial"/>
          <w:sz w:val="18"/>
          <w:szCs w:val="18"/>
        </w:rPr>
      </w:pPr>
      <w:r>
        <w:rPr>
          <w:rFonts w:cs="Arial"/>
          <w:sz w:val="18"/>
          <w:szCs w:val="18"/>
        </w:rPr>
      </w:r>
    </w:p>
    <w:tbl>
      <w:tblPr>
        <w:tblW w:w="10456" w:type="dxa"/>
        <w:jc w:val="start"/>
        <w:tblInd w:w="0" w:type="dxa"/>
        <w:tblLayout w:type="fixed"/>
        <w:tblCellMar>
          <w:top w:w="0" w:type="dxa"/>
          <w:start w:w="108" w:type="dxa"/>
          <w:bottom w:w="0" w:type="dxa"/>
          <w:end w:w="108" w:type="dxa"/>
        </w:tblCellMar>
      </w:tblPr>
      <w:tblGrid>
        <w:gridCol w:w="2689"/>
        <w:gridCol w:w="7767"/>
      </w:tblGrid>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Intitulé de la formation :</w:t>
            </w:r>
          </w:p>
        </w:tc>
        <w:tc>
          <w:tcPr>
            <w:tcW w:w="7767"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t>conjoncture régionale : utiliser les sources pour construire la note trimestrielle synthétique</w:t>
            </w:r>
          </w:p>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Objectif :</w:t>
            </w:r>
          </w:p>
        </w:tc>
        <w:tc>
          <w:tcPr>
            <w:tcW w:w="7767"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t>A l'issue de cette formation, les stagiaires seront capables de :</w:t>
              <w:br/>
              <w:t>- identifier et mobiliser les sources clés (emploi, tourisme, démographie d'entreprises, construction, marché du travail, activité économique, transport) en intégrant les nouveaux éléments pour analyser l'activité économique (évolution de la valeur ajoutée coïncidente et prévue, soldes d'opinion sur l'activité prévue et constatée, désaisonnalisation des heures rémunérées) ;</w:t>
              <w:br/>
              <w:t>- construire une note de conjoncture régionale trimestrielle synthétique en articulant analyse nationale et spécificités régionales, selon le nouveau format.</w:t>
            </w:r>
          </w:p>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Durée :</w:t>
            </w:r>
          </w:p>
        </w:tc>
        <w:tc>
          <w:tcPr>
            <w:tcW w:w="7767"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t>2 jour(s) / 12.0 heures</w:t>
            </w:r>
          </w:p>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Standard"/>
              <w:widowControl/>
              <w:spacing w:before="0" w:after="0"/>
              <w:jc w:val="start"/>
              <w:rPr>
                <w:rFonts w:cs="Arial"/>
                <w:b/>
                <w:sz w:val="18"/>
                <w:szCs w:val="18"/>
                <w:lang w:val="fr-FR" w:bidi="ar-SA"/>
              </w:rPr>
            </w:pPr>
            <w:r>
              <w:rPr>
                <w:rFonts w:cs="Arial"/>
                <w:b/>
                <w:sz w:val="18"/>
                <w:szCs w:val="18"/>
                <w:lang w:val="fr-FR" w:bidi="ar-SA"/>
              </w:rPr>
              <w:t xml:space="preserve">Dates </w:t>
            </w:r>
          </w:p>
        </w:tc>
        <w:tc>
          <w:tcPr>
            <w:tcW w:w="7767" w:type="dxa"/>
            <w:tcBorders>
              <w:top w:val="dotted" w:sz="4" w:space="0" w:color="BFBFBF"/>
              <w:start w:val="dotted" w:sz="4" w:space="0" w:color="BFBFBF"/>
              <w:bottom w:val="dotted" w:sz="4" w:space="0" w:color="BFBFBF"/>
              <w:end w:val="dotted" w:sz="4" w:space="0" w:color="BFBFBF"/>
            </w:tcBorders>
          </w:tcPr>
          <w:p>
            <w:pPr>
              <w:pStyle w:val="Standard"/>
              <w:widowControl/>
              <w:spacing w:before="0" w:after="0"/>
              <w:jc w:val="start"/>
              <w:rPr>
                <w:rFonts w:cs="Arial"/>
                <w:color w:val="000000"/>
                <w:sz w:val="18"/>
                <w:szCs w:val="18"/>
                <w:lang w:val="fr-FR" w:bidi="ar-SA"/>
              </w:rPr>
            </w:pPr>
            <w:r>
              <w:rPr>
                <w:rFonts w:cs="Arial"/>
                <w:color w:val="000000"/>
                <w:sz w:val="18"/>
                <w:szCs w:val="18"/>
                <w:lang w:val="fr-FR" w:bidi="ar-SA"/>
              </w:rPr>
              <w:t>24 novembre 2025 (</w:t>
            </w:r>
            <w:r>
              <w:rPr>
                <w:rFonts w:cs="Arial"/>
                <w:color w:val="000000"/>
                <w:sz w:val="18"/>
                <w:szCs w:val="18"/>
                <w:lang w:val="fr-FR" w:bidi="ar-SA"/>
              </w:rPr>
              <w:t>après-midi</w:t>
            </w:r>
            <w:r>
              <w:rPr>
                <w:rFonts w:cs="Arial"/>
                <w:color w:val="000000"/>
                <w:sz w:val="18"/>
                <w:szCs w:val="18"/>
                <w:lang w:val="fr-FR" w:bidi="ar-SA"/>
              </w:rPr>
              <w:t>), 25 novembre 2025 (</w:t>
            </w:r>
            <w:r>
              <w:rPr>
                <w:rFonts w:cs="Arial"/>
                <w:color w:val="000000"/>
                <w:sz w:val="18"/>
                <w:szCs w:val="18"/>
                <w:lang w:val="fr-FR" w:bidi="ar-SA"/>
              </w:rPr>
              <w:t>après-midi</w:t>
            </w:r>
            <w:r>
              <w:rPr>
                <w:rFonts w:cs="Arial"/>
                <w:color w:val="000000"/>
                <w:sz w:val="18"/>
                <w:szCs w:val="18"/>
                <w:lang w:val="fr-FR" w:bidi="ar-SA"/>
              </w:rPr>
              <w:t>), 27 novembre 2025 (</w:t>
            </w:r>
            <w:r>
              <w:rPr>
                <w:rFonts w:cs="Arial"/>
                <w:color w:val="000000"/>
                <w:sz w:val="18"/>
                <w:szCs w:val="18"/>
                <w:lang w:val="fr-FR" w:bidi="ar-SA"/>
              </w:rPr>
              <w:t>après-midi</w:t>
            </w:r>
            <w:r>
              <w:rPr>
                <w:rFonts w:cs="Arial"/>
                <w:color w:val="000000"/>
                <w:sz w:val="18"/>
                <w:szCs w:val="18"/>
                <w:lang w:val="fr-FR" w:bidi="ar-SA"/>
              </w:rPr>
              <w:t>), 28 novembre 2025 (</w:t>
            </w:r>
            <w:r>
              <w:rPr>
                <w:rFonts w:cs="Arial"/>
                <w:color w:val="000000"/>
                <w:sz w:val="18"/>
                <w:szCs w:val="18"/>
                <w:lang w:val="fr-FR" w:bidi="ar-SA"/>
              </w:rPr>
              <w:t>après-midi</w:t>
            </w:r>
            <w:r>
              <w:rPr>
                <w:rFonts w:cs="Arial"/>
                <w:color w:val="000000"/>
                <w:sz w:val="18"/>
                <w:szCs w:val="18"/>
                <w:lang w:val="fr-FR" w:bidi="ar-SA"/>
              </w:rPr>
              <w:t xml:space="preserve">) </w:t>
            </w:r>
          </w:p>
          <w:p>
            <w:pPr>
              <w:pStyle w:val="Standard"/>
              <w:widowControl/>
              <w:spacing w:before="0" w:after="0"/>
              <w:jc w:val="start"/>
              <w:rPr>
                <w:rFonts w:cs="Arial"/>
                <w:color w:val="000000"/>
                <w:sz w:val="18"/>
                <w:szCs w:val="18"/>
                <w:lang w:val="fr-FR" w:bidi="ar-SA"/>
              </w:rPr>
            </w:pPr>
            <w:r>
              <w:rPr>
                <w:rFonts w:cs="Arial"/>
                <w:color w:val="000000"/>
                <w:sz w:val="18"/>
                <w:szCs w:val="18"/>
                <w:lang w:val="fr-FR" w:bidi="ar-SA"/>
              </w:rPr>
              <w:t xml:space="preserve">- Distanciel (classe virtuelle) </w:t>
            </w:r>
          </w:p>
          <w:p>
            <w:pPr>
              <w:pStyle w:val="Standard"/>
              <w:widowControl/>
              <w:spacing w:before="0" w:after="0"/>
              <w:jc w:val="start"/>
              <w:rPr>
                <w:rFonts w:cs="Arial"/>
                <w:color w:val="000000"/>
                <w:sz w:val="18"/>
                <w:szCs w:val="18"/>
                <w:lang w:val="fr-FR" w:bidi="ar-SA"/>
              </w:rPr>
            </w:pPr>
            <w:r>
              <w:rPr>
                <w:rFonts w:cs="Arial"/>
                <w:color w:val="000000"/>
                <w:sz w:val="18"/>
                <w:szCs w:val="18"/>
                <w:lang w:val="fr-FR" w:bidi="ar-SA"/>
              </w:rPr>
              <w:t xml:space="preserve">- Limite de préinscription : 01/11/2025 [session n°5196] </w:t>
            </w:r>
          </w:p>
          <w:p>
            <w:pPr>
              <w:pStyle w:val="Standard"/>
              <w:widowControl/>
              <w:spacing w:before="0" w:after="0"/>
              <w:jc w:val="start"/>
              <w:rPr>
                <w:rFonts w:cs="Arial"/>
                <w:color w:val="000000"/>
                <w:sz w:val="18"/>
                <w:szCs w:val="18"/>
                <w:lang w:val="fr-FR" w:bidi="ar-SA"/>
              </w:rPr>
            </w:pPr>
            <w:r>
              <w:rPr>
                <w:rFonts w:cs="Arial"/>
                <w:color w:val="000000"/>
                <w:sz w:val="18"/>
                <w:szCs w:val="18"/>
                <w:lang w:val="fr-FR"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Métiers :</w:t>
            </w:r>
          </w:p>
        </w:tc>
        <w:tc>
          <w:tcPr>
            <w:tcW w:w="7767" w:type="dxa"/>
            <w:tcBorders>
              <w:top w:val="dotted" w:sz="4" w:space="0" w:color="BFBFBF"/>
              <w:start w:val="dotted" w:sz="4" w:space="0" w:color="BFBFBF"/>
              <w:bottom w:val="dotted" w:sz="4" w:space="0" w:color="BFBFBF"/>
              <w:end w:val="dotted" w:sz="4" w:space="0" w:color="BFBFBF"/>
            </w:tcBorders>
          </w:tcPr>
          <w:p>
            <w:pPr>
              <w:pStyle w:val="NormalWeb"/>
              <w:widowControl/>
              <w:spacing w:before="0" w:after="0"/>
              <w:jc w:val="start"/>
              <w:rPr>
                <w:rFonts w:ascii="Arial" w:hAnsi="Arial" w:cs="Arial"/>
                <w:color w:val="000000"/>
                <w:kern w:val="2"/>
                <w:sz w:val="18"/>
                <w:szCs w:val="18"/>
                <w:lang w:val="fr-FR" w:eastAsia="zh-CN" w:bidi="ar-SA"/>
              </w:rPr>
            </w:pPr>
            <w:r>
              <w:rPr>
                <w:rFonts w:cs="Arial" w:ascii="Arial" w:hAnsi="Arial"/>
                <w:color w:val="000000"/>
                <w:kern w:val="2"/>
                <w:sz w:val="18"/>
                <w:szCs w:val="18"/>
                <w:lang w:val="fr-FR" w:eastAsia="zh-CN" w:bidi="ar-SA"/>
              </w:rPr>
              <w:t>311 Chargé d'études régionales</w:t>
            </w:r>
          </w:p>
          <w:p>
            <w:pPr>
              <w:pStyle w:val="NormalWeb"/>
              <w:widowControl/>
              <w:spacing w:before="0" w:after="0"/>
              <w:jc w:val="start"/>
              <w:rPr>
                <w:rFonts w:ascii="Arial" w:hAnsi="Arial" w:cs="Arial"/>
                <w:color w:val="000000"/>
                <w:kern w:val="2"/>
                <w:sz w:val="18"/>
                <w:szCs w:val="18"/>
                <w:lang w:val="fr-FR" w:eastAsia="zh-CN" w:bidi="ar-SA"/>
              </w:rPr>
            </w:pPr>
            <w:r>
              <w:rPr>
                <w:rFonts w:cs="Arial" w:ascii="Arial" w:hAnsi="Arial"/>
                <w:color w:val="000000"/>
                <w:kern w:val="2"/>
                <w:sz w:val="18"/>
                <w:szCs w:val="18"/>
                <w:lang w:val="fr-FR" w:eastAsia="zh-CN"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Public :</w:t>
            </w:r>
          </w:p>
        </w:tc>
        <w:tc>
          <w:tcPr>
            <w:tcW w:w="7767" w:type="dxa"/>
            <w:tcBorders>
              <w:top w:val="dotted" w:sz="4" w:space="0" w:color="BFBFBF"/>
              <w:start w:val="dotted" w:sz="4" w:space="0" w:color="BFBFBF"/>
              <w:bottom w:val="dotted" w:sz="4" w:space="0" w:color="BFBFBF"/>
              <w:end w:val="dotted" w:sz="4" w:space="0" w:color="BFBFBF"/>
            </w:tcBorders>
          </w:tcPr>
          <w:p>
            <w:pPr>
              <w:pStyle w:val="Standard"/>
              <w:widowControl/>
              <w:spacing w:before="0" w:after="0"/>
              <w:jc w:val="start"/>
              <w:rPr>
                <w:rFonts w:cs="Arial"/>
                <w:color w:val="000000"/>
                <w:sz w:val="18"/>
                <w:szCs w:val="18"/>
                <w:lang w:val="en-US" w:bidi="ar-SA"/>
              </w:rPr>
            </w:pPr>
            <w:r>
              <w:rPr>
                <w:rFonts w:cs="Arial"/>
                <w:color w:val="000000"/>
                <w:sz w:val="18"/>
                <w:szCs w:val="18"/>
                <w:lang w:val="en-US" w:bidi="ar-SA"/>
              </w:rPr>
              <w:t>référents conjoncture (anciens et nouveaux)</w:t>
            </w:r>
          </w:p>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r>
          </w:p>
        </w:tc>
      </w:tr>
      <w:tr>
        <w:trPr>
          <w:trHeight w:val="429" w:hRule="atLeast"/>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Pré-requis :</w:t>
            </w:r>
          </w:p>
        </w:tc>
        <w:tc>
          <w:tcPr>
            <w:tcW w:w="7767" w:type="dxa"/>
            <w:tcBorders>
              <w:top w:val="dotted" w:sz="4" w:space="0" w:color="BFBFBF"/>
              <w:start w:val="dotted" w:sz="4" w:space="0" w:color="BFBFBF"/>
              <w:bottom w:val="dotted" w:sz="4" w:space="0" w:color="BFBFBF"/>
              <w:end w:val="dotted" w:sz="4" w:space="0" w:color="BFBFBF"/>
            </w:tcBorders>
          </w:tcPr>
          <w:p>
            <w:pPr>
              <w:pStyle w:val="Normal"/>
              <w:widowControl/>
              <w:spacing w:lineRule="auto" w:line="240" w:before="0" w:after="0"/>
              <w:ind w:hanging="0" w:start="0" w:end="0"/>
              <w:jc w:val="start"/>
              <w:rPr>
                <w:rFonts w:ascii="Arial" w:hAnsi="Arial" w:eastAsia="Times New Roman" w:cs="Arial"/>
                <w:color w:val="000000"/>
                <w:kern w:val="2"/>
                <w:sz w:val="18"/>
                <w:szCs w:val="18"/>
                <w:lang w:val="en-US" w:eastAsia="zh-CN" w:bidi="ar-SA"/>
              </w:rPr>
            </w:pPr>
            <w:r>
              <w:rPr>
                <w:rFonts w:eastAsia="Times New Roman" w:cs="Arial" w:ascii="Arial" w:hAnsi="Arial"/>
                <w:color w:val="000000"/>
                <w:kern w:val="2"/>
                <w:sz w:val="18"/>
                <w:szCs w:val="18"/>
                <w:lang w:val="en-US" w:eastAsia="zh-CN" w:bidi="ar-SA"/>
              </w:rPr>
              <w:t>Aucun</w:t>
            </w:r>
          </w:p>
        </w:tc>
      </w:tr>
      <w:tr>
        <w:trPr/>
        <w:tc>
          <w:tcPr>
            <w:tcW w:w="2689" w:type="dxa"/>
            <w:tcBorders>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Contenu :</w:t>
            </w:r>
          </w:p>
        </w:tc>
        <w:tc>
          <w:tcPr>
            <w:tcW w:w="7767" w:type="dxa"/>
            <w:tcBorders>
              <w:start w:val="dotted" w:sz="4" w:space="0" w:color="BFBFBF"/>
              <w:bottom w:val="dotted" w:sz="4" w:space="0" w:color="BFBFBF"/>
              <w:end w:val="dotted" w:sz="4" w:space="0" w:color="BFBFBF"/>
            </w:tcBorders>
          </w:tcPr>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t xml:space="preserve">- Enjeux, objectifs et organisation de la note de conjoncture régionale </w:t>
              <w:br/>
              <w:t>- nouvelles orientations de la refonte des publications de conjoncture régionale</w:t>
              <w:br/>
              <w:t>- présentation de l'ensemble des sources</w:t>
            </w:r>
          </w:p>
          <w:p>
            <w:pPr>
              <w:pStyle w:val="Contenudecadre"/>
              <w:widowControl/>
              <w:spacing w:before="0" w:after="0"/>
              <w:jc w:val="start"/>
              <w:rPr>
                <w:rFonts w:cs="Arial"/>
                <w:color w:val="000000"/>
                <w:sz w:val="18"/>
                <w:szCs w:val="18"/>
                <w:lang w:val="fr-FR" w:bidi="ar-SA"/>
              </w:rPr>
            </w:pPr>
            <w:r>
              <w:rPr>
                <w:rFonts w:cs="Arial"/>
                <w:color w:val="000000"/>
                <w:sz w:val="18"/>
                <w:szCs w:val="18"/>
                <w:lang w:val="fr-FR" w:bidi="ar-SA"/>
              </w:rPr>
            </w:r>
          </w:p>
        </w:tc>
      </w:tr>
      <w:tr>
        <w:trPr/>
        <w:tc>
          <w:tcPr>
            <w:tcW w:w="2689" w:type="dxa"/>
            <w:tcBorders>
              <w:top w:val="dotted" w:sz="4" w:space="0" w:color="BFBFBF"/>
              <w:start w:val="dotted" w:sz="4" w:space="0" w:color="BFBFBF"/>
              <w:bottom w:val="dotted" w:sz="4" w:space="0" w:color="BFBFBF"/>
              <w:end w:val="dotted" w:sz="4" w:space="0" w:color="BFBFBF"/>
            </w:tcBorders>
          </w:tcPr>
          <w:p>
            <w:pPr>
              <w:pStyle w:val="Contenudecadre"/>
              <w:widowControl/>
              <w:spacing w:before="0" w:after="0"/>
              <w:jc w:val="start"/>
              <w:rPr>
                <w:rFonts w:cs="Arial"/>
                <w:b/>
                <w:sz w:val="18"/>
                <w:szCs w:val="18"/>
                <w:lang w:val="fr-FR" w:bidi="ar-SA"/>
              </w:rPr>
            </w:pPr>
            <w:r>
              <w:rPr>
                <w:rFonts w:cs="Arial"/>
                <w:b/>
                <w:sz w:val="18"/>
                <w:szCs w:val="18"/>
                <w:lang w:val="fr-FR" w:bidi="ar-SA"/>
              </w:rPr>
              <w:t>Modalités d'inscription :</w:t>
            </w:r>
          </w:p>
        </w:tc>
        <w:tc>
          <w:tcPr>
            <w:tcW w:w="7767" w:type="dxa"/>
            <w:tcBorders>
              <w:top w:val="dotted" w:sz="4" w:space="0" w:color="BFBFBF"/>
              <w:start w:val="dotted" w:sz="4" w:space="0" w:color="BFBFBF"/>
              <w:bottom w:val="dotted" w:sz="4" w:space="0" w:color="BFBFBF"/>
              <w:end w:val="dotted" w:sz="4" w:space="0" w:color="BFBFBF"/>
            </w:tcBorders>
          </w:tcPr>
          <w:p>
            <w:pPr>
              <w:pStyle w:val="Standard"/>
              <w:widowControl/>
              <w:spacing w:before="0" w:after="0"/>
              <w:jc w:val="start"/>
              <w:rPr>
                <w:lang w:val="fr-FR" w:bidi="ar-SA"/>
              </w:rPr>
            </w:pPr>
            <w:r>
              <w:rPr>
                <w:rFonts w:cs="Arial"/>
                <w:b/>
                <w:color w:val="000000"/>
                <w:sz w:val="18"/>
                <w:szCs w:val="18"/>
                <w:lang w:val="fr-FR" w:bidi="ar-SA"/>
              </w:rPr>
              <w:t xml:space="preserve">Nombre de places disponibles par session : </w:t>
            </w:r>
            <w:r>
              <w:rPr>
                <w:rFonts w:cs="Arial"/>
                <w:b/>
                <w:color w:val="000000"/>
                <w:sz w:val="18"/>
                <w:szCs w:val="18"/>
                <w:lang w:val="fr-FR" w:bidi="ar-SA"/>
              </w:rPr>
              <w:t>12</w:t>
            </w:r>
          </w:p>
          <w:p>
            <w:pPr>
              <w:pStyle w:val="Standard"/>
              <w:widowControl/>
              <w:spacing w:before="0" w:after="0"/>
              <w:jc w:val="start"/>
              <w:rPr>
                <w:rFonts w:cs="Arial"/>
                <w:color w:val="000000"/>
                <w:sz w:val="18"/>
                <w:szCs w:val="18"/>
                <w:lang w:val="fr-FR" w:bidi="ar-SA"/>
              </w:rPr>
            </w:pPr>
            <w:r>
              <w:rPr>
                <w:rFonts w:cs="Arial"/>
                <w:color w:val="000000"/>
                <w:sz w:val="18"/>
                <w:szCs w:val="18"/>
                <w:lang w:val="fr-FR" w:bidi="ar-SA"/>
              </w:rPr>
            </w:r>
          </w:p>
        </w:tc>
      </w:tr>
    </w:tbl>
    <w:p>
      <w:pPr>
        <w:pStyle w:val="Contenudecadre"/>
        <w:spacing w:before="0" w:after="0"/>
        <w:rPr>
          <w:rFonts w:cs="Arial"/>
          <w:b/>
          <w:sz w:val="18"/>
          <w:szCs w:val="18"/>
        </w:rPr>
      </w:pPr>
      <w:r>
        <w:rPr>
          <w:rFonts w:cs="Arial"/>
          <w:b/>
          <w:sz w:val="18"/>
          <w:szCs w:val="18"/>
        </w:rPr>
      </w:r>
    </w:p>
    <w:p>
      <w:pPr>
        <w:pStyle w:val="Standard"/>
        <w:jc w:val="both"/>
        <w:rPr>
          <w:rFonts w:cs="Arial"/>
          <w:sz w:val="18"/>
          <w:szCs w:val="18"/>
        </w:rPr>
      </w:pPr>
      <w:r>
        <w:rPr>
          <w:rFonts w:cs="Arial"/>
          <w:sz w:val="18"/>
          <w:szCs w:val="18"/>
        </w:rPr>
        <w:t xml:space="preserve">Pour vous inscrire, vous pouvez vous connecter à </w:t>
      </w:r>
      <w:hyperlink r:id="rId3">
        <w:r>
          <w:rPr>
            <w:rStyle w:val="Hyperlink"/>
            <w:rFonts w:cs="Arial"/>
            <w:sz w:val="18"/>
            <w:szCs w:val="18"/>
          </w:rPr>
          <w:t>SIFOR</w:t>
        </w:r>
      </w:hyperlink>
    </w:p>
    <w:p>
      <w:pPr>
        <w:pStyle w:val="Standard"/>
        <w:jc w:val="both"/>
        <w:rPr>
          <w:rFonts w:cs="Arial"/>
          <w:sz w:val="18"/>
          <w:szCs w:val="18"/>
        </w:rPr>
      </w:pPr>
      <w:r>
        <w:rPr>
          <w:rFonts w:cs="Arial"/>
          <w:sz w:val="18"/>
          <w:szCs w:val="18"/>
        </w:rPr>
      </w:r>
    </w:p>
    <w:p>
      <w:pPr>
        <w:pStyle w:val="Standard"/>
        <w:jc w:val="both"/>
        <w:rPr>
          <w:rFonts w:cs="Arial"/>
          <w:sz w:val="18"/>
          <w:szCs w:val="18"/>
        </w:rPr>
      </w:pPr>
      <w:r>
        <w:rPr>
          <w:rFonts w:cs="Arial"/>
          <w:sz w:val="18"/>
          <w:szCs w:val="18"/>
        </w:rPr>
        <w:t>Aucune inscription ne sera prise en considération après la date limite.</w:t>
      </w:r>
    </w:p>
    <w:p>
      <w:pPr>
        <w:pStyle w:val="Standard"/>
        <w:jc w:val="both"/>
        <w:rPr>
          <w:rFonts w:cs="Arial"/>
          <w:sz w:val="18"/>
          <w:szCs w:val="18"/>
        </w:rPr>
      </w:pPr>
      <w:r>
        <w:rPr>
          <w:rFonts w:cs="Arial"/>
          <w:sz w:val="18"/>
          <w:szCs w:val="18"/>
        </w:rPr>
      </w:r>
    </w:p>
    <w:p>
      <w:pPr>
        <w:pStyle w:val="Standard"/>
        <w:jc w:val="both"/>
        <w:rPr>
          <w:rFonts w:cs="Arial"/>
          <w:sz w:val="18"/>
          <w:szCs w:val="18"/>
        </w:rPr>
      </w:pPr>
      <w:r>
        <w:rPr>
          <w:rFonts w:cs="Arial"/>
          <w:sz w:val="18"/>
          <w:szCs w:val="18"/>
        </w:rPr>
        <w:t>Si vous avez besoin d'un aménagement particulier pour suivre la formation, n'hésitez pas à prendre contact avec votre responsable formation dès votre inscription.</w:t>
      </w:r>
    </w:p>
    <w:p>
      <w:pPr>
        <w:pStyle w:val="Standard"/>
        <w:jc w:val="both"/>
        <w:rPr>
          <w:rFonts w:cs="Arial"/>
          <w:sz w:val="18"/>
          <w:szCs w:val="18"/>
        </w:rPr>
      </w:pPr>
      <w:r>
        <w:rPr>
          <w:rFonts w:cs="Arial"/>
          <w:sz w:val="18"/>
          <w:szCs w:val="18"/>
        </w:rPr>
      </w:r>
    </w:p>
    <w:p>
      <w:pPr>
        <w:pStyle w:val="Standard"/>
        <w:jc w:val="both"/>
        <w:rPr/>
      </w:pPr>
      <w:hyperlink r:id="rId4">
        <w:r>
          <w:rPr>
            <w:rFonts w:cs="Arial"/>
            <w:sz w:val="18"/>
            <w:szCs w:val="18"/>
          </w:rPr>
        </w:r>
      </w:hyperlink>
    </w:p>
    <w:p>
      <w:pPr>
        <w:pStyle w:val="Contenudecadre"/>
        <w:spacing w:before="0" w:after="0"/>
        <w:rPr>
          <w:rFonts w:cs="Arial"/>
          <w:sz w:val="18"/>
          <w:szCs w:val="18"/>
        </w:rPr>
      </w:pPr>
      <w:r>
        <w:rPr>
          <w:rFonts w:cs="Arial"/>
          <w:sz w:val="18"/>
          <w:szCs w:val="18"/>
        </w:rPr>
      </w:r>
    </w:p>
    <w:p>
      <w:pPr>
        <w:pStyle w:val="Contenudecadre"/>
        <w:spacing w:before="0" w:after="0"/>
        <w:ind w:hanging="0" w:start="5664" w:end="0"/>
        <w:rPr>
          <w:rFonts w:cs="Arial"/>
          <w:sz w:val="18"/>
          <w:szCs w:val="18"/>
        </w:rPr>
      </w:pPr>
      <w:r>
        <w:rPr>
          <w:rFonts w:cs="Arial"/>
          <w:sz w:val="18"/>
          <w:szCs w:val="18"/>
        </w:rPr>
      </w:r>
    </w:p>
    <w:p>
      <w:pPr>
        <w:pStyle w:val="Contenudecadre"/>
        <w:spacing w:before="0" w:after="0"/>
        <w:ind w:hanging="0" w:start="5664" w:end="0"/>
        <w:rPr>
          <w:rFonts w:cs="Arial"/>
          <w:sz w:val="18"/>
          <w:szCs w:val="18"/>
        </w:rPr>
      </w:pPr>
      <w:r>
        <w:rPr>
          <w:rFonts w:cs="Arial"/>
          <w:sz w:val="18"/>
          <w:szCs w:val="18"/>
        </w:rPr>
      </w:r>
    </w:p>
    <w:p>
      <w:pPr>
        <w:pStyle w:val="Contenudecadre"/>
        <w:widowControl/>
        <w:spacing w:before="0" w:after="0"/>
        <w:ind w:hanging="0" w:start="708" w:end="0"/>
        <w:jc w:val="start"/>
        <w:rPr>
          <w:rFonts w:ascii="Arial" w:hAnsi="Arial" w:eastAsia="Times New Roman" w:cs="Arial"/>
          <w:color w:val="000000"/>
          <w:kern w:val="2"/>
          <w:sz w:val="18"/>
          <w:szCs w:val="18"/>
          <w:lang w:val="fr-FR" w:eastAsia="zh-CN" w:bidi="ar-SA"/>
        </w:rPr>
      </w:pPr>
      <w:r>
        <w:rPr>
          <w:rFonts w:eastAsia="Times New Roman" w:cs="Arial"/>
          <w:color w:val="000000"/>
          <w:kern w:val="2"/>
          <w:sz w:val="18"/>
          <w:szCs w:val="18"/>
          <w:lang w:val="fr-FR" w:eastAsia="zh-CN" w:bidi="ar-SA"/>
        </w:rPr>
        <w:tab/>
        <w:tab/>
        <w:tab/>
        <w:tab/>
        <w:tab/>
        <w:tab/>
        <w:tab/>
      </w:r>
      <w:r>
        <w:rPr>
          <w:rFonts w:eastAsia="Times New Roman" w:cs="Arial"/>
          <w:color w:val="000000"/>
          <w:kern w:val="2"/>
          <w:sz w:val="18"/>
          <w:szCs w:val="18"/>
          <w:lang w:val="fr-FR" w:eastAsia="zh-CN" w:bidi="ar-SA"/>
        </w:rPr>
        <w:t>La formation Insee / S</w:t>
      </w:r>
      <w:r>
        <w:rPr>
          <w:rFonts w:eastAsia="Times New Roman" w:cs="Arial"/>
          <w:color w:val="000000"/>
          <w:kern w:val="2"/>
          <w:sz w:val="18"/>
          <w:szCs w:val="18"/>
          <w:lang w:val="fr-FR" w:eastAsia="zh-CN" w:bidi="ar-SA"/>
        </w:rPr>
        <w:t>IF</w:t>
      </w:r>
      <w:r>
        <w:rPr>
          <w:rFonts w:eastAsia="Times New Roman" w:cs="Arial"/>
          <w:color w:val="000000"/>
          <w:kern w:val="2"/>
          <w:sz w:val="18"/>
          <w:szCs w:val="18"/>
          <w:lang w:val="fr-FR" w:eastAsia="zh-CN" w:bidi="ar-SA"/>
        </w:rPr>
        <w:t>or</w:t>
      </w:r>
    </w:p>
    <w:sectPr>
      <w:footerReference w:type="default" r:id="rId5"/>
      <w:type w:val="nextPage"/>
      <w:pgSz w:w="11906" w:h="16838"/>
      <w:pgMar w:left="720" w:right="720" w:gutter="0" w:header="0" w:top="720"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start="-1332" w:end="8675"/>
      <w:rPr>
        <w:sz w:val="12"/>
      </w:rPr>
    </w:pPr>
    <w:r>
      <w:rPr>
        <w:sz w:val="12"/>
      </w:rPr>
    </w:r>
  </w:p>
</w:ftr>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ucida Sans"/>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Lucida Sans"/>
      <w:color w:val="auto"/>
      <w:kern w:val="0"/>
      <w:sz w:val="22"/>
      <w:szCs w:val="22"/>
      <w:lang w:val="fr-FR" w:eastAsia="en-US" w:bidi="ar-SA"/>
    </w:rPr>
  </w:style>
  <w:style w:type="character" w:styleId="DefaultParagraphFont">
    <w:name w:val="Default Paragraph Font"/>
    <w:qFormat/>
    <w:rPr/>
  </w:style>
  <w:style w:type="character" w:styleId="Hyper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En-tteCar">
    <w:name w:val="En-tête Car"/>
    <w:basedOn w:val="DefaultParagraphFont"/>
    <w:qFormat/>
    <w:rPr/>
  </w:style>
  <w:style w:type="character" w:styleId="PieddepageCar">
    <w:name w:val="Pied de page Car"/>
    <w:basedOn w:val="DefaultParagraphFont"/>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qFormat/>
    <w:pPr>
      <w:widowControl/>
      <w:suppressAutoHyphens w:val="true"/>
      <w:kinsoku w:val="true"/>
      <w:overflowPunct w:val="true"/>
      <w:autoSpaceDE w:val="true"/>
      <w:bidi w:val="0"/>
      <w:spacing w:lineRule="auto" w:line="240" w:before="0" w:after="0"/>
      <w:jc w:val="start"/>
      <w:textAlignment w:val="baseline"/>
    </w:pPr>
    <w:rPr>
      <w:rFonts w:ascii="Arial" w:hAnsi="Arial" w:eastAsia="Times New Roman" w:cs="Times New Roman"/>
      <w:color w:val="auto"/>
      <w:kern w:val="2"/>
      <w:sz w:val="22"/>
      <w:szCs w:val="22"/>
      <w:lang w:eastAsia="zh-CN" w:val="fr-FR" w:bidi="ar-SA"/>
    </w:rPr>
  </w:style>
  <w:style w:type="paragraph" w:styleId="Contenudecadre">
    <w:name w:val="Contenu de cadre"/>
    <w:basedOn w:val="Normal"/>
    <w:qFormat/>
    <w:pPr>
      <w:suppressAutoHyphens w:val="true"/>
      <w:overflowPunct w:val="true"/>
      <w:spacing w:lineRule="auto" w:line="240" w:before="0" w:after="120"/>
      <w:textAlignment w:val="baseline"/>
    </w:pPr>
    <w:rPr>
      <w:rFonts w:ascii="Arial" w:hAnsi="Arial" w:eastAsia="Times New Roman" w:cs="Times New Roman"/>
      <w:kern w:val="2"/>
      <w:lang w:eastAsia="zh-CN"/>
    </w:rPr>
  </w:style>
  <w:style w:type="paragraph" w:styleId="En-tteetpieddepage">
    <w:name w:val="En-tête et pied de page"/>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fr-FR"/>
    </w:rPr>
  </w:style>
  <w:style w:type="paragraph" w:styleId="Contenudetableau">
    <w:name w:val="Contenu de tableau"/>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insee.inser.com/" TargetMode="External"/><Relationship Id="rId4" Type="http://schemas.openxmlformats.org/officeDocument/2006/relationships/hyperlink" Target="https://insee.inser.com/"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5907</TotalTime>
  <Application>LibreOffice/24.8.5.2$Windows_X86_64 LibreOffice_project/fddf2685c70b461e7832239a0162a77216259f22</Application>
  <AppVersion>15.0000</AppVersion>
  <Pages>1</Pages>
  <Words>266</Words>
  <Characters>1617</Characters>
  <CharactersWithSpaces>1864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2023-09-12T15:23:00Z</dcterms:created>
  <dc:creator>Christophe Pereira</dc:creator>
  <dc:description/>
  <dc:language>fr-FR</dc:language>
  <cp:lastModifiedBy>Anne-Claire Dufour</cp:lastModifiedBy>
  <dcterms:modified xsi:type="dcterms:W3CDTF">2025-10-09T10:08:31Z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