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BF9BD" w14:textId="04E1ADF9" w:rsidR="00E86126" w:rsidRDefault="00E86126" w:rsidP="00B27E51">
      <w:r>
        <w:rPr>
          <w:noProof/>
        </w:rPr>
        <w:drawing>
          <wp:inline distT="0" distB="0" distL="0" distR="0" wp14:anchorId="60DBD477" wp14:editId="637579D6">
            <wp:extent cx="6285230" cy="2374265"/>
            <wp:effectExtent l="0" t="0" r="1270" b="6985"/>
            <wp:docPr id="1514307189" name="Image 1" descr="Une image contenant texte, capture d’écran, Site web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07189" name="Image 1" descr="Une image contenant texte, capture d’écran, Site web, Page web&#10;&#10;Le contenu généré par l’IA peut êtr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23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42BEF" w14:textId="21708797" w:rsidR="0044309C" w:rsidRPr="008B2B6B" w:rsidRDefault="0044309C" w:rsidP="0044309C">
      <w:pPr>
        <w:pStyle w:val="ipctitre0"/>
      </w:pPr>
      <w:r>
        <w:t>Ville de tanger en Septembre 2025</w:t>
      </w:r>
    </w:p>
    <w:p w14:paraId="7314554D" w14:textId="40B6160D" w:rsidR="00FC5568" w:rsidRDefault="00FC5568" w:rsidP="00937718">
      <w:pPr>
        <w:pStyle w:val="enteteville"/>
        <w:tabs>
          <w:tab w:val="right" w:pos="9360"/>
        </w:tabs>
      </w:pPr>
      <w:r>
        <w:t>I</w:t>
      </w:r>
      <w:r w:rsidRPr="00BF37C8">
        <w:t xml:space="preserve">ndice des prix à la consommation- </w:t>
      </w:r>
      <w:r>
        <w:t>Août 2025</w:t>
      </w:r>
      <w:r w:rsidR="00695913">
        <w:tab/>
      </w:r>
      <w:r w:rsidR="00695913">
        <w:tab/>
        <w:t>VILLE DE TANGER</w:t>
      </w:r>
    </w:p>
    <w:p w14:paraId="0E3DC752" w14:textId="77777777" w:rsidR="00FC5568" w:rsidRDefault="00FC5568" w:rsidP="00ED26F4">
      <w:pPr>
        <w:pStyle w:val="Texte"/>
      </w:pPr>
    </w:p>
    <w:p w14:paraId="231870AD" w14:textId="7D42FF01" w:rsidR="001F302A" w:rsidRPr="008B232C" w:rsidRDefault="001F302A" w:rsidP="00ED26F4">
      <w:pPr>
        <w:pStyle w:val="Texte"/>
      </w:pPr>
      <w:r>
        <w:t xml:space="preserve">En </w:t>
      </w:r>
      <w:proofErr w:type="gramStart"/>
      <w:r>
        <w:t>Août</w:t>
      </w:r>
      <w:proofErr w:type="gramEnd"/>
      <w:r>
        <w:t xml:space="preserve"> </w:t>
      </w:r>
      <w:r w:rsidRPr="00477400">
        <w:t>202</w:t>
      </w:r>
      <w:r>
        <w:t>5</w:t>
      </w:r>
      <w:r w:rsidRPr="00477400">
        <w:t>,</w:t>
      </w:r>
      <w:r>
        <w:t xml:space="preserve"> </w:t>
      </w:r>
      <w:r w:rsidRPr="004A09D7">
        <w:t xml:space="preserve">l'indice des prix à la consommation au niveau national </w:t>
      </w:r>
      <w:r>
        <w:t xml:space="preserve">a augmenté </w:t>
      </w:r>
      <w:r w:rsidRPr="00FF225A">
        <w:t>de</w:t>
      </w:r>
      <w:r>
        <w:t xml:space="preserve"> 0,</w:t>
      </w:r>
      <w:r>
        <w:rPr>
          <w:lang w:bidi="ar-MA"/>
        </w:rPr>
        <w:t>5</w:t>
      </w:r>
      <w:r w:rsidRPr="00E3254C">
        <w:t>%</w:t>
      </w:r>
      <w:r>
        <w:t xml:space="preserve"> </w:t>
      </w:r>
      <w:r w:rsidRPr="00E630D1">
        <w:rPr>
          <w:rFonts w:hint="cs"/>
        </w:rPr>
        <w:t>par</w:t>
      </w:r>
      <w:r>
        <w:t xml:space="preserve"> </w:t>
      </w:r>
      <w:r w:rsidRPr="004A09D7">
        <w:t>ra</w:t>
      </w:r>
      <w:r>
        <w:t>pport au mois précédent et a accru de 0</w:t>
      </w:r>
      <w:r w:rsidRPr="000C41D4">
        <w:rPr>
          <w:bCs/>
        </w:rPr>
        <w:t>,</w:t>
      </w:r>
      <w:r>
        <w:t>3% sur une année entière</w:t>
      </w:r>
      <w:r w:rsidRPr="00270173">
        <w:t>.</w:t>
      </w:r>
    </w:p>
    <w:p w14:paraId="56CDDCC0" w14:textId="77777777" w:rsidR="001F302A" w:rsidRDefault="001F302A">
      <w:pPr>
        <w:sectPr w:rsidR="001F302A" w:rsidSect="00F75DF1">
          <w:pgSz w:w="11906" w:h="16838"/>
          <w:pgMar w:top="1004" w:right="1004" w:bottom="1004" w:left="1004" w:header="708" w:footer="708" w:gutter="0"/>
          <w:cols w:space="708"/>
          <w:docGrid w:linePitch="360"/>
        </w:sectPr>
      </w:pPr>
    </w:p>
    <w:p w14:paraId="04F409D0" w14:textId="298A9468" w:rsidR="001F302A" w:rsidRPr="003355EF" w:rsidRDefault="00000000" w:rsidP="003355EF">
      <w:pPr>
        <w:pStyle w:val="Texte"/>
      </w:pPr>
      <w:r>
        <w:rPr>
          <w:rFonts w:eastAsia="HYGothic-Medium"/>
          <w:bCs/>
          <w:noProof/>
          <w:color w:val="8D4355"/>
          <w:sz w:val="24"/>
        </w:rPr>
        <w:pict w14:anchorId="1F5B6648">
          <v:rect id="_x0000_i1025" alt="" style="width:221.1pt;height:1.75pt;mso-width-percent:0;mso-height-percent:0;mso-width-percent:0;mso-height-percent:0" o:hrpct="978" o:hrstd="t" o:hrnoshade="t" o:hr="t" fillcolor="#cb400b" stroked="f"/>
        </w:pict>
      </w:r>
    </w:p>
    <w:p w14:paraId="22A26F1C" w14:textId="77777777" w:rsidR="003355EF" w:rsidRPr="008B2B6B" w:rsidRDefault="003355EF" w:rsidP="003355EF">
      <w:pPr>
        <w:pStyle w:val="Texte"/>
      </w:pPr>
      <w:r w:rsidRPr="008B2B6B">
        <w:t>L’indice des prix à la consommation a connu, au cours du mois d’août 2025, une hausse de 0,5% par rapport au mois précédent. Cette variation est le résultat de la hausse de 1,1% de l’indice des produits alimentaires et de 0,1% de l’indice des produits non alimentaires.</w:t>
      </w:r>
    </w:p>
    <w:p w14:paraId="15BBC486" w14:textId="77777777" w:rsidR="003355EF" w:rsidRDefault="003355EF" w:rsidP="003355EF">
      <w:pPr>
        <w:pStyle w:val="Texte"/>
      </w:pPr>
      <w:r w:rsidRPr="008B2B6B">
        <w:t>Les hausses des produits alimentaires observées entre juillet et août 2025 concernent principalement les</w:t>
      </w:r>
      <w:proofErr w:type="gramStart"/>
      <w:r w:rsidRPr="008B2B6B">
        <w:t xml:space="preserve"> «Légumes</w:t>
      </w:r>
      <w:proofErr w:type="gramEnd"/>
      <w:r w:rsidRPr="008B2B6B">
        <w:t>» avec 3,4%, les</w:t>
      </w:r>
      <w:proofErr w:type="gramStart"/>
      <w:r w:rsidRPr="008B2B6B">
        <w:t xml:space="preserve"> «Fruits</w:t>
      </w:r>
      <w:proofErr w:type="gramEnd"/>
      <w:r w:rsidRPr="008B2B6B">
        <w:t>» avec 2,8%, les</w:t>
      </w:r>
      <w:proofErr w:type="gramStart"/>
      <w:r w:rsidRPr="008B2B6B">
        <w:t xml:space="preserve"> «Poissons</w:t>
      </w:r>
      <w:proofErr w:type="gramEnd"/>
      <w:r w:rsidRPr="008B2B6B">
        <w:t xml:space="preserve"> et fruits de </w:t>
      </w:r>
      <w:proofErr w:type="gramStart"/>
      <w:r w:rsidRPr="008B2B6B">
        <w:t>mer»</w:t>
      </w:r>
      <w:proofErr w:type="gramEnd"/>
      <w:r w:rsidRPr="008B2B6B">
        <w:t xml:space="preserve"> avec 2,0%, les</w:t>
      </w:r>
      <w:proofErr w:type="gramStart"/>
      <w:r w:rsidRPr="008B2B6B">
        <w:t xml:space="preserve"> «Viandes</w:t>
      </w:r>
      <w:proofErr w:type="gramEnd"/>
      <w:r w:rsidRPr="008B2B6B">
        <w:t>» avec 1,9%, le</w:t>
      </w:r>
      <w:proofErr w:type="gramStart"/>
      <w:r w:rsidRPr="008B2B6B">
        <w:t xml:space="preserve"> «Café</w:t>
      </w:r>
      <w:proofErr w:type="gramEnd"/>
      <w:r w:rsidRPr="008B2B6B">
        <w:t xml:space="preserve">, thé et </w:t>
      </w:r>
      <w:proofErr w:type="gramStart"/>
      <w:r w:rsidRPr="008B2B6B">
        <w:t>cacao»</w:t>
      </w:r>
      <w:proofErr w:type="gramEnd"/>
      <w:r w:rsidRPr="008B2B6B">
        <w:t xml:space="preserve"> avec 0,5% et le</w:t>
      </w:r>
      <w:proofErr w:type="gramStart"/>
      <w:r w:rsidRPr="008B2B6B">
        <w:t xml:space="preserve"> «Lait</w:t>
      </w:r>
      <w:proofErr w:type="gramEnd"/>
      <w:r w:rsidRPr="008B2B6B">
        <w:t xml:space="preserve">, fromage et </w:t>
      </w:r>
      <w:proofErr w:type="gramStart"/>
      <w:r w:rsidRPr="008B2B6B">
        <w:t>œufs»</w:t>
      </w:r>
      <w:proofErr w:type="gramEnd"/>
      <w:r w:rsidRPr="008B2B6B">
        <w:t xml:space="preserve"> avec 0,4%. En revanche, les prix ont diminué de 0,6% pour les</w:t>
      </w:r>
      <w:proofErr w:type="gramStart"/>
      <w:r w:rsidRPr="008B2B6B">
        <w:t xml:space="preserve"> «Huiles</w:t>
      </w:r>
      <w:proofErr w:type="gramEnd"/>
      <w:r w:rsidRPr="008B2B6B">
        <w:t xml:space="preserve"> et </w:t>
      </w:r>
      <w:proofErr w:type="gramStart"/>
      <w:r w:rsidRPr="008B2B6B">
        <w:t>graisses»</w:t>
      </w:r>
      <w:proofErr w:type="gramEnd"/>
      <w:r w:rsidRPr="008B2B6B">
        <w:t xml:space="preserve"> et de 0,4% pour les</w:t>
      </w:r>
      <w:proofErr w:type="gramStart"/>
      <w:r w:rsidRPr="008B2B6B">
        <w:t xml:space="preserve"> «Eaux</w:t>
      </w:r>
      <w:proofErr w:type="gramEnd"/>
      <w:r w:rsidRPr="008B2B6B">
        <w:t xml:space="preserve"> minérales, boissons rafraichissantes, jus de fruits et de </w:t>
      </w:r>
      <w:proofErr w:type="gramStart"/>
      <w:r w:rsidRPr="008B2B6B">
        <w:t>légumes»</w:t>
      </w:r>
      <w:proofErr w:type="gramEnd"/>
      <w:r w:rsidRPr="008B2B6B">
        <w:t>. Pour les produits non alimentaires, la hausse a concerné principalement les prix des</w:t>
      </w:r>
      <w:proofErr w:type="gramStart"/>
      <w:r w:rsidRPr="008B2B6B">
        <w:t xml:space="preserve"> «Carburants</w:t>
      </w:r>
      <w:proofErr w:type="gramEnd"/>
      <w:r w:rsidRPr="008B2B6B">
        <w:t>» avec 0,4%.</w:t>
      </w:r>
    </w:p>
    <w:p w14:paraId="378051A6" w14:textId="77777777" w:rsidR="007F4C6C" w:rsidRDefault="007F4C6C" w:rsidP="003355EF">
      <w:pPr>
        <w:pStyle w:val="Texte"/>
      </w:pPr>
    </w:p>
    <w:p w14:paraId="5C73D3C4" w14:textId="77777777" w:rsidR="007F4C6C" w:rsidRPr="006571F4" w:rsidRDefault="007F4C6C" w:rsidP="007F4C6C">
      <w:pPr>
        <w:pStyle w:val="titreillustration"/>
        <w:rPr>
          <w:noProof/>
          <w:lang w:eastAsia="fr-FR"/>
        </w:rPr>
      </w:pPr>
      <w:r w:rsidRPr="006571F4">
        <w:t xml:space="preserve">1-Évolution </w:t>
      </w:r>
      <w:r>
        <w:t>du taux de la variation annuelle</w:t>
      </w:r>
      <w:r w:rsidRPr="006571F4">
        <w:t xml:space="preserve"> (%) de l’indice des prix à la consommation pour le mois d</w:t>
      </w:r>
      <w:r>
        <w:t>’Août</w:t>
      </w:r>
    </w:p>
    <w:p w14:paraId="05EC7C93" w14:textId="77777777" w:rsidR="007F4C6C" w:rsidRPr="008B2B6B" w:rsidRDefault="007F4C6C" w:rsidP="003355EF">
      <w:pPr>
        <w:pStyle w:val="Texte"/>
      </w:pPr>
    </w:p>
    <w:p w14:paraId="6B13D9A6" w14:textId="77777777" w:rsidR="00813002" w:rsidRPr="002F5D9C" w:rsidRDefault="00813002" w:rsidP="00813002">
      <w:pPr>
        <w:pStyle w:val="Notelecture"/>
      </w:pPr>
      <w:r w:rsidRPr="002F5D9C">
        <w:t>Lecture : En</w:t>
      </w:r>
      <w:r>
        <w:t xml:space="preserve"> </w:t>
      </w:r>
      <w:proofErr w:type="gramStart"/>
      <w:r>
        <w:t>Août</w:t>
      </w:r>
      <w:proofErr w:type="gramEnd"/>
      <w:r>
        <w:t xml:space="preserve"> </w:t>
      </w:r>
      <w:r w:rsidRPr="002F5D9C">
        <w:t>2025, l'in</w:t>
      </w:r>
      <w:r>
        <w:t xml:space="preserve">dice des prix à la consommation </w:t>
      </w:r>
      <w:r w:rsidRPr="002F5D9C">
        <w:t xml:space="preserve">a </w:t>
      </w:r>
      <w:r>
        <w:t>décru</w:t>
      </w:r>
      <w:r w:rsidRPr="002F5D9C">
        <w:t xml:space="preserve"> de </w:t>
      </w:r>
      <w:r>
        <w:t>0</w:t>
      </w:r>
      <w:r w:rsidRPr="002F5D9C">
        <w:t>,</w:t>
      </w:r>
      <w:r>
        <w:t>5</w:t>
      </w:r>
      <w:r w:rsidRPr="002F5D9C">
        <w:t>%</w:t>
      </w:r>
      <w:r>
        <w:t xml:space="preserve"> </w:t>
      </w:r>
      <w:r w:rsidRPr="002F5D9C">
        <w:t xml:space="preserve">par rapport à </w:t>
      </w:r>
      <w:proofErr w:type="gramStart"/>
      <w:r>
        <w:t>Août</w:t>
      </w:r>
      <w:proofErr w:type="gramEnd"/>
      <w:r>
        <w:t xml:space="preserve"> </w:t>
      </w:r>
      <w:r w:rsidRPr="002F5D9C">
        <w:t>2024</w:t>
      </w:r>
    </w:p>
    <w:p w14:paraId="6C0E6B1E" w14:textId="77777777" w:rsidR="00813002" w:rsidRDefault="00813002"/>
    <w:p w14:paraId="5812FA29" w14:textId="77777777" w:rsidR="00813002" w:rsidRDefault="00813002"/>
    <w:p w14:paraId="158CBEE6" w14:textId="720F9F72" w:rsidR="0044309C" w:rsidRDefault="00FC03AE" w:rsidP="00FC03AE">
      <w:pPr>
        <w:pStyle w:val="ligneseparation"/>
      </w:pPr>
      <w:r>
        <w:t xml:space="preserve">Ligne </w:t>
      </w:r>
      <w:proofErr w:type="spellStart"/>
      <w:r>
        <w:t>separation</w:t>
      </w:r>
      <w:proofErr w:type="spellEnd"/>
    </w:p>
    <w:sectPr w:rsidR="0044309C" w:rsidSect="00992E9A">
      <w:type w:val="continuous"/>
      <w:pgSz w:w="11906" w:h="16838" w:code="9"/>
      <w:pgMar w:top="289" w:right="936" w:bottom="289" w:left="936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YGothic-Medium">
    <w:altName w:val="Malgun Gothic"/>
    <w:panose1 w:val="00000000000000000000"/>
    <w:charset w:val="81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DF1"/>
    <w:rsid w:val="00063F05"/>
    <w:rsid w:val="00085458"/>
    <w:rsid w:val="001F302A"/>
    <w:rsid w:val="002D69AE"/>
    <w:rsid w:val="003355EF"/>
    <w:rsid w:val="0044309C"/>
    <w:rsid w:val="00443B3B"/>
    <w:rsid w:val="00480326"/>
    <w:rsid w:val="004E4C1F"/>
    <w:rsid w:val="00582440"/>
    <w:rsid w:val="005C4691"/>
    <w:rsid w:val="0065481A"/>
    <w:rsid w:val="00695913"/>
    <w:rsid w:val="007A6788"/>
    <w:rsid w:val="007F4C6C"/>
    <w:rsid w:val="00813002"/>
    <w:rsid w:val="008A0BD5"/>
    <w:rsid w:val="00937718"/>
    <w:rsid w:val="00992E9A"/>
    <w:rsid w:val="009E5625"/>
    <w:rsid w:val="009F0C72"/>
    <w:rsid w:val="00B2016D"/>
    <w:rsid w:val="00B27E51"/>
    <w:rsid w:val="00BE23B7"/>
    <w:rsid w:val="00D3727B"/>
    <w:rsid w:val="00E86126"/>
    <w:rsid w:val="00ED26F4"/>
    <w:rsid w:val="00F75DF1"/>
    <w:rsid w:val="00FA6688"/>
    <w:rsid w:val="00FC03AE"/>
    <w:rsid w:val="00FC5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09F2F"/>
  <w15:chartTrackingRefBased/>
  <w15:docId w15:val="{BADCBCED-6864-4EBC-9DBC-5D5FB7285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75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75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75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75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75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75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75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75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75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75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75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75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75DF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75DF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75DF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75DF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75DF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75DF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75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75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75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75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75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75DF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75DF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75DF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75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75DF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75DF1"/>
    <w:rPr>
      <w:b/>
      <w:bCs/>
      <w:smallCaps/>
      <w:color w:val="0F4761" w:themeColor="accent1" w:themeShade="BF"/>
      <w:spacing w:val="5"/>
    </w:rPr>
  </w:style>
  <w:style w:type="paragraph" w:customStyle="1" w:styleId="ipctitre0">
    <w:name w:val="ipc_titre0"/>
    <w:basedOn w:val="Normal"/>
    <w:link w:val="ipctitre0Car"/>
    <w:qFormat/>
    <w:rsid w:val="0044309C"/>
    <w:pPr>
      <w:tabs>
        <w:tab w:val="left" w:pos="8573"/>
      </w:tabs>
      <w:spacing w:after="200" w:line="252" w:lineRule="auto"/>
    </w:pPr>
    <w:rPr>
      <w:rFonts w:ascii="Times New Roman" w:eastAsia="Malgun Gothic" w:hAnsi="Times New Roman" w:cs="Times New Roman"/>
      <w:b/>
      <w:caps/>
      <w:color w:val="CB400B"/>
      <w:kern w:val="0"/>
      <w:sz w:val="32"/>
      <w:szCs w:val="22"/>
      <w:lang w:eastAsia="ko-KR"/>
      <w14:ligatures w14:val="none"/>
    </w:rPr>
  </w:style>
  <w:style w:type="character" w:customStyle="1" w:styleId="ipctitre0Car">
    <w:name w:val="ipc_titre0 Car"/>
    <w:basedOn w:val="Policepardfaut"/>
    <w:link w:val="ipctitre0"/>
    <w:rsid w:val="0044309C"/>
    <w:rPr>
      <w:rFonts w:ascii="Times New Roman" w:eastAsia="Malgun Gothic" w:hAnsi="Times New Roman" w:cs="Times New Roman"/>
      <w:b/>
      <w:caps/>
      <w:color w:val="CB400B"/>
      <w:kern w:val="0"/>
      <w:sz w:val="32"/>
      <w:szCs w:val="22"/>
      <w:lang w:eastAsia="ko-KR"/>
      <w14:ligatures w14:val="none"/>
    </w:rPr>
  </w:style>
  <w:style w:type="paragraph" w:customStyle="1" w:styleId="Chapo">
    <w:name w:val="Chapo"/>
    <w:basedOn w:val="Normal"/>
    <w:link w:val="ChapoCar"/>
    <w:qFormat/>
    <w:rsid w:val="002D69AE"/>
    <w:pPr>
      <w:spacing w:after="120" w:line="120" w:lineRule="atLeast"/>
      <w:contextualSpacing/>
      <w:jc w:val="both"/>
    </w:pPr>
    <w:rPr>
      <w:rFonts w:ascii="Times New Roman" w:eastAsia="HYGothic-Medium" w:hAnsi="Times New Roman" w:cs="Times New Roman"/>
      <w:b/>
      <w:color w:val="8D4355"/>
      <w:kern w:val="0"/>
      <w:szCs w:val="22"/>
      <w:lang w:bidi="fr-FR"/>
      <w14:ligatures w14:val="none"/>
    </w:rPr>
  </w:style>
  <w:style w:type="character" w:customStyle="1" w:styleId="ChapoCar">
    <w:name w:val="Chapo Car"/>
    <w:basedOn w:val="Policepardfaut"/>
    <w:link w:val="Chapo"/>
    <w:rsid w:val="002D69AE"/>
    <w:rPr>
      <w:rFonts w:ascii="Times New Roman" w:eastAsia="HYGothic-Medium" w:hAnsi="Times New Roman" w:cs="Times New Roman"/>
      <w:b/>
      <w:color w:val="8D4355"/>
      <w:kern w:val="0"/>
      <w:szCs w:val="22"/>
      <w:lang w:bidi="fr-FR"/>
      <w14:ligatures w14:val="none"/>
    </w:rPr>
  </w:style>
  <w:style w:type="paragraph" w:customStyle="1" w:styleId="Texte">
    <w:name w:val="Texte"/>
    <w:basedOn w:val="Normal"/>
    <w:link w:val="TexteCar"/>
    <w:qFormat/>
    <w:rsid w:val="003355EF"/>
    <w:pPr>
      <w:tabs>
        <w:tab w:val="left" w:pos="-720"/>
        <w:tab w:val="left" w:pos="709"/>
        <w:tab w:val="left" w:pos="9000"/>
      </w:tabs>
      <w:spacing w:after="0" w:line="240" w:lineRule="auto"/>
      <w:ind w:right="74"/>
      <w:contextualSpacing/>
      <w:jc w:val="both"/>
    </w:pPr>
    <w:rPr>
      <w:rFonts w:ascii="Times New Roman" w:hAnsi="Times New Roman"/>
      <w:sz w:val="22"/>
      <w:szCs w:val="21"/>
    </w:rPr>
  </w:style>
  <w:style w:type="character" w:customStyle="1" w:styleId="TexteCar">
    <w:name w:val="Texte Car"/>
    <w:basedOn w:val="Policepardfaut"/>
    <w:link w:val="Texte"/>
    <w:rsid w:val="003355EF"/>
    <w:rPr>
      <w:rFonts w:ascii="Times New Roman" w:hAnsi="Times New Roman"/>
      <w:sz w:val="22"/>
      <w:szCs w:val="21"/>
    </w:rPr>
  </w:style>
  <w:style w:type="paragraph" w:customStyle="1" w:styleId="ligne">
    <w:name w:val="ligne"/>
    <w:basedOn w:val="Texte"/>
    <w:link w:val="ligneCar"/>
    <w:rsid w:val="003355EF"/>
    <w:rPr>
      <w:b/>
      <w:color w:val="CB400B"/>
      <w:sz w:val="48"/>
    </w:rPr>
  </w:style>
  <w:style w:type="character" w:customStyle="1" w:styleId="ligneCar">
    <w:name w:val="ligne Car"/>
    <w:basedOn w:val="TexteCar"/>
    <w:link w:val="ligne"/>
    <w:rsid w:val="003355EF"/>
    <w:rPr>
      <w:rFonts w:ascii="Times New Roman" w:hAnsi="Times New Roman"/>
      <w:b/>
      <w:color w:val="CB400B"/>
      <w:sz w:val="48"/>
      <w:szCs w:val="21"/>
    </w:rPr>
  </w:style>
  <w:style w:type="paragraph" w:customStyle="1" w:styleId="ligneseparation">
    <w:name w:val="ligne_separation"/>
    <w:basedOn w:val="Normal"/>
    <w:link w:val="ligneseparationCar"/>
    <w:qFormat/>
    <w:rsid w:val="004E4C1F"/>
    <w:pPr>
      <w:pBdr>
        <w:top w:val="single" w:sz="18" w:space="1" w:color="CB400B"/>
      </w:pBdr>
      <w:spacing w:before="120" w:after="0" w:line="240" w:lineRule="auto"/>
      <w:jc w:val="both"/>
    </w:pPr>
    <w:rPr>
      <w:rFonts w:ascii="Times New Roman" w:hAnsi="Times New Roman"/>
      <w:sz w:val="22"/>
    </w:rPr>
  </w:style>
  <w:style w:type="character" w:customStyle="1" w:styleId="ligneseparationCar">
    <w:name w:val="ligne_separation Car"/>
    <w:basedOn w:val="Policepardfaut"/>
    <w:link w:val="ligneseparation"/>
    <w:rsid w:val="004E4C1F"/>
    <w:rPr>
      <w:rFonts w:ascii="Times New Roman" w:hAnsi="Times New Roman"/>
      <w:sz w:val="22"/>
    </w:rPr>
  </w:style>
  <w:style w:type="paragraph" w:styleId="En-tte">
    <w:name w:val="header"/>
    <w:basedOn w:val="Normal"/>
    <w:link w:val="En-tteCar"/>
    <w:uiPriority w:val="99"/>
    <w:unhideWhenUsed/>
    <w:rsid w:val="00FC5568"/>
    <w:pPr>
      <w:tabs>
        <w:tab w:val="center" w:pos="4680"/>
        <w:tab w:val="right" w:pos="9360"/>
      </w:tabs>
      <w:spacing w:after="0" w:line="240" w:lineRule="auto"/>
    </w:pPr>
    <w:rPr>
      <w:rFonts w:ascii="Century Gothic" w:eastAsia="Malgun Gothic" w:hAnsi="Century Gothic" w:cs="Times New Roman"/>
      <w:kern w:val="0"/>
      <w:sz w:val="21"/>
      <w:szCs w:val="22"/>
      <w:lang w:eastAsia="ko-KR"/>
      <w14:ligatures w14:val="none"/>
    </w:rPr>
  </w:style>
  <w:style w:type="character" w:customStyle="1" w:styleId="En-tteCar">
    <w:name w:val="En-tête Car"/>
    <w:basedOn w:val="Policepardfaut"/>
    <w:link w:val="En-tte"/>
    <w:uiPriority w:val="99"/>
    <w:rsid w:val="00FC5568"/>
    <w:rPr>
      <w:rFonts w:ascii="Century Gothic" w:eastAsia="Malgun Gothic" w:hAnsi="Century Gothic" w:cs="Times New Roman"/>
      <w:kern w:val="0"/>
      <w:sz w:val="21"/>
      <w:szCs w:val="22"/>
      <w:lang w:eastAsia="ko-KR"/>
      <w14:ligatures w14:val="none"/>
    </w:rPr>
  </w:style>
  <w:style w:type="paragraph" w:customStyle="1" w:styleId="enteteville">
    <w:name w:val="entete_ville"/>
    <w:basedOn w:val="En-tte"/>
    <w:link w:val="entetevilleCar"/>
    <w:qFormat/>
    <w:rsid w:val="00695913"/>
    <w:pPr>
      <w:pBdr>
        <w:bottom w:val="single" w:sz="12" w:space="1" w:color="CB400B"/>
      </w:pBdr>
      <w:tabs>
        <w:tab w:val="left" w:pos="9360"/>
      </w:tabs>
      <w:spacing w:after="120"/>
    </w:pPr>
    <w:rPr>
      <w:b/>
      <w:bCs/>
      <w:color w:val="8D4355"/>
      <w:sz w:val="20"/>
      <w:szCs w:val="20"/>
    </w:rPr>
  </w:style>
  <w:style w:type="character" w:customStyle="1" w:styleId="entetevilleCar">
    <w:name w:val="entete_ville Car"/>
    <w:basedOn w:val="En-tteCar"/>
    <w:link w:val="enteteville"/>
    <w:rsid w:val="00695913"/>
    <w:rPr>
      <w:rFonts w:ascii="Century Gothic" w:eastAsia="Malgun Gothic" w:hAnsi="Century Gothic" w:cs="Times New Roman"/>
      <w:b/>
      <w:bCs/>
      <w:color w:val="8D4355"/>
      <w:kern w:val="0"/>
      <w:sz w:val="20"/>
      <w:szCs w:val="20"/>
      <w:lang w:eastAsia="ko-KR"/>
      <w14:ligatures w14:val="none"/>
    </w:rPr>
  </w:style>
  <w:style w:type="paragraph" w:customStyle="1" w:styleId="titreillustration">
    <w:name w:val="titre_illustration"/>
    <w:basedOn w:val="Normal"/>
    <w:link w:val="titreillustrationCar"/>
    <w:qFormat/>
    <w:rsid w:val="0065481A"/>
    <w:pPr>
      <w:tabs>
        <w:tab w:val="left" w:pos="-720"/>
        <w:tab w:val="left" w:pos="709"/>
        <w:tab w:val="left" w:pos="9000"/>
      </w:tabs>
      <w:spacing w:before="120" w:after="0" w:line="240" w:lineRule="auto"/>
      <w:ind w:right="74"/>
      <w:jc w:val="center"/>
    </w:pPr>
    <w:rPr>
      <w:rFonts w:ascii="Times New Roman" w:hAnsi="Times New Roman"/>
      <w:b/>
      <w:bCs/>
      <w:color w:val="C0504D"/>
      <w:sz w:val="18"/>
      <w:szCs w:val="18"/>
    </w:rPr>
  </w:style>
  <w:style w:type="character" w:customStyle="1" w:styleId="titreillustrationCar">
    <w:name w:val="titre_illustration Car"/>
    <w:basedOn w:val="Policepardfaut"/>
    <w:link w:val="titreillustration"/>
    <w:rsid w:val="0065481A"/>
    <w:rPr>
      <w:rFonts w:ascii="Times New Roman" w:hAnsi="Times New Roman"/>
      <w:b/>
      <w:bCs/>
      <w:color w:val="C0504D"/>
      <w:sz w:val="18"/>
      <w:szCs w:val="18"/>
    </w:rPr>
  </w:style>
  <w:style w:type="paragraph" w:customStyle="1" w:styleId="Notelecture">
    <w:name w:val="Note_lecture"/>
    <w:basedOn w:val="Normal"/>
    <w:link w:val="NotelectureCar"/>
    <w:qFormat/>
    <w:rsid w:val="00BE23B7"/>
    <w:pPr>
      <w:tabs>
        <w:tab w:val="left" w:pos="-720"/>
        <w:tab w:val="left" w:pos="709"/>
        <w:tab w:val="left" w:pos="9000"/>
      </w:tabs>
      <w:spacing w:before="60" w:after="0" w:line="240" w:lineRule="auto"/>
      <w:ind w:right="74"/>
      <w:jc w:val="both"/>
    </w:pPr>
    <w:rPr>
      <w:rFonts w:ascii="Times New Roman" w:hAnsi="Times New Roman"/>
      <w:b/>
      <w:bCs/>
      <w:sz w:val="16"/>
      <w:szCs w:val="16"/>
    </w:rPr>
  </w:style>
  <w:style w:type="character" w:customStyle="1" w:styleId="NotelectureCar">
    <w:name w:val="Note_lecture Car"/>
    <w:basedOn w:val="Policepardfaut"/>
    <w:link w:val="Notelecture"/>
    <w:rsid w:val="00BE23B7"/>
    <w:rPr>
      <w:rFonts w:ascii="Times New Roman" w:hAnsi="Times New Roman"/>
      <w:b/>
      <w:bCs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204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MERCIER</dc:creator>
  <cp:keywords/>
  <dc:description/>
  <cp:lastModifiedBy>Pascal MERCIER</cp:lastModifiedBy>
  <cp:revision>24</cp:revision>
  <dcterms:created xsi:type="dcterms:W3CDTF">2026-02-18T19:16:00Z</dcterms:created>
  <dcterms:modified xsi:type="dcterms:W3CDTF">2026-02-19T14:44:00Z</dcterms:modified>
</cp:coreProperties>
</file>