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مدينة تطوان</w:t>
      </w:r>
    </w:p>
    <w:p>
      <w:pPr>
        <w:pStyle w:val="ipcpara0"/>
      </w:pPr>
      <w:r>
        <w:t xml:space="preserve">في شهر نونبر 2025 انخفضت أسعار الاستهلاك على المستوى الوطني بنسبة (-0.3% ) خلال شهر واحد في حين ارتفعت أسعار الاستهلاك بما يقارب (0.6%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-1% في شهر نونبر 2025 مقارنة بشهر اكتوبر .2025 ويعزى ذلك الى انخفاض أثمان .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-12.3 %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-0.7 %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-0.6 %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-0.2 %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-0.1 % ‏</w:t>
      </w:r>
    </w:p>
    <w:p>
      <w:pPr>
        <w:pStyle w:val="ipccorps"/>
      </w:pPr>
      <w:r>
        <w:t xml:space="preserve">في حين، ارتفع التغير الشهري للرقم الاستدلالي للمواد غير الغذائية ب (0.1% ) جراء زيادة أثمان الأقسام التالية: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0.7 % ‏،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ب 0.5 %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0.1 %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-0.5%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-8.5 %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-6.8 %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-5.2 %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-1.4 %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-1.2 %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-0.2 %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8.2 %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6.2 %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5.5 %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3.9 %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3.6 %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1.4 %،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-1.6 %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10.5 % ‏</w:t>
      </w:r>
    </w:p>
    <w:p>
      <w:pPr>
        <w:pStyle w:val="ipctitre0"/>
      </w:pPr>
      <w:r>
        <w:t xml:space="preserve">5-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ارتفع الرقم الاستدلالي للأثمان عند الاستهلاك</w:t>
      </w:r>
      <w:r>
        <w:t xml:space="preserve"> </w:t>
      </w:r>
      <w:r>
        <w:t xml:space="preserve">ب 0.6 % مقارنة بشهر نونبر 2024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انخفظ الرقم الاستدلالي للأثمان عند الاستهلاك</w:t>
      </w:r>
      <w:r>
        <w:t xml:space="preserve"> </w:t>
      </w:r>
      <w:r>
        <w:t xml:space="preserve">ب -0.3 % مقارنة بشهر اكتوبر 2025</w:t>
      </w:r>
      <w:r>
        <w:t xml:space="preserve"> </w:t>
      </w:r>
      <w:r>
        <w:t xml:space="preserve">::: nbbbbbbbbbbb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2026-03-06T15:04:11Z</dcterms:created>
  <dcterms:modified xsi:type="dcterms:W3CDTF">2026-03-06T15:04:11Z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