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IPC pour Tanger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35"/>
        <w:gridCol w:w="850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>
          <w:trHeight w:val="28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libelle_diff_tab_syn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ponderation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V2024_07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V2025_04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V2025_05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V2025_06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V2025_07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evol_1mois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evol_3mois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evol_12mois</w:t>
            </w:r>
          </w:p>
        </w:tc>
      </w:tr>
      <w:tr>
        <w:trPr>
          <w:trHeight w:val="14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36.115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133.2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14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01 - Produits alimentaires et boissons non alcoolisees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34.708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trHeight w:val="14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02 - Boissons alcoolisees, tabac et stupefiants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3.6</w:t>
            </w:r>
          </w:p>
        </w:tc>
      </w:tr>
      <w:tr>
        <w:trPr>
          <w:trHeight w:val="14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63.885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14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Articles d'habillement et chaussures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</w:tr>
      <w:tr>
        <w:trPr>
          <w:trHeight w:val="14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Logement, eau, gaz, electricite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16.656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trHeight w:val="14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Meubles, articles de menage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</w:tr>
      <w:tr>
        <w:trPr>
          <w:trHeight w:val="14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06 - Sante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8.218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</w:p>
        </w:tc>
      </w:tr>
      <w:tr>
        <w:trPr>
          <w:trHeight w:val="14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07 - Transports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-3.0</w:t>
            </w:r>
          </w:p>
        </w:tc>
      </w:tr>
      <w:tr>
        <w:trPr>
          <w:trHeight w:val="14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08 -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-3.2</w:t>
            </w:r>
          </w:p>
        </w:tc>
      </w:tr>
      <w:tr>
        <w:trPr>
          <w:trHeight w:val="14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14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10 -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3.1</w:t>
            </w:r>
          </w:p>
        </w:tc>
      </w:tr>
      <w:tr>
        <w:trPr>
          <w:trHeight w:val="14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et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4.5</w:t>
            </w:r>
          </w:p>
        </w:tc>
      </w:tr>
      <w:tr>
        <w:trPr>
          <w:trHeight w:val="14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</w:tr>
      <w:tr>
        <w:trPr>
          <w:trHeight w:val="144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2025-10-17T15:39:11Z</dcterms:modified>
  <cp:category/>
</cp:coreProperties>
</file>