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0.png" ContentType="image/png"/>
  <Override PartName="/word/media/rId23.png" ContentType="image/png"/>
  <Override PartName="/word/media/image1.jpeg" ContentType="image/jpe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072"/>
        <w:gridCol w:w="2268"/>
      </w:tblGrid>
      <w:tr>
        <w:trPr>
          <w:trHeight w:val="360" w:hRule="auto"/>
        </w:trPr>
        body1
        <w:tc>
          <w:tcPr>
            <w:tcBorders>
              <w:bottom w:val="single" w:sz="12" w:space="0" w:color="F8A18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  <w:t xml:space="preserve">Consumer Price Index - June 2026</w:t>
            </w:r>
          </w:p>
        </w:tc>
        <w:tc>
          <w:tcPr>
            <w:tcBorders>
              <w:bottom w:val="single" w:sz="12" w:space="0" w:color="F8A18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8A18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  <w:t xml:space="preserve">City of Tetouan</w:t>
            </w:r>
          </w:p>
        </w:tc>
      </w:tr>
    </w:tbl>
    <w:p>
      <w:pPr>
        <w:pStyle w:val="ipcpara0"/>
      </w:pPr>
      <w:r>
        <w:t xml:space="preserve">In June 2026, the consumer price index for households in the city of Tetouan decreased by 1,0% compared to the previous month. On an annual level, the consumer price index increased by 1,1%.</w:t>
      </w:r>
    </w:p>
    <w:p>
      <w:pPr>
        <w:sectPr>
          <w:type w:val="continuous"/>
          <w:pgSz w:w="11906" w:h="16838"/>
          <w:pgMar w:top="284" w:bottom="284" w:left="283" w:right="283" w:header="708" w:footer="708" w:gutter="0"/>
          <w:cols w:num="1"/>
        </w:sectPr>
      </w:pPr>
    </w:p>
    <w:p>
      <w:pPr>
        <w:pStyle w:val="ipccorps"/>
      </w:pPr>
      <w:r>
        <w:rPr>
          <w:b/>
          <w:bCs/>
        </w:rPr>
        <w:t xml:space="preserve">Over a month,</w:t>
      </w:r>
      <w:r>
        <w:t xml:space="preserve"> </w:t>
      </w:r>
      <w:r>
        <w:t xml:space="preserve">The food product price index decreased by 1,6% in June 2026 compared to May 2026, due to the decline in prices of «Fish and Seafood» by 5,1%, «Vegetables» by 4,0%, «Fruits» by 2,8%, «Meats» by 2,4%, «Food Products not elsewhere classified» by 1,7% and «Milk, Cheese and Eggs» by 0,2%.</w:t>
      </w:r>
    </w:p>
    <w:p>
      <w:pPr>
        <w:pStyle w:val="ipccorps"/>
      </w:pPr>
      <w:r>
        <w:t xml:space="preserve">Similarly, the monthly variation of the index for the non-food products decreased by 0,5% due to drop in prices in the following divisions: «Transports» by 3,0%, «Clothing and Shoes» by 0,9% and «Housing, Water, Gas, Electricity and Other Fuels» and «Various Goods and Services» by 0,2%. Also, the increase in prices of the following divisions: «Furniture, Household Items and Routine Home Maintenance» by 0,4% and «Restaurants and Hotels» by 0,2%. As well as, the stagnation of the indices of the other divisions did not impact the general evolution.</w:t>
      </w:r>
    </w:p>
    <w:p>
      <w:pPr>
        <w:pStyle w:val="ipccorps"/>
      </w:pPr>
      <w:r>
        <w:rPr>
          <w:b/>
          <w:bCs/>
        </w:rPr>
        <w:t xml:space="preserve">Over a year,</w:t>
      </w:r>
      <w:r>
        <w:t xml:space="preserve"> </w:t>
      </w:r>
      <w:r>
        <w:t xml:space="preserve">the food product price index decreased by 1,3% in June 2026 compared to June 2025 , due to the decrease in the prices of «Oils and Fats» by 18,9%, «Milk, Cheese and Eggs» by 3,1%, «Vegetables» by 1,9%, «Fish and Seafood» by 0,7% and «Bread and Cereals» by 0,1%. Moreover, the rise in prices of «Meats» by 5,5%, «Tobacco» by 4,0%, «Sugar, Jam, Honey, Chocolate and Confectionery» by 1,8%, «Fruits», «Cafe and Tea and Cocoa» by 0,9% and «Mineral Waters, Soft Drinks, Fruit and Vegetable Juices» by 0,7% and the stagnation in prices for «Food Products not elsewhere classified» did not affect the general evolution.</w:t>
      </w:r>
    </w:p>
    <w:p>
      <w:pPr>
        <w:pStyle w:val="ipccorps"/>
      </w:pPr>
      <w:r>
        <w:t xml:space="preserve">On the other hand, the annual variation in the non-food product index increased by 3,2%. While the price variation of the divisions that constitute non-food products fluctuated between a decrease of 1,1% for the division of «Leisure and Culture» and the rise of 10,9% for the division of «Education»</w:t>
      </w:r>
    </w:p>
    <w:p>
      <w:pPr>
        <w:pStyle w:val="ipctitre0"/>
      </w:pPr>
      <w:r>
        <w:t xml:space="preserve">3- Annual evolution (%) of the consumer price index for the month of June</w:t>
      </w:r>
    </w:p>
    <w:p>
      <w:pPr>
        <w:pStyle w:val="Corpsdetexte"/>
      </w:pPr>
      <w:r>
        <w:drawing>
          <wp:inline>
            <wp:extent cx="3347999" cy="2062799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../../Rapports_mensuels/Mois2026_06/Graphique_variation_annuelle2026_06_Ville08_ang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7999" cy="2062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legende"/>
      </w:pPr>
      <w:r>
        <w:rPr>
          <w:u w:val="single"/>
        </w:rPr>
        <w:t xml:space="preserve">Reading:</w:t>
      </w:r>
      <w:r>
        <w:t xml:space="preserve"> </w:t>
      </w:r>
      <w:r>
        <w:t xml:space="preserve">In June 2026, the consumer price index increased by 1,1% compared to June 2025</w:t>
      </w:r>
    </w:p>
    <w:p>
      <w:pPr>
        <w:pStyle w:val="ipctitre0"/>
      </w:pPr>
      <w:r>
        <w:t xml:space="preserve">4- Evolution of the monthly variation (%) of the consumer price index</w:t>
      </w:r>
    </w:p>
    <w:p>
      <w:pPr>
        <w:pStyle w:val="Corpsdetexte"/>
      </w:pPr>
      <w:r>
        <w:drawing>
          <wp:inline>
            <wp:extent cx="3347999" cy="2523599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../../Rapports_mensuels/Mois2026_06/Graphique_variation_mensuelle2026_06_Ville08_ang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7999" cy="2523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legende"/>
      </w:pPr>
      <w:r>
        <w:rPr>
          <w:u w:val="single"/>
        </w:rPr>
        <w:t xml:space="preserve">Reading:</w:t>
      </w:r>
      <w:r>
        <w:t xml:space="preserve"> </w:t>
      </w:r>
      <w:r>
        <w:t xml:space="preserve">The level of price variation in June 2026 decreased by 1,0% after being -0,7% in May 2026</w:t>
      </w:r>
    </w:p>
    <w:p>
      <w:pPr>
        <w:sectPr>
          <w:type w:val="continuous"/>
          <w:pgSz w:w="11906" w:h="16838"/>
          <w:pgMar w:top="284" w:bottom="284" w:left="283" w:right="283" w:header="708" w:footer="708" w:gutter="0"/>
          <w:cols w:num="2" w:space="200"/>
        </w:sectPr>
      </w:pPr>
    </w:p>
    <w:p>
      <w:pPr>
        <w:pStyle w:val="ipcpara0"/>
      </w:pPr>
      <w:r>
        <w:t xml:space="preserve">Table 3: Consumer price index for the city of Tetouan: June 2026 (base 2017: 100)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69"/>
        <w:gridCol w:w="1020"/>
        <w:gridCol w:w="907"/>
        <w:gridCol w:w="907"/>
        <w:gridCol w:w="907"/>
        <w:gridCol w:w="907"/>
        <w:gridCol w:w="907"/>
        <w:gridCol w:w="567"/>
        <w:gridCol w:w="567"/>
        <w:gridCol w:w="567"/>
      </w:tblGrid>
      <w:tr>
        <w:trPr>
          <w:trHeight w:val="397" w:hRule="exact"/>
          <w:tblHeader/>
        </w:trPr>
        header 1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Product Divisions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Weightings</w:t>
            </w:r>
          </w:p>
        </w:tc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Monthly index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Variation (%)</w:t>
            </w:r>
          </w:p>
        </w:tc>
      </w:tr>
      <w:tr>
        <w:trPr>
          <w:trHeight w:val="397" w:hRule="exact"/>
          <w:tblHeader/>
        </w:trPr>
        header 2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June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March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April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May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June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 month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 months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months</w:t>
            </w:r>
          </w:p>
        </w:tc>
      </w:tr>
      <w:tr>
        <w:trPr>
          <w:trHeight w:val="227" w:hRule="exact"/>
        </w:trPr>
        body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Food products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40,725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133,9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136,3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136,5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134,2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132,1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-3,1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-1,3</w:t>
            </w:r>
          </w:p>
        </w:tc>
      </w:tr>
      <w:tr>
        <w:trPr>
          <w:trHeight w:val="227" w:hRule="exact"/>
        </w:trPr>
        body 2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01 – Food products and non-alcoholic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38,964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133,3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135,7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135,8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133,4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131,2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-3,3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-1,6</w:t>
            </w:r>
          </w:p>
        </w:tc>
      </w:tr>
      <w:tr>
        <w:trPr>
          <w:trHeight w:val="227" w:hRule="exact"/>
        </w:trPr>
        body 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02 –Alcoholicbeverages and tobacco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1,761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146,1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150,5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152,0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152,0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152,0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4,0</w:t>
            </w:r>
          </w:p>
        </w:tc>
      </w:tr>
      <w:tr>
        <w:trPr>
          <w:trHeight w:val="227" w:hRule="exact"/>
        </w:trPr>
        body 4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Non foodproducts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59,275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110,8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3,2</w:t>
            </w:r>
          </w:p>
        </w:tc>
      </w:tr>
      <w:tr>
        <w:trPr>
          <w:trHeight w:val="227" w:hRule="exact"/>
        </w:trPr>
        body 5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03 – Clothing and shoes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5,835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-2,2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-0,9</w:t>
            </w:r>
          </w:p>
        </w:tc>
      </w:tr>
      <w:tr>
        <w:trPr>
          <w:trHeight w:val="227" w:hRule="exact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04 - Housing, water, gas, electricity and other fuel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14,202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110,8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1,5</w:t>
            </w:r>
          </w:p>
        </w:tc>
      </w:tr>
      <w:tr>
        <w:trPr>
          <w:trHeight w:val="227" w:hRule="exact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05- Furniture, household items and routine maintenance of the home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5,602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110,6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0,9</w:t>
            </w:r>
          </w:p>
        </w:tc>
      </w:tr>
      <w:tr>
        <w:trPr>
          <w:trHeight w:val="227" w:hRule="exact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06 –Health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6,594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-0,5</w:t>
            </w:r>
          </w:p>
        </w:tc>
      </w:tr>
      <w:tr>
        <w:trPr>
          <w:trHeight w:val="227" w:hRule="exact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07 – Transport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7,416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110,6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115,0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127,1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125,6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-3,0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10,1</w:t>
            </w:r>
          </w:p>
        </w:tc>
      </w:tr>
      <w:tr>
        <w:trPr>
          <w:trHeight w:val="227" w:hRule="exact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08 – Communication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97,6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96,8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97,1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97,3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97,3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-0,3</w:t>
            </w:r>
          </w:p>
        </w:tc>
      </w:tr>
      <w:tr>
        <w:trPr>
          <w:trHeight w:val="227" w:hRule="exact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09 – Leisure and culture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2,432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106,8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106,3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106,5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105,6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105,6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-1,1</w:t>
            </w:r>
          </w:p>
        </w:tc>
      </w:tr>
      <w:tr>
        <w:trPr>
          <w:trHeight w:val="227" w:hRule="exact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 –Education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5,358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116,8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10,9</w:t>
            </w:r>
          </w:p>
        </w:tc>
      </w:tr>
      <w:tr>
        <w:trPr>
          <w:trHeight w:val="227" w:hRule="exact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11 - Restaurants and hotels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115,8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116,6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123,5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122,9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123,1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6,3</w:t>
            </w:r>
          </w:p>
        </w:tc>
      </w:tr>
      <w:tr>
        <w:trPr>
          <w:trHeight w:val="227" w:hRule="exact"/>
        </w:trPr>
        body14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– Variousgoods and services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6,808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119,3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122,1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122,7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122,4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2,6</w:t>
            </w:r>
          </w:p>
        </w:tc>
      </w:tr>
      <w:tr>
        <w:trPr>
          <w:trHeight w:val="227" w:hRule="exact"/>
        </w:trPr>
        body15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General index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100,000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122,6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123,7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122,8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1,1</w:t>
            </w:r>
          </w:p>
        </w:tc>
      </w:tr>
    </w:tbl>
    <w:p>
      <w:pPr>
        <w:pStyle w:val="ipclegendetableau"/>
      </w:pPr>
      <w:r>
        <w:rPr>
          <w:u w:val="single"/>
        </w:rPr>
        <w:t xml:space="preserve">Source:</w:t>
      </w:r>
      <w:r>
        <w:t xml:space="preserve"> </w:t>
      </w:r>
      <w:r>
        <w:t xml:space="preserve">High Commission for Planning, Department of Statistics - National consumer price survey</w:t>
      </w:r>
    </w:p>
    <w:p>
      <w:pPr>
        <w:pStyle w:val="Corpsdetexte"/>
      </w:pPr>
      <w:r>
        <w:t xml:space="preserve">:::</w:t>
      </w:r>
    </w:p>
    <w:p>
      <w:pPr>
        <w:sectPr>
          <w:type w:val="continuous"/>
          <w:pgSz w:w="11906" w:h="16838"/>
          <w:pgMar w:top="284" w:bottom="284" w:left="283" w:right="283" w:header="708" w:footer="708" w:gutter="0"/>
          <w:cols w:num="1"/>
        </w:sectPr>
      </w:pPr>
    </w:p>
    <w:sectPr w:rsidR="00A204FC" w:rsidRPr="00265093" w:rsidSect="007C7937">
      <w:headerReference r:id="rId9" w:type="first"/>
      <w:footerReference r:id="rId10" w:type="first"/>
      <w:pgSz w:h="16838" w:w="11906"/>
      <w:pgMar w:bottom="794" w:footer="0" w:gutter="0" w:header="397" w:left="720" w:right="720" w:top="253"/>
      <w:cols w:space="720"/>
      <w:formProt w:val="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25A5" w:rsidRDefault="006025A5">
    <w:pPr>
      <w:ind w:left="461"/>
      <w:jc w:val="center"/>
      <w:rPr>
        <w:rFonts w:ascii="Verdana" w:hAnsi="Verdana"/>
      </w:rPr>
    </w:pPr>
    <w:r>
      <w:rPr>
        <w:rFonts w:ascii="Verdana" w:hAnsi="Verdana"/>
        <w:w w:val="90"/>
      </w:rPr>
      <w:t>Angle Avenue Ibn Tachafine et Avenue Ibn Toumart B.P.104 Tanger****Tél:0539940698****Fax:05399403</w:t>
    </w:r>
    <w:r>
      <w:rPr>
        <w:rFonts w:ascii="Verdana" w:hAnsi="Verdana"/>
        <w:spacing w:val="-5"/>
        <w:w w:val="90"/>
      </w:rPr>
      <w:t>64</w:t>
    </w:r>
  </w:p>
  <w:p w:rsidR="006025A5" w:rsidRDefault="006025A5">
    <w:pPr>
      <w:spacing w:before="1"/>
      <w:ind w:left="461" w:right="5"/>
      <w:jc w:val="center"/>
      <w:rPr>
        <w:rFonts w:ascii="Tahoma" w:hAnsi="Tahoma"/>
      </w:rPr>
    </w:pPr>
    <w:r>
      <w:rPr>
        <w:rFonts w:ascii="Tahoma" w:eastAsia="Times New Roman" w:hAnsi="Tahoma"/>
        <w:color w:val="CA400A"/>
      </w:rPr>
      <w:t>SiteWeb:</w:t>
    </w:r>
    <w:hyperlink r:id="rId1">
      <w:r>
        <w:rPr>
          <w:rStyle w:val="Lienhypertexte"/>
          <w:rFonts w:ascii="Tahoma" w:eastAsia="Times New Roman" w:hAnsi="Tahoma"/>
        </w:rPr>
        <w:t>www.hcp.ma/region-tanger</w:t>
      </w:r>
    </w:hyperlink>
    <w:r>
      <w:rPr>
        <w:rFonts w:ascii="Tahoma" w:eastAsia="Times New Roman" w:hAnsi="Tahoma"/>
        <w:color w:val="CA400A"/>
      </w:rPr>
      <w:t>Email:</w:t>
    </w:r>
    <w:hyperlink r:id="rId2">
      <w:r>
        <w:rPr>
          <w:rStyle w:val="Lienhypertexte"/>
          <w:rFonts w:ascii="Tahoma" w:eastAsia="Times New Roman" w:hAnsi="Tahoma"/>
          <w:spacing w:val="-2"/>
        </w:rPr>
        <w:t>hcp.dr.tanger@hcp.ma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25A5" w:rsidRDefault="00E1172D">
    <w:pPr>
      <w:pStyle w:val="En-tte"/>
    </w:pPr>
    <w:r>
      <w:pict>
        <v:group id="shape_0" o:spid="_x0000_s1025" alt="Group 1" style="position:absolute;margin-left:0;margin-top:-62.35pt;width:453.6pt;height:62.3pt;z-index:251659264" coordorigin=",-1247" coordsize="9072,124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3414;top:-1139;width:2431;height:1137;mso-wrap-style:none;mso-position-vertical:top;v-text-anchor:middle" o:allowincell="f" strokecolor="#3465a4">
            <v:stroke joinstyle="round"/>
            <v:imagedata r:id="rId1" o:title="image1"/>
          </v:shape>
          <v:shape id="_x0000_s1026" type="#_x0000_t75" style="position:absolute;top:-1247;width:9071;height:153;mso-wrap-style:none;mso-position-vertical:top;v-text-anchor:middle" o:allowincell="f" strokecolor="#3465a4">
            <v:stroke joinstyle="round"/>
            <v:imagedata r:id="rId2" o:title="image2"/>
          </v:shape>
        </v:group>
      </w:pic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autoHyphenation/>
  <w:hyphenationZone w:val="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19458" v:ext="edit"/>
    <o:shapelayout v:ext="edit">
      <o:idmap data="1" v:ext="edit"/>
    </o:shapelayout>
  </w:hdrShapeDefaults>
  <w:compat>
    <w:doNotBreakWrappedTables/>
  </w:compat>
  <w:rsids>
    <w:rsidRoot w:val="00A204FC"/>
    <w:rsid w:val="00043809"/>
    <w:rsid w:val="000738F8"/>
    <w:rsid w:val="00160C25"/>
    <w:rsid w:val="00221EBD"/>
    <w:rsid w:val="00231C33"/>
    <w:rsid w:val="00265093"/>
    <w:rsid w:val="0027046E"/>
    <w:rsid w:val="0027281F"/>
    <w:rsid w:val="006025A5"/>
    <w:rsid w:val="006A24C7"/>
    <w:rsid w:val="006B3300"/>
    <w:rsid w:val="007C7937"/>
    <w:rsid w:val="007E4215"/>
    <w:rsid w:val="008772B8"/>
    <w:rsid w:val="008B11E0"/>
    <w:rsid w:val="008D1EFF"/>
    <w:rsid w:val="008F5D24"/>
    <w:rsid w:val="00A204FC"/>
    <w:rsid w:val="00A4715F"/>
    <w:rsid w:val="00AE7A36"/>
    <w:rsid w:val="00B72C64"/>
    <w:rsid w:val="00B876B3"/>
    <w:rsid w:val="00BB5AA0"/>
    <w:rsid w:val="00BF71AD"/>
    <w:rsid w:val="00E1172D"/>
    <w:rsid w:val="00E74F16"/>
    <w:rsid w:val="00F172D8"/>
    <w:rsid w:val="00F20A3F"/>
    <w:rsid w:val="00F35FF0"/>
    <w:rsid w:val="00FC7CEB"/>
  </w:rsids>
  <w:themeFontLang w:bidi="ar-SA"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9458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kern w:val="2"/>
        <w:sz w:val="22"/>
        <w:szCs w:val="22"/>
        <w:lang w:bidi="ar-SA" w:eastAsia="en-US" w:val="fr-FR"/>
      </w:rPr>
    </w:rPrDefault>
    <w:pPrDefault>
      <w:pPr>
        <w:suppressAutoHyphens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3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9C081E"/>
    <w:pPr>
      <w:spacing w:after="160" w:line="259" w:lineRule="auto"/>
    </w:pPr>
    <w:rPr>
      <w:rFonts w:asciiTheme="majorBidi" w:cs="Arial" w:eastAsia="Aptos" w:hAnsiTheme="majorBidi"/>
      <w:b/>
      <w:color w:val="8D4354"/>
      <w:sz w:val="16"/>
    </w:rPr>
  </w:style>
  <w:style w:styleId="Titre1" w:type="paragraph">
    <w:name w:val="heading 1"/>
    <w:basedOn w:val="Normal"/>
    <w:next w:val="Normal"/>
    <w:link w:val="Titre1Car"/>
    <w:uiPriority w:val="9"/>
    <w:qFormat/>
    <w:rsid w:val="007C4EC7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Normal"/>
    <w:link w:val="Titre2Car"/>
    <w:uiPriority w:val="9"/>
    <w:semiHidden/>
    <w:unhideWhenUsed/>
    <w:qFormat/>
    <w:rsid w:val="007C4EC7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7C4EC7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7C4EC7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7C4EC7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7C4EC7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7C4EC7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7C4EC7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7C4EC7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qFormat/>
    <w:rsid w:val="007C4EC7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qFormat/>
    <w:rsid w:val="007C4EC7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qFormat/>
    <w:rsid w:val="007C4EC7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qFormat/>
    <w:rsid w:val="007C4EC7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qFormat/>
    <w:rsid w:val="007C4EC7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qFormat/>
    <w:rsid w:val="007C4EC7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qFormat/>
    <w:rsid w:val="007C4EC7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qFormat/>
    <w:rsid w:val="007C4EC7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qFormat/>
    <w:rsid w:val="007C4EC7"/>
    <w:rPr>
      <w:rFonts w:cstheme="majorBidi" w:eastAsiaTheme="majorEastAsia"/>
      <w:color w:themeColor="text1" w:themeTint="D8" w:val="272727"/>
    </w:rPr>
  </w:style>
  <w:style w:customStyle="1" w:styleId="TitreCar" w:type="character">
    <w:name w:val="Titre Car"/>
    <w:basedOn w:val="Policepardfaut"/>
    <w:link w:val="Titre"/>
    <w:uiPriority w:val="10"/>
    <w:qFormat/>
    <w:rsid w:val="007C4EC7"/>
    <w:rPr>
      <w:rFonts w:asciiTheme="majorHAnsi" w:cstheme="majorBidi" w:eastAsiaTheme="majorEastAsia" w:hAnsiTheme="majorHAnsi"/>
      <w:spacing w:val="-10"/>
      <w:kern w:val="2"/>
      <w:sz w:val="56"/>
      <w:szCs w:val="56"/>
    </w:rPr>
  </w:style>
  <w:style w:customStyle="1" w:styleId="Sous-titreCar" w:type="character">
    <w:name w:val="Sous-titre Car"/>
    <w:basedOn w:val="Policepardfaut"/>
    <w:link w:val="Sous-titre"/>
    <w:uiPriority w:val="11"/>
    <w:qFormat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CitationCar" w:type="character">
    <w:name w:val="Citation Car"/>
    <w:basedOn w:val="Policepardfaut"/>
    <w:link w:val="Citation"/>
    <w:uiPriority w:val="29"/>
    <w:qFormat/>
    <w:rsid w:val="007C4EC7"/>
    <w:rPr>
      <w:i/>
      <w:iCs/>
      <w:color w:themeColor="text1" w:themeTint="BF" w:val="404040"/>
    </w:rPr>
  </w:style>
  <w:style w:styleId="Emphaseintense" w:type="character">
    <w:name w:val="Intense Emphasis"/>
    <w:basedOn w:val="Policepardfaut"/>
    <w:uiPriority w:val="21"/>
    <w:qFormat/>
    <w:rsid w:val="007C4EC7"/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Policepardfaut"/>
    <w:link w:val="Citationintense"/>
    <w:uiPriority w:val="30"/>
    <w:qFormat/>
    <w:rsid w:val="007C4EC7"/>
    <w:rPr>
      <w:i/>
      <w:iCs/>
      <w:color w:themeColor="accent1" w:themeShade="BF" w:val="0F4761"/>
    </w:rPr>
  </w:style>
  <w:style w:styleId="Rfrenceintense" w:type="character">
    <w:name w:val="Intense Reference"/>
    <w:basedOn w:val="Policepardfau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customStyle="1" w:styleId="En-tteCar" w:type="character">
    <w:name w:val="En-tête Car"/>
    <w:basedOn w:val="Policepardfaut"/>
    <w:link w:val="En-tte"/>
    <w:uiPriority w:val="99"/>
    <w:qFormat/>
    <w:rsid w:val="000707FF"/>
  </w:style>
  <w:style w:customStyle="1" w:styleId="PieddepageCar" w:type="character">
    <w:name w:val="Pied de page Car"/>
    <w:basedOn w:val="Policepardfaut"/>
    <w:link w:val="Pieddepage"/>
    <w:uiPriority w:val="99"/>
    <w:qFormat/>
    <w:rsid w:val="000707FF"/>
  </w:style>
  <w:style w:customStyle="1" w:styleId="ipclegendeCar" w:type="character">
    <w:name w:val="ipc_legende Car"/>
    <w:basedOn w:val="Policepardfaut"/>
    <w:link w:val="ipclegende"/>
    <w:qFormat/>
    <w:rsid w:val="00043809"/>
    <w:rPr>
      <w:rFonts w:ascii="Times New Roman" w:cs="Arial" w:eastAsia="Aptos" w:hAnsi="Times New Roman"/>
      <w:b/>
      <w:bCs/>
      <w:spacing w:val="13"/>
      <w:sz w:val="16"/>
    </w:rPr>
  </w:style>
  <w:style w:customStyle="1" w:styleId="ipctitre0Car" w:type="character">
    <w:name w:val="ipc_titre_0 Car"/>
    <w:basedOn w:val="ipclegendeCar"/>
    <w:link w:val="ipctitre0"/>
    <w:qFormat/>
    <w:rsid w:val="00AE7A36"/>
    <w:rPr>
      <w:b/>
      <w:bCs/>
      <w:color w:val="CA400A"/>
      <w:sz w:val="20"/>
    </w:rPr>
  </w:style>
  <w:style w:customStyle="1" w:styleId="ipccorpsCar" w:type="character">
    <w:name w:val="ipc_corps Car"/>
    <w:basedOn w:val="ipctitre0Car"/>
    <w:link w:val="ipccorps"/>
    <w:qFormat/>
    <w:rsid w:val="00A809A4"/>
    <w:rPr>
      <w:bCs/>
      <w:sz w:val="18"/>
      <w:szCs w:val="24"/>
    </w:rPr>
  </w:style>
  <w:style w:customStyle="1" w:styleId="ipcpara0Car" w:type="character">
    <w:name w:val="ipc_para_0 Car"/>
    <w:basedOn w:val="ipccorpsCar"/>
    <w:link w:val="ipcpara0"/>
    <w:qFormat/>
    <w:rsid w:val="00A809A4"/>
    <w:rPr>
      <w:rFonts w:cs="Times New Roman" w:eastAsia="Times New Roman"/>
      <w:b/>
      <w:bCs/>
      <w:color w:val="8D4354"/>
      <w:kern w:val="0"/>
    </w:rPr>
  </w:style>
  <w:style w:styleId="Emphaseple" w:type="character">
    <w:name w:val="Subtle Emphasis"/>
    <w:basedOn w:val="Policepardfaut"/>
    <w:uiPriority w:val="19"/>
    <w:qFormat/>
    <w:rsid w:val="00A14A34"/>
    <w:rPr>
      <w:i/>
      <w:iCs/>
      <w:color w:themeColor="text1" w:themeTint="7F" w:val="808080"/>
    </w:rPr>
  </w:style>
  <w:style w:customStyle="1" w:styleId="ipclegendetableauCar" w:type="character">
    <w:name w:val="ipc_legende_tableau Car"/>
    <w:basedOn w:val="ipcpara0Car"/>
    <w:link w:val="ipclegendetableau"/>
    <w:qFormat/>
    <w:rsid w:val="00A14A34"/>
    <w:rPr>
      <w:b/>
      <w:bCs/>
      <w:sz w:val="16"/>
    </w:rPr>
  </w:style>
  <w:style w:styleId="Lienhypertexte" w:type="character">
    <w:name w:val="Hyperlink"/>
    <w:rsid w:val="00A204FC"/>
    <w:rPr>
      <w:color w:val="000080"/>
      <w:u w:val="single"/>
    </w:rPr>
  </w:style>
  <w:style w:styleId="Titre" w:type="paragraph">
    <w:name w:val="Title"/>
    <w:basedOn w:val="Normal"/>
    <w:next w:val="Corpsdetexte"/>
    <w:link w:val="TitreCar"/>
    <w:uiPriority w:val="10"/>
    <w:qFormat/>
    <w:rsid w:val="007C4EC7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sz w:val="56"/>
      <w:szCs w:val="56"/>
    </w:rPr>
  </w:style>
  <w:style w:styleId="Corpsdetexte" w:type="paragraph">
    <w:name w:val="Body Text"/>
    <w:basedOn w:val="Normal"/>
    <w:rsid w:val="00A204FC"/>
    <w:pPr>
      <w:spacing w:after="140" w:line="276" w:lineRule="auto"/>
    </w:pPr>
  </w:style>
  <w:style w:styleId="Liste" w:type="paragraph">
    <w:name w:val="List"/>
    <w:basedOn w:val="Corpsdetexte"/>
    <w:rsid w:val="00A204FC"/>
    <w:rPr>
      <w:rFonts w:cs="Lucida Sans"/>
    </w:rPr>
  </w:style>
  <w:style w:styleId="Lgende" w:type="paragraph">
    <w:name w:val="caption"/>
    <w:basedOn w:val="Normal"/>
    <w:qFormat/>
    <w:rsid w:val="00A204FC"/>
    <w:pPr>
      <w:suppressLineNumbers/>
      <w:spacing w:after="120" w:before="120"/>
    </w:pPr>
    <w:rPr>
      <w:rFonts w:cs="Lucida Sans"/>
      <w:i/>
      <w:iCs/>
      <w:sz w:val="24"/>
      <w:szCs w:val="24"/>
    </w:rPr>
  </w:style>
  <w:style w:customStyle="1" w:styleId="Index" w:type="paragraph">
    <w:name w:val="Index"/>
    <w:basedOn w:val="Normal"/>
    <w:qFormat/>
    <w:rsid w:val="00A204FC"/>
    <w:pPr>
      <w:suppressLineNumbers/>
    </w:pPr>
    <w:rPr>
      <w:rFonts w:cs="Lucida Sans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7C4EC7"/>
    <w:pPr>
      <w:spacing w:before="160"/>
      <w:jc w:val="center"/>
    </w:pPr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7C4EC7"/>
    <w:pPr>
      <w:ind w:left="720"/>
      <w:contextualSpacing/>
    </w:p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7C4EC7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En-tteetpieddepage" w:type="paragraph">
    <w:name w:val="En-tête et pied de page"/>
    <w:basedOn w:val="Normal"/>
    <w:qFormat/>
    <w:rsid w:val="00A204FC"/>
  </w:style>
  <w:style w:styleId="En-tte" w:type="paragraph">
    <w:name w:val="header"/>
    <w:basedOn w:val="Normal"/>
    <w:link w:val="En-tt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styleId="Pieddepage" w:type="paragraph">
    <w:name w:val="footer"/>
    <w:basedOn w:val="Normal"/>
    <w:link w:val="Pieddepag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ipclegende" w:type="paragraph">
    <w:name w:val="ipc_legende"/>
    <w:basedOn w:val="Normal"/>
    <w:link w:val="ipclegendeCar"/>
    <w:qFormat/>
    <w:rsid w:val="00043809"/>
    <w:pPr>
      <w:ind w:left="170"/>
    </w:pPr>
    <w:rPr>
      <w:rFonts w:ascii="Times New Roman" w:hAnsi="Times New Roman"/>
      <w:bCs/>
      <w:color w:val="auto"/>
      <w:spacing w:val="13"/>
    </w:rPr>
  </w:style>
  <w:style w:customStyle="1" w:styleId="ipctitre0" w:type="paragraph">
    <w:name w:val="ipc_titre_0"/>
    <w:link w:val="ipctitre0Car"/>
    <w:qFormat/>
    <w:rsid w:val="00AE7A36"/>
    <w:pPr>
      <w:spacing w:after="160" w:line="259" w:lineRule="auto"/>
      <w:jc w:val="center"/>
    </w:pPr>
    <w:rPr>
      <w:rFonts w:ascii="Times New Roman" w:cs="Arial" w:eastAsia="Aptos" w:hAnsi="Times New Roman"/>
      <w:b/>
      <w:bCs/>
      <w:color w:val="CA400A"/>
      <w:spacing w:val="13"/>
      <w:sz w:val="20"/>
    </w:rPr>
  </w:style>
  <w:style w:customStyle="1" w:styleId="ipccorps" w:type="paragraph">
    <w:name w:val="ipc_corps"/>
    <w:link w:val="ipccorpsCar"/>
    <w:qFormat/>
    <w:rsid w:val="00A809A4"/>
    <w:pPr>
      <w:spacing w:after="160" w:line="259" w:lineRule="auto"/>
    </w:pPr>
    <w:rPr>
      <w:rFonts w:ascii="Times New Roman" w:hAnsi="Times New Roman"/>
      <w:bCs/>
      <w:spacing w:val="13"/>
      <w:sz w:val="18"/>
      <w:szCs w:val="24"/>
    </w:rPr>
  </w:style>
  <w:style w:customStyle="1" w:styleId="ipcpara0" w:type="paragraph">
    <w:name w:val="ipc_para_0"/>
    <w:basedOn w:val="ipccorps"/>
    <w:link w:val="ipcpara0Car"/>
    <w:qFormat/>
    <w:rsid w:val="00A809A4"/>
    <w:rPr>
      <w:rFonts w:cs="Times New Roman" w:eastAsia="Times New Roman"/>
      <w:b/>
      <w:color w:val="8D4354"/>
      <w:spacing w:val="0"/>
      <w:kern w:val="0"/>
      <w:sz w:val="22"/>
    </w:rPr>
  </w:style>
  <w:style w:customStyle="1" w:styleId="ipclegendetableau" w:type="paragraph">
    <w:name w:val="ipc_legende_tableau"/>
    <w:basedOn w:val="ipcpara0"/>
    <w:link w:val="ipclegendetableauCar"/>
    <w:qFormat/>
    <w:rsid w:val="00A14A34"/>
    <w:rPr>
      <w:sz w:val="16"/>
    </w:rPr>
  </w:style>
  <w:style w:customStyle="1" w:styleId="Pasdeliste" w:type="numbering">
    <w:name w:val="Pas de liste"/>
    <w:uiPriority w:val="99"/>
    <w:semiHidden/>
    <w:unhideWhenUsed/>
    <w:qFormat/>
    <w:rsid w:val="00A204FC"/>
  </w:style>
  <w:style w:styleId="Grilledutableau" w:type="table">
    <w:name w:val="Table Grid"/>
    <w:basedOn w:val="TableauNormal"/>
    <w:uiPriority w:val="39"/>
    <w:rsid w:val="008868E3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PlainTable1" w:type="table">
    <w:name w:val="Plain Table 1"/>
    <w:basedOn w:val="TableauNormal"/>
    <w:uiPriority w:val="41"/>
    <w:rsid w:val="008868E3"/>
    <w:tblPr>
      <w:tblStyleRowBandSize w:val="1"/>
      <w:tblStyleColBandSize w:val="1"/>
      <w:tblInd w:type="dxa" w:w="0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FFFFF" w:space="0" w:sz="4" w:themeColor="background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tableauipc1" w:type="table">
    <w:name w:val="tableau_ipc_1"/>
    <w:basedOn w:val="TableauNormal"/>
    <w:uiPriority w:val="99"/>
    <w:rsid w:val="006734DB"/>
    <w:rPr>
      <w:b/>
      <w:sz w:val="32"/>
    </w:rPr>
    <w:tblPr>
      <w:tblInd w:type="dxa" w:w="0"/>
      <w:tblBorders>
        <w:top w:color="C00000" w:space="0" w:sz="24" w:val="thinThickSmallGap"/>
        <w:bottom w:color="C00000" w:space="0" w:sz="24" w:val="thinThickSmallGap"/>
        <w:insideH w:color="C00000" w:space="0" w:sz="24" w:val="thinThickSmallGap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PlainTable3" w:type="table">
    <w:name w:val="Plain Table 3"/>
    <w:basedOn w:val="TableauNormal"/>
    <w:uiPriority w:val="43"/>
    <w:rsid w:val="00333D65"/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aps/>
      </w:rPr>
      <w:tblPr/>
      <w:tcPr>
        <w:tcBorders>
          <w:bottom w:color="000000" w:space="0" w:sz="4" w:themeColor="text1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000000" w:space="0" w:sz="4" w:themeColor="text1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customStyle="1" w:styleId="PlainTable4" w:type="table">
    <w:name w:val="Plain Table 4"/>
    <w:basedOn w:val="TableauNormal"/>
    <w:uiPriority w:val="44"/>
    <w:rsid w:val="00333D65"/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GridTable4" w:type="table">
    <w:name w:val="Grid Table 4"/>
    <w:basedOn w:val="TableauNormal"/>
    <w:uiPriority w:val="49"/>
    <w:rsid w:val="00333D65"/>
    <w:tblPr>
      <w:tblStyleRowBandSize w:val="1"/>
      <w:tblStyleColBandSize w:val="1"/>
      <w:tblInd w:type="dxa" w:w="0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styletable1" w:type="table">
    <w:name w:val="style_table1"/>
    <w:basedOn w:val="TableauNormal"/>
    <w:uiPriority w:val="99"/>
    <w:rsid w:val="00333D65"/>
    <w:pPr>
      <w:jc w:val="center"/>
    </w:pPr>
    <w:rPr>
      <w:sz w:val="24"/>
    </w:rPr>
    <w:tblPr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8E8E8" w:themeFill="background2" w:val="clear"/>
    </w:tcPr>
  </w:style>
  <w:style w:customStyle="1" w:styleId="ipcpiedpage" w:type="paragraph">
    <w:name w:val="ipc_pied_page"/>
    <w:basedOn w:val="En-tteetpieddepage"/>
    <w:link w:val="ipcpiedpageCar"/>
    <w:qFormat/>
    <w:rsid w:val="00B876B3"/>
    <w:pPr>
      <w:jc w:val="center"/>
    </w:pPr>
    <w:rPr>
      <w:color w:val="auto"/>
      <w:lang w:bidi="ar-MA"/>
    </w:rPr>
  </w:style>
  <w:style w:customStyle="1" w:styleId="ipcpiedpageCar" w:type="character">
    <w:name w:val="ipc_pied_page Car"/>
    <w:basedOn w:val="Policepardfaut"/>
    <w:link w:val="ipcpiedpage"/>
    <w:rsid w:val="00B876B3"/>
    <w:rPr>
      <w:rFonts w:asciiTheme="majorBidi" w:cs="Arial" w:eastAsia="Aptos" w:hAnsiTheme="majorBidi"/>
      <w:b/>
      <w:sz w:val="16"/>
      <w:lang w:bidi="ar-MA"/>
    </w:rPr>
  </w:style>
  <w:style w:customStyle="1" w:styleId="ipcpiedpageinline" w:type="paragraph">
    <w:name w:val="ipc_pied_page_inline"/>
    <w:basedOn w:val="ipcpiedpage"/>
    <w:link w:val="ipcpiedpageinlineCar"/>
    <w:qFormat/>
    <w:rsid w:val="00160C25"/>
    <w:pPr>
      <w:spacing w:after="0" w:line="240" w:lineRule="auto"/>
    </w:pPr>
    <w:rPr>
      <w:u w:val="single"/>
    </w:rPr>
  </w:style>
  <w:style w:customStyle="1" w:styleId="ipcpiedpageinlineCar" w:type="character">
    <w:name w:val="ipc_pied_page_inline Car"/>
    <w:basedOn w:val="ipcpiedpageCar"/>
    <w:link w:val="ipcpiedpageinline"/>
    <w:rsid w:val="00160C25"/>
    <w:rPr>
      <w:b/>
      <w:u w:val="single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hcp.dr.tanger@hcp.ma" TargetMode="External"/><Relationship Id="rId1" Type="http://schemas.openxmlformats.org/officeDocument/2006/relationships/hyperlink" Target="http://www.hcp.ma/region-tanger" TargetMode="External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2026-10-12T12:10:28Z</dcterms:created>
  <dcterms:modified xsi:type="dcterms:W3CDTF">2026-10-12T12:10:28Z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knitr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 - Juin 2025</vt:lpwstr>
  </property>
  <property fmtid="{D5CDD505-2E9C-101B-9397-08002B2CF9AE}" pid="13" name="toc-title">
    <vt:lpwstr>Table of contents</vt:lpwstr>
  </property>
</Properties>
</file>