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مذكرة اخبارية للمديرية الجهوية لجهة طنجة تطوان الحسيمة</w:t>
      </w:r>
    </w:p>
    <w:p>
      <w:pPr>
        <w:pStyle w:val="ipctitre0"/>
      </w:pPr>
      <w:r>
        <w:t xml:space="preserve">الرقم الاستدلالي للأثمان عند الاستهلاك أساس : (2017 :100)</w:t>
      </w:r>
      <w:r>
        <w:t xml:space="preserve"> </w:t>
      </w:r>
      <w:r>
        <w:t xml:space="preserve">لمدينة تطوان</w:t>
      </w:r>
    </w:p>
    <w:p>
      <w:pPr>
        <w:pStyle w:val="ipcpara0"/>
      </w:pPr>
      <w:r>
        <w:t xml:space="preserve">في شهر يونيو 2026 انخفضت أسعار الاستهلاك على المستوى الوطني بنسبة (1’% ) خلال شهر واحد في حين ارتفعت أسعار الاستهلاك بما يقارب (1.1% ) خلال سنة كاملة.</w:t>
      </w:r>
    </w:p>
    <w:p>
      <w:pPr>
        <w:pStyle w:val="ipccorps"/>
      </w:pPr>
      <w:r>
        <w:t xml:space="preserve">على المستوى الشهري انخفض الرقم الاستدلالي للمواد الغذائية ب 1.6’% في شهر يونيو 2026 مقارنة بشهر ماي .2026 ويعزى ذلك الى انخفاض أثمان .</w:t>
      </w:r>
      <w:r>
        <w:rPr>
          <w:b/>
          <w:bCs/>
        </w:rPr>
        <w:t xml:space="preserve">الأسماك والمأكولات البحرية</w:t>
      </w:r>
      <w:r>
        <w:t xml:space="preserve">ب5,1%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ب4,0%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ب2,8%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ب2,4% ‏،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ب1,7% ‏ و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ب0,2% ‏</w:t>
      </w:r>
    </w:p>
    <w:p>
      <w:pPr>
        <w:pStyle w:val="ipccorps"/>
      </w:pPr>
      <w:r>
        <w:t xml:space="preserve">كما، انخفض التغير الشهري للرقم الاستدلالي للمواد غير الغذائية ب ( abs(evol_non_alim_1mois) % ) جراء انخفاض أثمان الأقسام التالية: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ب3,0% ‏،</w:t>
      </w:r>
      <w:r>
        <w:t xml:space="preserve"> </w:t>
      </w:r>
      <w:r>
        <w:rPr>
          <w:b/>
          <w:bCs/>
        </w:rPr>
        <w:t xml:space="preserve">الملابس والأحذية</w:t>
      </w:r>
      <w:r>
        <w:t xml:space="preserve">ب0,9% ‏ و</w:t>
      </w:r>
      <w:r>
        <w:t xml:space="preserve"> </w:t>
      </w:r>
      <w:r>
        <w:rPr>
          <w:b/>
          <w:bCs/>
        </w:rPr>
        <w:t xml:space="preserve">السكن، والمياه، والغاز، والكهرباء، وأنواع الوقود الأخرى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سلع وخدمات متنوعة</w:t>
      </w:r>
      <w:r>
        <w:t xml:space="preserve">ب0,2% ‏ . NA NA NA ارتفع التغير الشهري للرقم الاستدلالي للمواد غير الغذائية ب (-0.5% ) جراء زيادة أثمان الأقسام التالية:</w:t>
      </w:r>
      <w:r>
        <w:t xml:space="preserve"> </w:t>
      </w:r>
      <w:r>
        <w:rPr>
          <w:b/>
          <w:bCs/>
        </w:rPr>
        <w:t xml:space="preserve">الأثاث والأدوات المنزلية والصيانة المنزلية الروتينية</w:t>
      </w:r>
      <w:r>
        <w:t xml:space="preserve">ب0,4% ‏ و</w:t>
      </w:r>
      <w:r>
        <w:t xml:space="preserve"> </w:t>
      </w:r>
      <w:r>
        <w:rPr>
          <w:b/>
          <w:bCs/>
        </w:rPr>
        <w:t xml:space="preserve">المطاعم والفنادق</w:t>
      </w:r>
      <w:r>
        <w:t xml:space="preserve">ب0,2% ‏ . ارتفع التغير الشهري للرقم الاستدلالي للمواد غير الغذائية ب (-0.5% ) جراء زيادة أثمان الأقسام التالية:</w:t>
      </w:r>
      <w:r>
        <w:t xml:space="preserve"> </w:t>
      </w:r>
      <w:r>
        <w:rPr>
          <w:b/>
          <w:bCs/>
        </w:rPr>
        <w:t xml:space="preserve">الأثاث والأدوات المنزلية والصيانة المنزلية الروتينية</w:t>
      </w:r>
      <w:r>
        <w:t xml:space="preserve">ب0,4% ‏ و</w:t>
      </w:r>
      <w:r>
        <w:t xml:space="preserve"> </w:t>
      </w:r>
      <w:r>
        <w:rPr>
          <w:b/>
          <w:bCs/>
        </w:rPr>
        <w:t xml:space="preserve">المطاعم والفنادق</w:t>
      </w:r>
      <w:r>
        <w:t xml:space="preserve">ب0,2% ‏ .</w:t>
      </w:r>
    </w:p>
    <w:p>
      <w:pPr>
        <w:pStyle w:val="ipccorps"/>
      </w:pPr>
      <w:r>
        <w:rPr>
          <w:b/>
          <w:bCs/>
        </w:rPr>
        <w:t xml:space="preserve">على المستوى السنوي،</w:t>
      </w:r>
      <w:r>
        <w:t xml:space="preserve">انخفض الرقم الاستدلالي للمواد الغذائية</w:t>
      </w:r>
      <w:r>
        <w:t xml:space="preserve"> </w:t>
      </w:r>
      <w:r>
        <w:t xml:space="preserve">ب -1.3% في نونبر 2025 مقارنة بنظيره من السنة الماضية،ويعزى ذلك إلى تراجع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ب18,9%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ب3,1%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ب1,9% ‏،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ب0,7% ‏ و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ب0,1% ‏. وعلى الرغم من الارتفاعات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ب5,5%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ب4,0% ‏،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ب1,8%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 </w:t>
      </w:r>
      <w:r>
        <w:t xml:space="preserve">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ب0,9% ‏ و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ب0,7% ‏ و كذا</w:t>
      </w:r>
      <w:r>
        <w:t xml:space="preserve"> </w:t>
      </w:r>
      <w:r>
        <w:t xml:space="preserve">استقرار أثمان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 </w:t>
      </w:r>
      <w:r>
        <w:t xml:space="preserve">فإن ذلك لم يؤثر على التطور</w:t>
      </w:r>
      <w:r>
        <w:t xml:space="preserve"> </w:t>
      </w:r>
      <w:r>
        <w:t xml:space="preserve">العام. ارتفع الرقم الاستدلالي للمواد الغذائية</w:t>
      </w:r>
      <w:r>
        <w:t xml:space="preserve"> </w:t>
      </w:r>
      <w:r>
        <w:t xml:space="preserve">ب -1.3% في نونبر 2025 مقارنة بنظيره من السنة الماضية،ويعزى ذلك إلى زيادة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ب5,5%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ب4,0% ‏،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ب1,8%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 </w:t>
      </w:r>
      <w:r>
        <w:t xml:space="preserve">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ب0,9% ‏ و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ب0,7% ‏. وعلى الرغم من الانخفاضات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ب18,9%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ب3,1%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ب1,9% ‏،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ب0,7% ‏ و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ب0,1% ‏ و كذا</w:t>
      </w:r>
      <w:r>
        <w:t xml:space="preserve"> </w:t>
      </w:r>
      <w:r>
        <w:t xml:space="preserve">استقرار أثمان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 </w:t>
      </w:r>
      <w:r>
        <w:t xml:space="preserve">فإن ذلك لم يؤثر على التطور</w:t>
      </w:r>
      <w:r>
        <w:t xml:space="preserve"> </w:t>
      </w:r>
      <w:r>
        <w:t xml:space="preserve">العام. ارتفع الرقم الاستدلالي للمواد الغذائية</w:t>
      </w:r>
      <w:r>
        <w:t xml:space="preserve"> </w:t>
      </w:r>
      <w:r>
        <w:t xml:space="preserve">ب -1.3% في نونبر 2025 مقارنة بنظيره من السنة الماضية،ويعزى ذلك إلى زيادة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ب5,5%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ب4,0% ‏،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ب1,8%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 </w:t>
      </w:r>
      <w:r>
        <w:t xml:space="preserve">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ب0,9% ‏ و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ب0,7% ‏. وعلى الرغم من الانخفاضات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ب18,9%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ب3,1%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ب1,9% ‏،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ب0,7% ‏ و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ب0,1% ‏ و كذا</w:t>
      </w:r>
      <w:r>
        <w:t xml:space="preserve"> </w:t>
      </w:r>
      <w:r>
        <w:t xml:space="preserve">استقرار أثمان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 </w:t>
      </w:r>
      <w:r>
        <w:t xml:space="preserve">فإن ذلك لم يؤثر على التطور</w:t>
      </w:r>
      <w:r>
        <w:t xml:space="preserve"> </w:t>
      </w:r>
      <w:r>
        <w:t xml:space="preserve">العام. ارتفع الرقم الاستدلالي للمواد الغذائية</w:t>
      </w:r>
      <w:r>
        <w:t xml:space="preserve"> </w:t>
      </w:r>
      <w:r>
        <w:t xml:space="preserve">ب -1.3% في نونبر 2025 مقارنة بنظيره من السنة الماضية،ويعزى ذلك إلى زيادة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ب5,5%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ب4,0% ‏،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ب1,8%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 </w:t>
      </w:r>
      <w:r>
        <w:t xml:space="preserve">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ب0,9% ‏ و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ب0,7% ‏. وعلى الرغم من الانخفاضات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ب18,9%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ب3,1%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ب1,9% ‏،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ب0,7% ‏ و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ب0,1% ‏ و كذا</w:t>
      </w:r>
      <w:r>
        <w:t xml:space="preserve"> </w:t>
      </w:r>
      <w:r>
        <w:t xml:space="preserve">استقرار أثمان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 </w:t>
      </w:r>
      <w:r>
        <w:t xml:space="preserve">فإن ذلك لم يؤثر على التطور</w:t>
      </w:r>
      <w:r>
        <w:t xml:space="preserve"> </w:t>
      </w:r>
      <w:r>
        <w:t xml:space="preserve">العام. ارتفع الرقم الاستدلالي للمواد الغذائية</w:t>
      </w:r>
      <w:r>
        <w:t xml:space="preserve"> </w:t>
      </w:r>
      <w:r>
        <w:t xml:space="preserve">ب -1.3% في نونبر 2025 مقارنة بنظيره من السنة الماضية،ويعزى ذلك إلى زيادة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ب5,5%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ب4,0% ‏،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ب1,8%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 </w:t>
      </w:r>
      <w:r>
        <w:t xml:space="preserve">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ب0,9% ‏ و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ب0,7% ‏. وعلى الرغم من الانخفاضات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ب18,9%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ب3,1%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ب1,9% ‏،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ب0,7% ‏ و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ب0,1% ‏ و كذا</w:t>
      </w:r>
      <w:r>
        <w:t xml:space="preserve"> </w:t>
      </w:r>
      <w:r>
        <w:t xml:space="preserve">استقرار أثمان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 </w:t>
      </w:r>
      <w:r>
        <w:t xml:space="preserve">فإن ذلك لم يؤثر على التطور</w:t>
      </w:r>
      <w:r>
        <w:t xml:space="preserve"> </w:t>
      </w:r>
      <w:r>
        <w:t xml:space="preserve">العام. ارتفع الرقم الاستدلالي للمواد الغذائية</w:t>
      </w:r>
      <w:r>
        <w:t xml:space="preserve"> </w:t>
      </w:r>
      <w:r>
        <w:t xml:space="preserve">ب -1.3% في نونبر 2025 مقارنة بنظيره من السنة الماضية،ويعزى ذلك إلى زيادة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ب5,5%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ب4,0% ‏،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ب1,8%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 </w:t>
      </w:r>
      <w:r>
        <w:t xml:space="preserve">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ب0,9% ‏ و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ب0,7% ‏. وعلى الرغم من الانخفاضات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ب18,9%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ب3,1%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ب1,9% ‏،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ب0,7% ‏ و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ب0,1% ‏ و كذا</w:t>
      </w:r>
      <w:r>
        <w:t xml:space="preserve"> </w:t>
      </w:r>
      <w:r>
        <w:t xml:space="preserve">استقرار أثمان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 </w:t>
      </w:r>
      <w:r>
        <w:t xml:space="preserve">فإن ذلك لم يؤثر على التطور</w:t>
      </w:r>
      <w:r>
        <w:t xml:space="preserve"> </w:t>
      </w:r>
      <w:r>
        <w:t xml:space="preserve">العام.</w:t>
      </w:r>
    </w:p>
    <w:p>
      <w:pPr>
        <w:pStyle w:val="ipccorps"/>
      </w:pPr>
      <w:r>
        <w:t xml:space="preserve">في حين، سجل التغير السنوي لمؤشر المواد غير الغذائية ارتفاعا ب 3.2 %، نتيجة التباين بين أقسامه حيث انخفض قسم</w:t>
      </w:r>
      <w:r>
        <w:t xml:space="preserve"> </w:t>
      </w:r>
      <w:r>
        <w:rPr>
          <w:b/>
          <w:bCs/>
        </w:rPr>
        <w:t xml:space="preserve">الترفيه والثقافة</w:t>
      </w:r>
      <w:r>
        <w:t xml:space="preserve">ب1,1% ‏ بينما ارتفع</w:t>
      </w:r>
      <w:r>
        <w:t xml:space="preserve"> </w:t>
      </w:r>
      <w:r>
        <w:rPr>
          <w:b/>
          <w:bCs/>
        </w:rPr>
        <w:t xml:space="preserve">تعليم</w:t>
      </w:r>
      <w:r>
        <w:t xml:space="preserve">ب10,9% ‏</w:t>
      </w:r>
    </w:p>
    <w:p>
      <w:pPr>
        <w:pStyle w:val="ipctitre0"/>
      </w:pPr>
      <w:r>
        <w:t xml:space="preserve">3- تطور معدل التغير السنوي (%) للرقم الاستدلالي للأثمان عند الاستهلاك لشهر يونيو</w:t>
      </w:r>
    </w:p>
    <w:p>
      <w:pPr>
        <w:pStyle w:val="SourceCode"/>
      </w:pPr>
      <w:r>
        <w:rPr>
          <w:rStyle w:val="VerbatimChar"/>
        </w:rPr>
        <w:t xml:space="preserve">../../Rapports_mensuels/Mois2026_06/Graphique_variation_annuelle2026_06_Ville08_ar.png</w:t>
      </w:r>
    </w:p>
    <w:p>
      <w:pPr>
        <w:pStyle w:val="ipccorps"/>
      </w:pPr>
      <w:r>
        <w:t xml:space="preserve">في يونيو 2026 ارتفع الرقم الاستدلالي للأثمان عند الاستهلاك</w:t>
      </w:r>
      <w:r>
        <w:t xml:space="preserve"> </w:t>
      </w:r>
      <w:r>
        <w:t xml:space="preserve">ب 1.1 % مقارنة بشهر يونيو 2025</w:t>
      </w:r>
    </w:p>
    <w:p>
      <w:pPr>
        <w:pStyle w:val="ipctitre0"/>
      </w:pPr>
      <w:r>
        <w:t xml:space="preserve">4- تطور معدل التغير السنوي (%) للرقم الاستدلالي للأثمان عند الاستهلاك لشهر يونيو</w:t>
      </w:r>
    </w:p>
    <w:p>
      <w:pPr>
        <w:pStyle w:val="SourceCode"/>
      </w:pPr>
      <w:r>
        <w:rPr>
          <w:rStyle w:val="VerbatimChar"/>
        </w:rPr>
        <w:t xml:space="preserve">../../Rapports_mensuels/Mois2026_06/Graphique_variation_mensuelle2026_06_Ville08_ar.png</w:t>
      </w:r>
    </w:p>
    <w:p>
      <w:pPr>
        <w:pStyle w:val="ipccorps"/>
      </w:pPr>
      <w:r>
        <w:t xml:space="preserve">في يونيو 2026 انخفظ الرقم الاستدلالي للأثمان عند الاستهلاك</w:t>
      </w:r>
      <w:r>
        <w:t xml:space="preserve"> </w:t>
      </w:r>
      <w:r>
        <w:t xml:space="preserve">ب 1 % مقارنة بشهر ماي 2026</w:t>
      </w:r>
    </w:p>
    <w:p>
      <w:pPr>
        <w:pStyle w:val="ipcpara0"/>
      </w:pPr>
      <w:r>
        <w:t xml:space="preserve">جدول 3: الرقم الاستدلالي للأثمان عند الاستهلاك لمدينة تطوان يونيو :2026 (أساس 2017:100)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850"/>
        <w:gridCol w:w="3402"/>
      </w:tblGrid>
      <w:tr>
        <w:trPr>
          <w:trHeight w:val="507" w:hRule="auto"/>
          <w:tblHeader/>
        </w:trPr>
        header 1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التغير (%) منذ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لشهر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الترجيحات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أقسام المواد</w:t>
            </w:r>
          </w:p>
        </w:tc>
      </w:tr>
      <w:tr>
        <w:trPr>
          <w:trHeight w:val="50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شهرا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3أشهر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شهر واحد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يونيو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ماي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ابريل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مارس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يونيو 2025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40,725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الغذائية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135,8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135,7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38,964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01- المواد الغذائية والمشروبات غير الكحولية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152,0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152,0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152,0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146,1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1,761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02- المشروبات الكحولية والتبغ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59,275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غير الغذائية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5,835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الملابس والأحذية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14,202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السكن والماء والكهرباء والغاز ومحروقات أخرى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الأثاث والأدوات المنزلية والصيانة العادية للمنزل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06 - الصحة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07 - النقل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08 - المواصلات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الترفيه والثقافة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10 - التعليم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مطاعم وفنادق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6,808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مواد وخدمات أخرى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العام</w:t>
            </w:r>
          </w:p>
        </w:tc>
      </w:tr>
    </w:tbl>
    <w:p>
      <w:pPr>
        <w:pStyle w:val="ipcpara0"/>
      </w:pPr>
      <w:r>
        <w:t xml:space="preserve">المندوبية السامية للتخطيط، مديرية الإحصاء -البحث الوطني حول الأثمان عند الاستهلاك</w:t>
      </w:r>
    </w:p>
    <w:sectPr w:rsidR="00742A1F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742A1F" w:rsidP="000707FF">
    <w:pPr>
      <w:pStyle w:val="En-tte"/>
    </w:pPr>
    <w:r w:rsidRPr="00742A1F">
      <w:rPr>
        <w:noProof/>
        <w:sz w:val="20"/>
      </w:rPr>
    </w:r>
    <w:r w:rsidRPr="00742A1F">
      <w:rPr>
        <w:noProof/>
        <w:sz w:val="20"/>
      </w:rPr>
      <w:pict>
        <v:group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7" type="#_x0000_t75" style="position:absolute;left:23729;top:754;width:16903;height:79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<v:imagedata r:id="rId1" o:title=""/>
          </v:shape>
          <v:shape id="Image 3" o:spid="_x0000_s1028" type="#_x0000_t75" style="position:absolute;width:63055;height:10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<v:imagedata r:id="rId2" o:title="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000A990"/>
    <w:multiLevelType w:val="multilevel"/>
    <w:tmpl w:val="3C9EE29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8" v:ext="edit"/>
    <o:shapelayout v:ext="edit">
      <o:idmap data="1" v:ext="edit"/>
    </o:shapelayout>
  </w:hdrShapeDefaults>
  <w:compat/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3F131F"/>
    <w:rsid w:val="0052338E"/>
    <w:rsid w:val="006734DB"/>
    <w:rsid w:val="00742A1F"/>
    <w:rsid w:val="00790CDD"/>
    <w:rsid w:val="007A0D96"/>
    <w:rsid w:val="007C4EC7"/>
    <w:rsid w:val="008868E3"/>
    <w:rsid w:val="009010EA"/>
    <w:rsid w:val="009110DF"/>
    <w:rsid w:val="00956E03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742A1F"/>
    <w:rPr>
      <w:rFonts w:cs="Times New Roman"/>
      <w:lang w:bidi="ar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Ind w:type="dxa" w:w="0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ipctitre0" w:type="paragraph">
    <w:name w:val="ipc_titre_0"/>
    <w:link w:val="ipctitre0Car"/>
    <w:qFormat/>
    <w:rsid w:val="00A77669"/>
    <w:rPr>
      <w:rFonts w:ascii="Times New Roman" w:cs="Times New Roman" w:hAnsi="Times New Roman"/>
      <w:b/>
      <w:bCs/>
      <w:color w:val="CA400A"/>
      <w:spacing w:val="13"/>
      <w:sz w:val="32"/>
      <w:lang w:bidi="ar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cs="Times New Roman" w:hAnsi="Times New Roman"/>
      <w:bCs/>
      <w:spacing w:val="13"/>
      <w:sz w:val="21"/>
      <w:szCs w:val="24"/>
      <w:lang w:bidi="ar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eastAsia="Times New Roman"/>
      <w:b/>
      <w:color w:val="8D4354"/>
      <w:spacing w:val="0"/>
      <w:kern w:val="0"/>
      <w:sz w:val="24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</w:rPr>
  </w:style>
  <w:style w:customStyle="1" w:styleId="PlainTab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SourceCode" w:type="paragraph">
    <w:name w:val="Source Code"/>
    <w:basedOn w:val="Normal"/>
    <w:rsid w:val="00742A1F"/>
    <w:pPr>
      <w:shd w:color="auto" w:fill="F1F3F5" w:val="clear"/>
      <w:wordWrap w:val="0"/>
    </w:pPr>
  </w:style>
  <w:style w:customStyle="1" w:styleId="KeywordTok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" w:type="character">
    <w:name w:val="DataTypeTok"/>
    <w:rsid w:val="00742A1F"/>
    <w:rPr>
      <w:color w:val="AD0000"/>
      <w:shd w:color="auto" w:fill="F1F3F5" w:val="clear"/>
    </w:rPr>
  </w:style>
  <w:style w:customStyle="1" w:styleId="DecValTok" w:type="character">
    <w:name w:val="DecValTok"/>
    <w:rsid w:val="00742A1F"/>
    <w:rPr>
      <w:color w:val="AD0000"/>
      <w:shd w:color="auto" w:fill="F1F3F5" w:val="clear"/>
    </w:rPr>
  </w:style>
  <w:style w:customStyle="1" w:styleId="BaseNTok" w:type="character">
    <w:name w:val="BaseNTok"/>
    <w:rsid w:val="00742A1F"/>
    <w:rPr>
      <w:color w:val="AD0000"/>
      <w:shd w:color="auto" w:fill="F1F3F5" w:val="clear"/>
    </w:rPr>
  </w:style>
  <w:style w:customStyle="1" w:styleId="FloatTok" w:type="character">
    <w:name w:val="FloatTok"/>
    <w:rsid w:val="00742A1F"/>
    <w:rPr>
      <w:color w:val="AD0000"/>
      <w:shd w:color="auto" w:fill="F1F3F5" w:val="clear"/>
    </w:rPr>
  </w:style>
  <w:style w:customStyle="1" w:styleId="ConstantTok" w:type="character">
    <w:name w:val="ConstantTok"/>
    <w:rsid w:val="00742A1F"/>
    <w:rPr>
      <w:color w:val="8F5902"/>
      <w:shd w:color="auto" w:fill="F1F3F5" w:val="clear"/>
    </w:rPr>
  </w:style>
  <w:style w:customStyle="1" w:styleId="CharTok" w:type="character">
    <w:name w:val="CharTok"/>
    <w:rsid w:val="00742A1F"/>
    <w:rPr>
      <w:color w:val="20794D"/>
      <w:shd w:color="auto" w:fill="F1F3F5" w:val="clear"/>
    </w:rPr>
  </w:style>
  <w:style w:customStyle="1" w:styleId="SpecialCharTok" w:type="character">
    <w:name w:val="SpecialCharTok"/>
    <w:rsid w:val="00742A1F"/>
    <w:rPr>
      <w:color w:val="5E5E5E"/>
      <w:shd w:color="auto" w:fill="F1F3F5" w:val="clear"/>
    </w:rPr>
  </w:style>
  <w:style w:customStyle="1" w:styleId="StringTok" w:type="character">
    <w:name w:val="StringTok"/>
    <w:rsid w:val="00742A1F"/>
    <w:rPr>
      <w:color w:val="20794D"/>
      <w:shd w:color="auto" w:fill="F1F3F5" w:val="clear"/>
    </w:rPr>
  </w:style>
  <w:style w:customStyle="1" w:styleId="VerbatimStringTok" w:type="character">
    <w:name w:val="VerbatimStringTok"/>
    <w:rsid w:val="00742A1F"/>
    <w:rPr>
      <w:color w:val="20794D"/>
      <w:shd w:color="auto" w:fill="F1F3F5" w:val="clear"/>
    </w:rPr>
  </w:style>
  <w:style w:customStyle="1" w:styleId="SpecialStringTok" w:type="character">
    <w:name w:val="SpecialStringTok"/>
    <w:rsid w:val="00742A1F"/>
    <w:rPr>
      <w:color w:val="20794D"/>
      <w:shd w:color="auto" w:fill="F1F3F5" w:val="clear"/>
    </w:rPr>
  </w:style>
  <w:style w:customStyle="1" w:styleId="ImportTok" w:type="character">
    <w:name w:val="ImportTok"/>
    <w:rsid w:val="00742A1F"/>
    <w:rPr>
      <w:color w:val="00769E"/>
      <w:shd w:color="auto" w:fill="F1F3F5" w:val="clear"/>
    </w:rPr>
  </w:style>
  <w:style w:customStyle="1" w:styleId="CommentTok" w:type="character">
    <w:name w:val="CommentTok"/>
    <w:rsid w:val="00742A1F"/>
    <w:rPr>
      <w:color w:val="5E5E5E"/>
      <w:shd w:color="auto" w:fill="F1F3F5" w:val="clear"/>
    </w:rPr>
  </w:style>
  <w:style w:customStyle="1" w:styleId="DocumentationTok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" w:type="character">
    <w:name w:val="AnnotationTok"/>
    <w:rsid w:val="00742A1F"/>
    <w:rPr>
      <w:color w:val="5E5E5E"/>
      <w:shd w:color="auto" w:fill="F1F3F5" w:val="clear"/>
    </w:rPr>
  </w:style>
  <w:style w:customStyle="1" w:styleId="CommentVarTok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" w:type="character">
    <w:name w:val="OtherTok"/>
    <w:rsid w:val="00742A1F"/>
    <w:rPr>
      <w:color w:val="003B4F"/>
      <w:shd w:color="auto" w:fill="F1F3F5" w:val="clear"/>
    </w:rPr>
  </w:style>
  <w:style w:customStyle="1" w:styleId="FunctionTok" w:type="character">
    <w:name w:val="FunctionTok"/>
    <w:rsid w:val="00742A1F"/>
    <w:rPr>
      <w:color w:val="4758AB"/>
      <w:shd w:color="auto" w:fill="F1F3F5" w:val="clear"/>
    </w:rPr>
  </w:style>
  <w:style w:customStyle="1" w:styleId="VariableTok" w:type="character">
    <w:name w:val="VariableTok"/>
    <w:rsid w:val="00742A1F"/>
    <w:rPr>
      <w:color w:val="111111"/>
      <w:shd w:color="auto" w:fill="F1F3F5" w:val="clear"/>
    </w:rPr>
  </w:style>
  <w:style w:customStyle="1" w:styleId="ControlFlowTok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" w:type="character">
    <w:name w:val="OperatorTok"/>
    <w:rsid w:val="00742A1F"/>
    <w:rPr>
      <w:color w:val="5E5E5E"/>
      <w:shd w:color="auto" w:fill="F1F3F5" w:val="clear"/>
    </w:rPr>
  </w:style>
  <w:style w:customStyle="1" w:styleId="BuiltInTok" w:type="character">
    <w:name w:val="BuiltInTok"/>
    <w:rsid w:val="00742A1F"/>
    <w:rPr>
      <w:color w:val="003B4F"/>
      <w:shd w:color="auto" w:fill="F1F3F5" w:val="clear"/>
    </w:rPr>
  </w:style>
  <w:style w:customStyle="1" w:styleId="ExtensionTok" w:type="character">
    <w:name w:val="ExtensionTok"/>
    <w:rsid w:val="00742A1F"/>
    <w:rPr>
      <w:color w:val="003B4F"/>
      <w:shd w:color="auto" w:fill="F1F3F5" w:val="clear"/>
    </w:rPr>
  </w:style>
  <w:style w:customStyle="1" w:styleId="PreprocessorTok" w:type="character">
    <w:name w:val="PreprocessorTok"/>
    <w:rsid w:val="00742A1F"/>
    <w:rPr>
      <w:color w:val="AD0000"/>
      <w:shd w:color="auto" w:fill="F1F3F5" w:val="clear"/>
    </w:rPr>
  </w:style>
  <w:style w:customStyle="1" w:styleId="AttributeTok" w:type="character">
    <w:name w:val="AttributeTok"/>
    <w:rsid w:val="00742A1F"/>
    <w:rPr>
      <w:color w:val="657422"/>
      <w:shd w:color="auto" w:fill="F1F3F5" w:val="clear"/>
    </w:rPr>
  </w:style>
  <w:style w:customStyle="1" w:styleId="RegionMarkerTok" w:type="character">
    <w:name w:val="RegionMarkerTok"/>
    <w:rsid w:val="00742A1F"/>
    <w:rPr>
      <w:color w:val="003B4F"/>
      <w:shd w:color="auto" w:fill="F1F3F5" w:val="clear"/>
    </w:rPr>
  </w:style>
  <w:style w:customStyle="1" w:styleId="InformationTok" w:type="character">
    <w:name w:val="InformationTok"/>
    <w:rsid w:val="00742A1F"/>
    <w:rPr>
      <w:color w:val="5E5E5E"/>
      <w:shd w:color="auto" w:fill="F1F3F5" w:val="clear"/>
    </w:rPr>
  </w:style>
  <w:style w:customStyle="1" w:styleId="WarningTok" w:type="character">
    <w:name w:val="WarningTok"/>
    <w:rsid w:val="00742A1F"/>
    <w:rPr>
      <w:i/>
      <w:color w:val="5E5E5E"/>
      <w:shd w:color="auto" w:fill="F1F3F5" w:val="clear"/>
    </w:rPr>
  </w:style>
  <w:style w:customStyle="1" w:styleId="AlertTok" w:type="character">
    <w:name w:val="AlertTok"/>
    <w:rsid w:val="00742A1F"/>
    <w:rPr>
      <w:color w:val="AD0000"/>
      <w:shd w:color="auto" w:fill="F1F3F5" w:val="clear"/>
    </w:rPr>
  </w:style>
  <w:style w:customStyle="1" w:styleId="ErrorTok" w:type="character">
    <w:name w:val="ErrorTok"/>
    <w:rsid w:val="00742A1F"/>
    <w:rPr>
      <w:color w:val="AD0000"/>
      <w:shd w:color="auto" w:fill="F1F3F5" w:val="clear"/>
    </w:rPr>
  </w:style>
  <w:style w:customStyle="1" w:styleId="NormalTok" w:type="character">
    <w:name w:val="NormalTok"/>
    <w:rsid w:val="00742A1F"/>
    <w:rPr>
      <w:color w:val="003B4F"/>
      <w:shd w:color="auto" w:fill="F1F3F5" w:val="clear"/>
    </w:rPr>
  </w:style>
  <w:style w:customStyle="1" w:styleId="KeywordTok0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0" w:type="character">
    <w:name w:val="DataTypeTok"/>
    <w:rsid w:val="00742A1F"/>
    <w:rPr>
      <w:color w:val="AD0000"/>
      <w:shd w:color="auto" w:fill="F1F3F5" w:val="clear"/>
    </w:rPr>
  </w:style>
  <w:style w:customStyle="1" w:styleId="DecValTok0" w:type="character">
    <w:name w:val="DecValTok"/>
    <w:rsid w:val="00742A1F"/>
    <w:rPr>
      <w:color w:val="AD0000"/>
      <w:shd w:color="auto" w:fill="F1F3F5" w:val="clear"/>
    </w:rPr>
  </w:style>
  <w:style w:customStyle="1" w:styleId="BaseNTok0" w:type="character">
    <w:name w:val="BaseNTok"/>
    <w:rsid w:val="00742A1F"/>
    <w:rPr>
      <w:color w:val="AD0000"/>
      <w:shd w:color="auto" w:fill="F1F3F5" w:val="clear"/>
    </w:rPr>
  </w:style>
  <w:style w:customStyle="1" w:styleId="FloatTok0" w:type="character">
    <w:name w:val="FloatTok"/>
    <w:rsid w:val="00742A1F"/>
    <w:rPr>
      <w:color w:val="AD0000"/>
      <w:shd w:color="auto" w:fill="F1F3F5" w:val="clear"/>
    </w:rPr>
  </w:style>
  <w:style w:customStyle="1" w:styleId="ConstantTok0" w:type="character">
    <w:name w:val="ConstantTok"/>
    <w:rsid w:val="00742A1F"/>
    <w:rPr>
      <w:color w:val="8F5902"/>
      <w:shd w:color="auto" w:fill="F1F3F5" w:val="clear"/>
    </w:rPr>
  </w:style>
  <w:style w:customStyle="1" w:styleId="CharTok0" w:type="character">
    <w:name w:val="CharTok"/>
    <w:rsid w:val="00742A1F"/>
    <w:rPr>
      <w:color w:val="20794D"/>
      <w:shd w:color="auto" w:fill="F1F3F5" w:val="clear"/>
    </w:rPr>
  </w:style>
  <w:style w:customStyle="1" w:styleId="SpecialCharTok0" w:type="character">
    <w:name w:val="SpecialCharTok"/>
    <w:rsid w:val="00742A1F"/>
    <w:rPr>
      <w:color w:val="5E5E5E"/>
      <w:shd w:color="auto" w:fill="F1F3F5" w:val="clear"/>
    </w:rPr>
  </w:style>
  <w:style w:customStyle="1" w:styleId="StringTok0" w:type="character">
    <w:name w:val="StringTok"/>
    <w:rsid w:val="00742A1F"/>
    <w:rPr>
      <w:color w:val="20794D"/>
      <w:shd w:color="auto" w:fill="F1F3F5" w:val="clear"/>
    </w:rPr>
  </w:style>
  <w:style w:customStyle="1" w:styleId="VerbatimStringTok0" w:type="character">
    <w:name w:val="VerbatimStringTok"/>
    <w:rsid w:val="00742A1F"/>
    <w:rPr>
      <w:color w:val="20794D"/>
      <w:shd w:color="auto" w:fill="F1F3F5" w:val="clear"/>
    </w:rPr>
  </w:style>
  <w:style w:customStyle="1" w:styleId="SpecialStringTok0" w:type="character">
    <w:name w:val="SpecialStringTok"/>
    <w:rsid w:val="00742A1F"/>
    <w:rPr>
      <w:color w:val="20794D"/>
      <w:shd w:color="auto" w:fill="F1F3F5" w:val="clear"/>
    </w:rPr>
  </w:style>
  <w:style w:customStyle="1" w:styleId="ImportTok0" w:type="character">
    <w:name w:val="ImportTok"/>
    <w:rsid w:val="00742A1F"/>
    <w:rPr>
      <w:color w:val="00769E"/>
      <w:shd w:color="auto" w:fill="F1F3F5" w:val="clear"/>
    </w:rPr>
  </w:style>
  <w:style w:customStyle="1" w:styleId="CommentTok0" w:type="character">
    <w:name w:val="CommentTok"/>
    <w:rsid w:val="00742A1F"/>
    <w:rPr>
      <w:color w:val="5E5E5E"/>
      <w:shd w:color="auto" w:fill="F1F3F5" w:val="clear"/>
    </w:rPr>
  </w:style>
  <w:style w:customStyle="1" w:styleId="DocumentationTok0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0" w:type="character">
    <w:name w:val="AnnotationTok"/>
    <w:rsid w:val="00742A1F"/>
    <w:rPr>
      <w:color w:val="5E5E5E"/>
      <w:shd w:color="auto" w:fill="F1F3F5" w:val="clear"/>
    </w:rPr>
  </w:style>
  <w:style w:customStyle="1" w:styleId="CommentVarTok0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0" w:type="character">
    <w:name w:val="OtherTok"/>
    <w:rsid w:val="00742A1F"/>
    <w:rPr>
      <w:color w:val="003B4F"/>
      <w:shd w:color="auto" w:fill="F1F3F5" w:val="clear"/>
    </w:rPr>
  </w:style>
  <w:style w:customStyle="1" w:styleId="FunctionTok0" w:type="character">
    <w:name w:val="FunctionTok"/>
    <w:rsid w:val="00742A1F"/>
    <w:rPr>
      <w:color w:val="4758AB"/>
      <w:shd w:color="auto" w:fill="F1F3F5" w:val="clear"/>
    </w:rPr>
  </w:style>
  <w:style w:customStyle="1" w:styleId="VariableTok0" w:type="character">
    <w:name w:val="VariableTok"/>
    <w:rsid w:val="00742A1F"/>
    <w:rPr>
      <w:color w:val="111111"/>
      <w:shd w:color="auto" w:fill="F1F3F5" w:val="clear"/>
    </w:rPr>
  </w:style>
  <w:style w:customStyle="1" w:styleId="ControlFlowTok0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0" w:type="character">
    <w:name w:val="OperatorTok"/>
    <w:rsid w:val="00742A1F"/>
    <w:rPr>
      <w:color w:val="5E5E5E"/>
      <w:shd w:color="auto" w:fill="F1F3F5" w:val="clear"/>
    </w:rPr>
  </w:style>
  <w:style w:customStyle="1" w:styleId="BuiltInTok0" w:type="character">
    <w:name w:val="BuiltInTok"/>
    <w:rsid w:val="00742A1F"/>
    <w:rPr>
      <w:color w:val="003B4F"/>
      <w:shd w:color="auto" w:fill="F1F3F5" w:val="clear"/>
    </w:rPr>
  </w:style>
  <w:style w:customStyle="1" w:styleId="ExtensionTok0" w:type="character">
    <w:name w:val="ExtensionTok"/>
    <w:rsid w:val="00742A1F"/>
    <w:rPr>
      <w:color w:val="003B4F"/>
      <w:shd w:color="auto" w:fill="F1F3F5" w:val="clear"/>
    </w:rPr>
  </w:style>
  <w:style w:customStyle="1" w:styleId="PreprocessorTok0" w:type="character">
    <w:name w:val="PreprocessorTok"/>
    <w:rsid w:val="00742A1F"/>
    <w:rPr>
      <w:color w:val="AD0000"/>
      <w:shd w:color="auto" w:fill="F1F3F5" w:val="clear"/>
    </w:rPr>
  </w:style>
  <w:style w:customStyle="1" w:styleId="AttributeTok0" w:type="character">
    <w:name w:val="AttributeTok"/>
    <w:rsid w:val="00742A1F"/>
    <w:rPr>
      <w:color w:val="657422"/>
      <w:shd w:color="auto" w:fill="F1F3F5" w:val="clear"/>
    </w:rPr>
  </w:style>
  <w:style w:customStyle="1" w:styleId="RegionMarkerTok0" w:type="character">
    <w:name w:val="RegionMarkerTok"/>
    <w:rsid w:val="00742A1F"/>
    <w:rPr>
      <w:color w:val="003B4F"/>
      <w:shd w:color="auto" w:fill="F1F3F5" w:val="clear"/>
    </w:rPr>
  </w:style>
  <w:style w:customStyle="1" w:styleId="InformationTok0" w:type="character">
    <w:name w:val="InformationTok"/>
    <w:rsid w:val="00742A1F"/>
    <w:rPr>
      <w:color w:val="5E5E5E"/>
      <w:shd w:color="auto" w:fill="F1F3F5" w:val="clear"/>
    </w:rPr>
  </w:style>
  <w:style w:customStyle="1" w:styleId="WarningTok0" w:type="character">
    <w:name w:val="WarningTok"/>
    <w:rsid w:val="00742A1F"/>
    <w:rPr>
      <w:i/>
      <w:color w:val="5E5E5E"/>
      <w:shd w:color="auto" w:fill="F1F3F5" w:val="clear"/>
    </w:rPr>
  </w:style>
  <w:style w:customStyle="1" w:styleId="AlertTok0" w:type="character">
    <w:name w:val="AlertTok"/>
    <w:rsid w:val="00742A1F"/>
    <w:rPr>
      <w:color w:val="AD0000"/>
      <w:shd w:color="auto" w:fill="F1F3F5" w:val="clear"/>
    </w:rPr>
  </w:style>
  <w:style w:customStyle="1" w:styleId="ErrorTok0" w:type="character">
    <w:name w:val="ErrorTok"/>
    <w:rsid w:val="00742A1F"/>
    <w:rPr>
      <w:color w:val="AD0000"/>
      <w:shd w:color="auto" w:fill="F1F3F5" w:val="clear"/>
    </w:rPr>
  </w:style>
  <w:style w:customStyle="1" w:styleId="NormalTok0" w:type="character">
    <w:name w:val="NormalTok"/>
    <w:rsid w:val="00742A1F"/>
    <w:rPr>
      <w:color w:val="003B4F"/>
      <w:shd w:color="auto" w:fill="F1F3F5"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2026-10-12T12:10:21Z</dcterms:created>
  <dcterms:modified xsi:type="dcterms:W3CDTF">2026-10-12T12:10:21Z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